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920A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76C4CD9" w14:textId="6F71C395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EB4A3D">
        <w:rPr>
          <w:rFonts w:ascii="Arial" w:hAnsi="Arial" w:cs="Arial"/>
          <w:b/>
          <w:sz w:val="36"/>
        </w:rPr>
        <w:t>/0</w:t>
      </w:r>
      <w:r w:rsidR="00DE7231">
        <w:rPr>
          <w:rFonts w:ascii="Arial" w:hAnsi="Arial" w:cs="Arial"/>
          <w:b/>
          <w:sz w:val="36"/>
        </w:rPr>
        <w:t>202</w:t>
      </w:r>
      <w:r w:rsidR="00BA6140">
        <w:rPr>
          <w:rFonts w:ascii="Arial" w:hAnsi="Arial" w:cs="Arial"/>
          <w:b/>
          <w:sz w:val="36"/>
        </w:rPr>
        <w:t>/202</w:t>
      </w:r>
      <w:r w:rsidR="007236AE">
        <w:rPr>
          <w:rFonts w:ascii="Arial" w:hAnsi="Arial" w:cs="Arial"/>
          <w:b/>
          <w:sz w:val="36"/>
        </w:rPr>
        <w:t>1</w:t>
      </w:r>
    </w:p>
    <w:p w14:paraId="60CCD1AF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2C9510E6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B617BA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7DB9220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425BFA5B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 xml:space="preserve">Mgr. Bc. Zdeňkou </w:t>
      </w:r>
      <w:proofErr w:type="spellStart"/>
      <w:r w:rsidR="00CE56E8">
        <w:rPr>
          <w:rFonts w:ascii="Arial" w:hAnsi="Arial" w:cs="Arial"/>
          <w:sz w:val="22"/>
          <w:szCs w:val="22"/>
        </w:rPr>
        <w:t>Blišťanovou</w:t>
      </w:r>
      <w:proofErr w:type="spellEnd"/>
    </w:p>
    <w:p w14:paraId="5DA0405C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67D1F85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37AFAEC2" w14:textId="58AAFAFA" w:rsidR="00353243" w:rsidRPr="005C35FB" w:rsidRDefault="00353243" w:rsidP="00A071FA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A071FA">
        <w:rPr>
          <w:rFonts w:ascii="Arial" w:hAnsi="Arial" w:cs="Arial"/>
          <w:sz w:val="22"/>
          <w:szCs w:val="22"/>
        </w:rPr>
        <w:t>XXXXXXXXXXXX</w:t>
      </w:r>
      <w:r w:rsidR="00A071FA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69D00D09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6D90F3D3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6CE6D285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08D7434" w14:textId="46108BCE" w:rsidR="004558AC" w:rsidRPr="004558AC" w:rsidRDefault="004558AC" w:rsidP="004558AC">
      <w:pPr>
        <w:keepNext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558AC">
        <w:rPr>
          <w:rFonts w:ascii="Arial" w:hAnsi="Arial" w:cs="Arial"/>
          <w:b/>
          <w:bCs/>
          <w:kern w:val="32"/>
          <w:sz w:val="22"/>
          <w:szCs w:val="22"/>
        </w:rPr>
        <w:t xml:space="preserve">Karate </w:t>
      </w:r>
      <w:r>
        <w:rPr>
          <w:rFonts w:ascii="Arial" w:hAnsi="Arial" w:cs="Arial"/>
          <w:b/>
          <w:bCs/>
          <w:kern w:val="32"/>
          <w:sz w:val="22"/>
          <w:szCs w:val="22"/>
        </w:rPr>
        <w:t>K</w:t>
      </w:r>
      <w:r w:rsidRPr="004558AC">
        <w:rPr>
          <w:rFonts w:ascii="Arial" w:hAnsi="Arial" w:cs="Arial"/>
          <w:b/>
          <w:bCs/>
          <w:kern w:val="32"/>
          <w:sz w:val="22"/>
          <w:szCs w:val="22"/>
        </w:rPr>
        <w:t>lub Jeseník, spole</w:t>
      </w:r>
      <w:r w:rsidR="00566557">
        <w:rPr>
          <w:rFonts w:ascii="Arial" w:hAnsi="Arial" w:cs="Arial"/>
          <w:b/>
          <w:bCs/>
          <w:kern w:val="32"/>
          <w:sz w:val="22"/>
          <w:szCs w:val="22"/>
        </w:rPr>
        <w:t>k</w:t>
      </w:r>
    </w:p>
    <w:p w14:paraId="1DAF95DB" w14:textId="77777777" w:rsidR="004558AC" w:rsidRPr="004558AC" w:rsidRDefault="004558AC" w:rsidP="004558A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558AC">
        <w:rPr>
          <w:rFonts w:ascii="Arial" w:hAnsi="Arial" w:cs="Arial"/>
          <w:sz w:val="22"/>
          <w:szCs w:val="22"/>
        </w:rPr>
        <w:t>se sídlem:</w:t>
      </w:r>
      <w:r w:rsidRPr="004558AC">
        <w:rPr>
          <w:rFonts w:ascii="Arial" w:hAnsi="Arial" w:cs="Arial"/>
          <w:sz w:val="22"/>
          <w:szCs w:val="22"/>
        </w:rPr>
        <w:tab/>
      </w:r>
      <w:r w:rsidRPr="004558AC">
        <w:rPr>
          <w:rFonts w:ascii="Arial" w:hAnsi="Arial" w:cs="Arial"/>
          <w:sz w:val="22"/>
          <w:szCs w:val="22"/>
        </w:rPr>
        <w:tab/>
        <w:t>Lipovská 1168/54, 790 01 Jeseník</w:t>
      </w:r>
    </w:p>
    <w:p w14:paraId="7414C2EB" w14:textId="51AA7500" w:rsidR="004558AC" w:rsidRPr="004558AC" w:rsidRDefault="004558AC" w:rsidP="004558AC">
      <w:pPr>
        <w:ind w:left="360"/>
        <w:jc w:val="both"/>
        <w:rPr>
          <w:rFonts w:ascii="Arial" w:hAnsi="Arial" w:cs="Arial"/>
          <w:sz w:val="22"/>
          <w:szCs w:val="22"/>
        </w:rPr>
      </w:pPr>
      <w:r w:rsidRPr="004558AC">
        <w:rPr>
          <w:rFonts w:ascii="Arial" w:hAnsi="Arial" w:cs="Arial"/>
          <w:sz w:val="22"/>
          <w:szCs w:val="22"/>
        </w:rPr>
        <w:t>zastoupen</w:t>
      </w:r>
      <w:r w:rsidR="0033266D">
        <w:rPr>
          <w:rFonts w:ascii="Arial" w:hAnsi="Arial" w:cs="Arial"/>
          <w:sz w:val="22"/>
          <w:szCs w:val="22"/>
        </w:rPr>
        <w:t>ý</w:t>
      </w:r>
      <w:r w:rsidRPr="004558AC">
        <w:rPr>
          <w:rFonts w:ascii="Arial" w:hAnsi="Arial" w:cs="Arial"/>
          <w:sz w:val="22"/>
          <w:szCs w:val="22"/>
        </w:rPr>
        <w:t>:</w:t>
      </w:r>
      <w:r w:rsidRPr="004558AC">
        <w:rPr>
          <w:rFonts w:ascii="Arial" w:hAnsi="Arial" w:cs="Arial"/>
          <w:sz w:val="22"/>
          <w:szCs w:val="22"/>
        </w:rPr>
        <w:tab/>
        <w:t>Svatoplukem Sekaninou</w:t>
      </w:r>
      <w:r w:rsidRPr="004558AC">
        <w:rPr>
          <w:rFonts w:ascii="Arial" w:hAnsi="Arial" w:cs="Arial"/>
          <w:sz w:val="22"/>
          <w:szCs w:val="22"/>
        </w:rPr>
        <w:tab/>
      </w:r>
    </w:p>
    <w:p w14:paraId="5B869716" w14:textId="77777777" w:rsidR="004558AC" w:rsidRPr="004558AC" w:rsidRDefault="004558AC" w:rsidP="004558AC">
      <w:pPr>
        <w:ind w:left="360"/>
        <w:jc w:val="both"/>
        <w:rPr>
          <w:rFonts w:ascii="Arial" w:hAnsi="Arial" w:cs="Arial"/>
          <w:sz w:val="22"/>
          <w:szCs w:val="22"/>
        </w:rPr>
      </w:pPr>
      <w:r w:rsidRPr="004558AC">
        <w:rPr>
          <w:rFonts w:ascii="Arial" w:hAnsi="Arial" w:cs="Arial"/>
          <w:sz w:val="22"/>
          <w:szCs w:val="22"/>
        </w:rPr>
        <w:t xml:space="preserve">IČ: </w:t>
      </w:r>
      <w:r w:rsidRPr="004558AC">
        <w:rPr>
          <w:rFonts w:ascii="Arial" w:hAnsi="Arial" w:cs="Arial"/>
          <w:sz w:val="22"/>
          <w:szCs w:val="22"/>
        </w:rPr>
        <w:tab/>
      </w:r>
      <w:r w:rsidRPr="004558AC">
        <w:rPr>
          <w:rFonts w:ascii="Arial" w:hAnsi="Arial" w:cs="Arial"/>
          <w:sz w:val="22"/>
          <w:szCs w:val="22"/>
        </w:rPr>
        <w:tab/>
      </w:r>
      <w:r w:rsidRPr="004558AC">
        <w:rPr>
          <w:rFonts w:ascii="Arial" w:hAnsi="Arial" w:cs="Arial"/>
          <w:sz w:val="22"/>
          <w:szCs w:val="22"/>
        </w:rPr>
        <w:tab/>
        <w:t>22874542</w:t>
      </w:r>
      <w:r w:rsidRPr="004558AC">
        <w:rPr>
          <w:rFonts w:ascii="Arial" w:hAnsi="Arial" w:cs="Arial"/>
          <w:sz w:val="22"/>
          <w:szCs w:val="22"/>
        </w:rPr>
        <w:tab/>
      </w:r>
      <w:r w:rsidRPr="004558AC">
        <w:rPr>
          <w:rFonts w:ascii="Arial" w:hAnsi="Arial" w:cs="Arial"/>
          <w:sz w:val="22"/>
          <w:szCs w:val="22"/>
        </w:rPr>
        <w:tab/>
      </w:r>
    </w:p>
    <w:p w14:paraId="555F03D4" w14:textId="77777777" w:rsidR="004558AC" w:rsidRPr="004558AC" w:rsidRDefault="004558AC" w:rsidP="004558AC">
      <w:pPr>
        <w:ind w:left="360"/>
        <w:jc w:val="both"/>
        <w:rPr>
          <w:rFonts w:ascii="Arial" w:hAnsi="Arial" w:cs="Arial"/>
          <w:sz w:val="22"/>
          <w:szCs w:val="22"/>
        </w:rPr>
      </w:pPr>
      <w:r w:rsidRPr="004558AC">
        <w:rPr>
          <w:rFonts w:ascii="Arial" w:hAnsi="Arial" w:cs="Arial"/>
          <w:sz w:val="22"/>
          <w:szCs w:val="22"/>
        </w:rPr>
        <w:t>údaj o zápisu ve veřejném rejstříku: Krajský soud v Ostravě, oddíl L, vložka 13432</w:t>
      </w:r>
    </w:p>
    <w:p w14:paraId="3922B7E1" w14:textId="0D61624E" w:rsidR="004558AC" w:rsidRPr="004558AC" w:rsidRDefault="004558AC" w:rsidP="004558AC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4558AC">
        <w:rPr>
          <w:rFonts w:ascii="Arial" w:hAnsi="Arial" w:cs="Arial"/>
          <w:sz w:val="22"/>
          <w:szCs w:val="22"/>
        </w:rPr>
        <w:t xml:space="preserve">bankovní spojení: </w:t>
      </w:r>
      <w:r w:rsidR="00A071FA">
        <w:rPr>
          <w:rFonts w:ascii="Arial" w:hAnsi="Arial" w:cs="Arial"/>
          <w:sz w:val="22"/>
          <w:szCs w:val="22"/>
        </w:rPr>
        <w:t>XXXXXXXXXXXX</w:t>
      </w:r>
    </w:p>
    <w:p w14:paraId="32E10AAB" w14:textId="221B089C" w:rsidR="00353243" w:rsidRPr="005C35FB" w:rsidRDefault="00353243" w:rsidP="00ED368E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7E631BBB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3B2BDE6D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1D00E16D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45D4E6AB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3A20052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BA6140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236AE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48F3073B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E693A2D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5E99EB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3E7AF8E6" w14:textId="01A3F2CB" w:rsidR="00C024EF" w:rsidRPr="00EB4A3D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proofErr w:type="gramStart"/>
      <w:r w:rsidR="00815087">
        <w:rPr>
          <w:rFonts w:ascii="Arial" w:hAnsi="Arial" w:cs="Arial"/>
          <w:sz w:val="22"/>
          <w:szCs w:val="22"/>
        </w:rPr>
        <w:t>1</w:t>
      </w:r>
      <w:r w:rsidR="00DE7231">
        <w:rPr>
          <w:rFonts w:ascii="Arial" w:hAnsi="Arial" w:cs="Arial"/>
          <w:sz w:val="22"/>
          <w:szCs w:val="22"/>
        </w:rPr>
        <w:t>10</w:t>
      </w:r>
      <w:r w:rsidR="00EB4A3D">
        <w:rPr>
          <w:rFonts w:ascii="Arial" w:hAnsi="Arial" w:cs="Arial"/>
          <w:sz w:val="22"/>
          <w:szCs w:val="22"/>
        </w:rPr>
        <w:t>.000</w:t>
      </w:r>
      <w:r w:rsidR="00353243">
        <w:rPr>
          <w:rFonts w:ascii="Arial" w:hAnsi="Arial" w:cs="Arial"/>
          <w:sz w:val="22"/>
          <w:szCs w:val="22"/>
        </w:rPr>
        <w:t>,-</w:t>
      </w:r>
      <w:proofErr w:type="gramEnd"/>
      <w:r w:rsidR="00353243">
        <w:rPr>
          <w:rFonts w:ascii="Arial" w:hAnsi="Arial" w:cs="Arial"/>
          <w:sz w:val="22"/>
          <w:szCs w:val="22"/>
        </w:rPr>
        <w:t xml:space="preserve">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815087">
        <w:rPr>
          <w:rFonts w:ascii="Arial" w:hAnsi="Arial" w:cs="Arial"/>
          <w:sz w:val="22"/>
          <w:szCs w:val="22"/>
        </w:rPr>
        <w:t>sto d</w:t>
      </w:r>
      <w:r w:rsidR="00DE7231">
        <w:rPr>
          <w:rFonts w:ascii="Arial" w:hAnsi="Arial" w:cs="Arial"/>
          <w:sz w:val="22"/>
          <w:szCs w:val="22"/>
        </w:rPr>
        <w:t>eset</w:t>
      </w:r>
      <w:r w:rsidR="00F14D0E">
        <w:rPr>
          <w:rFonts w:ascii="Arial" w:hAnsi="Arial" w:cs="Arial"/>
          <w:sz w:val="22"/>
          <w:szCs w:val="22"/>
        </w:rPr>
        <w:t xml:space="preserve"> </w:t>
      </w:r>
      <w:r w:rsidR="00EB4A3D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3EE8B459" w14:textId="517E49EF" w:rsidR="00EB4A3D" w:rsidRDefault="00EB4A3D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74E73BE0" w14:textId="77777777" w:rsidR="00671278" w:rsidRDefault="00671278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42C45672" w14:textId="0135192D" w:rsidR="008348A9" w:rsidRDefault="008348A9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6D138AF1" w14:textId="7514A2AE" w:rsidR="008348A9" w:rsidRDefault="008348A9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33B1F116" w14:textId="77777777" w:rsidR="00ED368E" w:rsidRPr="00C12C3A" w:rsidRDefault="00ED368E" w:rsidP="00EB4A3D">
      <w:pPr>
        <w:jc w:val="both"/>
        <w:rPr>
          <w:rFonts w:ascii="Arial" w:hAnsi="Arial" w:cs="Arial"/>
          <w:strike/>
          <w:sz w:val="22"/>
          <w:szCs w:val="22"/>
        </w:rPr>
      </w:pPr>
    </w:p>
    <w:p w14:paraId="0EAB534B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A71F83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1908C9">
        <w:rPr>
          <w:rFonts w:ascii="Arial" w:hAnsi="Arial" w:cs="Arial"/>
          <w:b/>
          <w:color w:val="FF0000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572BC6C1" w14:textId="2EEF5E58" w:rsidR="00C024EF" w:rsidRDefault="00DE7231" w:rsidP="002D1019">
      <w:pPr>
        <w:pStyle w:val="Odstavecseseznamem"/>
        <w:ind w:left="1776" w:firstLine="348"/>
        <w:rPr>
          <w:rFonts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>Karate Klub Jeseník, spolek</w:t>
      </w:r>
      <w:r w:rsidR="00815087">
        <w:rPr>
          <w:rFonts w:ascii="Arial" w:hAnsi="Arial" w:cs="Arial"/>
          <w:b/>
        </w:rPr>
        <w:t xml:space="preserve">, </w:t>
      </w:r>
      <w:r w:rsidR="00BE5156">
        <w:rPr>
          <w:rFonts w:cs="Arial"/>
        </w:rPr>
        <w:t xml:space="preserve"> </w:t>
      </w:r>
    </w:p>
    <w:p w14:paraId="4574CF60" w14:textId="77777777" w:rsidR="00BE5156" w:rsidRPr="00BE5156" w:rsidRDefault="00BE5156" w:rsidP="00BE5156"/>
    <w:p w14:paraId="2D4479FB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37085F6F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420994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49965A8" w14:textId="318F4BA0" w:rsidR="002A3024" w:rsidRPr="00EB4A3D" w:rsidRDefault="0058206C" w:rsidP="00EB4A3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EB4A3D">
        <w:rPr>
          <w:rFonts w:ascii="Arial" w:hAnsi="Arial" w:cs="Arial"/>
          <w:sz w:val="22"/>
          <w:szCs w:val="22"/>
        </w:rPr>
        <w:t>2021</w:t>
      </w:r>
    </w:p>
    <w:p w14:paraId="2BDD939B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747646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2FFFCCA0" w14:textId="77777777" w:rsidR="001531A4" w:rsidRDefault="001531A4" w:rsidP="001531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1C50DC31" w14:textId="312E13B1" w:rsidR="009A2540" w:rsidRPr="00CE3F9B" w:rsidRDefault="009A2540" w:rsidP="009A2540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25EDC3C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33A631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547B68B6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1D6CEFD3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77394618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BA6140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236AE" w:rsidRPr="00EB4A3D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EB4A3D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6B42FBC1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C110D4" w14:textId="6D08A815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2D1019" w:rsidRPr="002D1019">
        <w:rPr>
          <w:rFonts w:ascii="Arial" w:hAnsi="Arial" w:cs="Arial"/>
          <w:sz w:val="22"/>
          <w:szCs w:val="22"/>
        </w:rPr>
        <w:t>musí dotaci použít na náklady uvedené v žádosti</w:t>
      </w:r>
      <w:r w:rsidR="00CE3F9B" w:rsidRPr="00CE3F9B">
        <w:rPr>
          <w:rFonts w:ascii="Arial" w:hAnsi="Arial" w:cs="Arial"/>
          <w:i/>
          <w:sz w:val="22"/>
          <w:szCs w:val="22"/>
        </w:rPr>
        <w:t>.</w:t>
      </w:r>
    </w:p>
    <w:p w14:paraId="20AF5648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018DC3A7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369799B0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0EFBB5E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7F406ED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27BA7CA7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384CE23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78903A9D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50</w:t>
      </w:r>
      <w:proofErr w:type="gramEnd"/>
      <w:r w:rsidR="000E297B">
        <w:rPr>
          <w:rFonts w:ascii="Arial" w:hAnsi="Arial" w:cs="Arial"/>
          <w:sz w:val="22"/>
          <w:szCs w:val="22"/>
        </w:rPr>
        <w:t xml:space="preserve">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50258DEC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4BC27E5C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BA6140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236A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7F767146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7DE4932C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44EEEBDB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1CDB078E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19BD81A5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6234D1E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635237E3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6436DDF3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27ED8EFE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F936656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4C9D6B2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fotokopiemi výdajových dokladů včetně příloh (stvrzenky, paragony apod.), na </w:t>
      </w:r>
      <w:proofErr w:type="gramStart"/>
      <w:r w:rsidRPr="00C91547">
        <w:rPr>
          <w:rFonts w:ascii="Arial" w:hAnsi="Arial" w:cs="Arial"/>
          <w:sz w:val="22"/>
          <w:szCs w:val="22"/>
        </w:rPr>
        <w:t>základě</w:t>
      </w:r>
      <w:proofErr w:type="gramEnd"/>
      <w:r w:rsidRPr="00C91547">
        <w:rPr>
          <w:rFonts w:ascii="Arial" w:hAnsi="Arial" w:cs="Arial"/>
          <w:sz w:val="22"/>
          <w:szCs w:val="22"/>
        </w:rPr>
        <w:t xml:space="preserve"> kterých je pokladní doklad vystaven,</w:t>
      </w:r>
    </w:p>
    <w:p w14:paraId="3E3E4241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14:paraId="75809E69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624A2A70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524AF41C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2083C5D1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48AF20" w14:textId="77777777"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7236AE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7236AE">
        <w:rPr>
          <w:rFonts w:ascii="Arial" w:hAnsi="Arial" w:cs="Arial"/>
          <w:sz w:val="22"/>
          <w:szCs w:val="22"/>
        </w:rPr>
        <w:t>. Po</w:t>
      </w:r>
      <w:r w:rsidR="00B123A0" w:rsidRPr="00EA770E">
        <w:rPr>
          <w:rFonts w:ascii="Arial" w:hAnsi="Arial" w:cs="Arial"/>
          <w:sz w:val="22"/>
          <w:szCs w:val="22"/>
        </w:rPr>
        <w:t>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14:paraId="51735469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507A2EAA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>nejpozději do 15 dnů od</w:t>
      </w:r>
      <w:r w:rsidR="007236AE">
        <w:rPr>
          <w:rFonts w:ascii="Arial" w:hAnsi="Arial" w:cs="Arial"/>
          <w:sz w:val="22"/>
          <w:szCs w:val="22"/>
          <w:lang w:eastAsia="ar-SA"/>
        </w:rPr>
        <w:t xml:space="preserve">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7A5D0686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D0298E" w14:textId="77777777" w:rsidR="00443876" w:rsidRPr="007236AE" w:rsidRDefault="00443876" w:rsidP="007236A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7236A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15D71590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762FB2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14:paraId="2B499F5F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273CCC3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6F83391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</w:t>
      </w:r>
      <w:proofErr w:type="gramEnd"/>
      <w:r w:rsidRPr="002A3024">
        <w:rPr>
          <w:rFonts w:ascii="Arial" w:hAnsi="Arial" w:cs="Arial"/>
          <w:sz w:val="22"/>
          <w:szCs w:val="22"/>
          <w:lang w:eastAsia="ar-SA"/>
        </w:rPr>
        <w:t>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83228E9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758285E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C11810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90C6EE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2B2C985D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DE0405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284D24A9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32843000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14324A37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6855EE21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439D5323" w14:textId="77777777"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058B35D1" w14:textId="77777777"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14:paraId="489C4D1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F45839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18D5AF04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8A7F5A8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E8819A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64C090A" w14:textId="3DEB99DC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0D6E41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0D6E41" w:rsidRPr="000D6E41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03660D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6EDB03" w14:textId="77777777"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5ED4D735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50F348" w14:textId="02F86A9F" w:rsidR="00532850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0D6E41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0A91E1A2" w14:textId="77777777" w:rsidR="00532850" w:rsidRDefault="00532850" w:rsidP="00532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89BA7A" w14:textId="77777777"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</w:t>
      </w:r>
      <w:proofErr w:type="gramEnd"/>
      <w:r w:rsidRPr="00D83826">
        <w:rPr>
          <w:rFonts w:ascii="Arial" w:hAnsi="Arial" w:cs="Arial"/>
          <w:color w:val="000000"/>
          <w:sz w:val="22"/>
          <w:szCs w:val="22"/>
        </w:rPr>
        <w:t xml:space="preserve">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53C39DC1" w14:textId="77777777"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287E13D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01D898C3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691BC5" w14:textId="77777777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745B57D7" w14:textId="77777777"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F45CD03" w14:textId="13107BA5"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83826">
        <w:rPr>
          <w:rFonts w:ascii="Arial" w:hAnsi="Arial" w:cs="Arial"/>
          <w:color w:val="000000"/>
          <w:sz w:val="22"/>
          <w:szCs w:val="22"/>
        </w:rPr>
        <w:t>. § 41 odst. 1 zákona č. 128/2000 Sb., o obcích, ve znění pozdějších předpisů: Poskytnutí této dotace bylo schváleno usnesením</w:t>
      </w:r>
      <w:r w:rsidR="000D6E4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041DBD">
        <w:rPr>
          <w:rFonts w:ascii="Arial" w:hAnsi="Arial" w:cs="Arial"/>
          <w:color w:val="000000"/>
          <w:sz w:val="22"/>
          <w:szCs w:val="22"/>
        </w:rPr>
        <w:t>Zastupitelstva</w:t>
      </w:r>
      <w:r w:rsidRPr="00D83826">
        <w:rPr>
          <w:rFonts w:ascii="Arial" w:hAnsi="Arial" w:cs="Arial"/>
          <w:color w:val="000000"/>
          <w:sz w:val="22"/>
          <w:szCs w:val="22"/>
        </w:rPr>
        <w:t>  města</w:t>
      </w:r>
      <w:proofErr w:type="gramEnd"/>
      <w:r w:rsidRPr="00D83826">
        <w:rPr>
          <w:rFonts w:ascii="Arial" w:hAnsi="Arial" w:cs="Arial"/>
          <w:color w:val="000000"/>
          <w:sz w:val="22"/>
          <w:szCs w:val="22"/>
        </w:rPr>
        <w:t xml:space="preserve"> Jeseník č.</w:t>
      </w:r>
      <w:r w:rsidR="008348A9">
        <w:rPr>
          <w:rFonts w:ascii="Arial" w:hAnsi="Arial" w:cs="Arial"/>
          <w:color w:val="000000"/>
          <w:sz w:val="22"/>
          <w:szCs w:val="22"/>
        </w:rPr>
        <w:t xml:space="preserve"> </w:t>
      </w:r>
      <w:r w:rsidR="00F14D0E">
        <w:rPr>
          <w:rFonts w:ascii="Arial" w:hAnsi="Arial" w:cs="Arial"/>
          <w:color w:val="000000"/>
          <w:sz w:val="22"/>
          <w:szCs w:val="22"/>
        </w:rPr>
        <w:t>49</w:t>
      </w:r>
      <w:r w:rsidR="00DE7231">
        <w:rPr>
          <w:rFonts w:ascii="Arial" w:hAnsi="Arial" w:cs="Arial"/>
          <w:color w:val="000000"/>
          <w:sz w:val="22"/>
          <w:szCs w:val="22"/>
        </w:rPr>
        <w:t>5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41DBD">
        <w:rPr>
          <w:rFonts w:ascii="Arial" w:hAnsi="Arial" w:cs="Arial"/>
          <w:color w:val="000000"/>
          <w:sz w:val="22"/>
          <w:szCs w:val="22"/>
        </w:rPr>
        <w:t>25</w:t>
      </w:r>
      <w:r w:rsidR="000D6E41">
        <w:rPr>
          <w:rFonts w:ascii="Arial" w:hAnsi="Arial" w:cs="Arial"/>
          <w:color w:val="000000"/>
          <w:sz w:val="22"/>
          <w:szCs w:val="22"/>
        </w:rPr>
        <w:t>.2.2021.</w:t>
      </w:r>
    </w:p>
    <w:p w14:paraId="63D6DA4F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481EA08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6FC0CDF" w14:textId="27F495AB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A071FA">
        <w:rPr>
          <w:rFonts w:ascii="Arial" w:hAnsi="Arial" w:cs="Arial"/>
          <w:color w:val="000000"/>
          <w:sz w:val="22"/>
          <w:szCs w:val="22"/>
        </w:rPr>
        <w:t xml:space="preserve"> 29.3.2021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 w:rsidR="00A071FA">
        <w:rPr>
          <w:rFonts w:ascii="Arial" w:hAnsi="Arial" w:cs="Arial"/>
          <w:color w:val="000000"/>
          <w:sz w:val="22"/>
          <w:szCs w:val="22"/>
        </w:rPr>
        <w:t>29.3.2021</w:t>
      </w:r>
    </w:p>
    <w:p w14:paraId="4E86AA4B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1F3FCC93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97E84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77B62967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225F5752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3EA5A4DA" w14:textId="77777777"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73B224A5" w14:textId="77777777"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14:paraId="1434CBE6" w14:textId="77777777"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F96F" w14:textId="77777777" w:rsidR="0005739E" w:rsidRDefault="0005739E" w:rsidP="004911D6">
      <w:r>
        <w:separator/>
      </w:r>
    </w:p>
  </w:endnote>
  <w:endnote w:type="continuationSeparator" w:id="0">
    <w:p w14:paraId="7CA0FDE6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C438" w14:textId="77777777" w:rsidR="00192952" w:rsidRDefault="007E0F09" w:rsidP="00192952">
    <w:pPr>
      <w:pStyle w:val="Zpat"/>
      <w:tabs>
        <w:tab w:val="clear" w:pos="9072"/>
        <w:tab w:val="right" w:pos="10064"/>
      </w:tabs>
      <w:jc w:val="center"/>
    </w:pPr>
    <w:r>
      <w:t xml:space="preserve">Smlouva o poskytnutí dotace </w:t>
    </w:r>
    <w:r w:rsidR="00AE7CE0">
      <w:t xml:space="preserve">– DP </w:t>
    </w:r>
    <w:r w:rsidR="00192952">
      <w:t xml:space="preserve">SPORT </w:t>
    </w:r>
    <w:proofErr w:type="gramStart"/>
    <w:r w:rsidR="00B408A5">
      <w:t>1B</w:t>
    </w:r>
    <w:proofErr w:type="gramEnd"/>
  </w:p>
  <w:p w14:paraId="19119F11" w14:textId="77777777" w:rsidR="0005739E" w:rsidRDefault="0005739E" w:rsidP="00192952">
    <w:pPr>
      <w:pStyle w:val="Zpat"/>
      <w:tabs>
        <w:tab w:val="clear" w:pos="9072"/>
        <w:tab w:val="right" w:pos="10064"/>
      </w:tabs>
      <w:jc w:val="center"/>
    </w:pPr>
    <w:r>
      <w:t xml:space="preserve">Stránka </w:t>
    </w:r>
    <w:r w:rsidR="006F3A31">
      <w:rPr>
        <w:b/>
      </w:rPr>
      <w:fldChar w:fldCharType="begin"/>
    </w:r>
    <w:r>
      <w:rPr>
        <w:b/>
      </w:rPr>
      <w:instrText>PAGE</w:instrText>
    </w:r>
    <w:r w:rsidR="006F3A31">
      <w:rPr>
        <w:b/>
      </w:rPr>
      <w:fldChar w:fldCharType="separate"/>
    </w:r>
    <w:r w:rsidR="00B408A5">
      <w:rPr>
        <w:b/>
        <w:noProof/>
      </w:rPr>
      <w:t>1</w:t>
    </w:r>
    <w:r w:rsidR="006F3A31">
      <w:rPr>
        <w:b/>
      </w:rPr>
      <w:fldChar w:fldCharType="end"/>
    </w:r>
    <w:r>
      <w:t xml:space="preserve"> z </w:t>
    </w:r>
    <w:r w:rsidR="006F3A31">
      <w:rPr>
        <w:b/>
      </w:rPr>
      <w:fldChar w:fldCharType="begin"/>
    </w:r>
    <w:r>
      <w:rPr>
        <w:b/>
      </w:rPr>
      <w:instrText>NUMPAGES</w:instrText>
    </w:r>
    <w:r w:rsidR="006F3A31">
      <w:rPr>
        <w:b/>
      </w:rPr>
      <w:fldChar w:fldCharType="separate"/>
    </w:r>
    <w:r w:rsidR="00B408A5">
      <w:rPr>
        <w:b/>
        <w:noProof/>
      </w:rPr>
      <w:t>4</w:t>
    </w:r>
    <w:r w:rsidR="006F3A31">
      <w:rPr>
        <w:b/>
      </w:rPr>
      <w:fldChar w:fldCharType="end"/>
    </w:r>
  </w:p>
  <w:p w14:paraId="5410196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F711" w14:textId="77777777" w:rsidR="0005739E" w:rsidRDefault="0005739E" w:rsidP="004911D6">
      <w:r>
        <w:separator/>
      </w:r>
    </w:p>
  </w:footnote>
  <w:footnote w:type="continuationSeparator" w:id="0">
    <w:p w14:paraId="2C162E22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3C28"/>
    <w:rsid w:val="000040AF"/>
    <w:rsid w:val="00011672"/>
    <w:rsid w:val="000131AF"/>
    <w:rsid w:val="00020689"/>
    <w:rsid w:val="0003725C"/>
    <w:rsid w:val="00037392"/>
    <w:rsid w:val="00041DBD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D6E41"/>
    <w:rsid w:val="000E297B"/>
    <w:rsid w:val="000E6352"/>
    <w:rsid w:val="000F03D5"/>
    <w:rsid w:val="00103531"/>
    <w:rsid w:val="00117760"/>
    <w:rsid w:val="001315BF"/>
    <w:rsid w:val="001531A4"/>
    <w:rsid w:val="00156A97"/>
    <w:rsid w:val="0016205F"/>
    <w:rsid w:val="0016542A"/>
    <w:rsid w:val="00171FAD"/>
    <w:rsid w:val="001765D2"/>
    <w:rsid w:val="00177469"/>
    <w:rsid w:val="00187CD3"/>
    <w:rsid w:val="001908C9"/>
    <w:rsid w:val="00192952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019"/>
    <w:rsid w:val="002D1FBE"/>
    <w:rsid w:val="002D6CB1"/>
    <w:rsid w:val="002D74E5"/>
    <w:rsid w:val="002F77AC"/>
    <w:rsid w:val="0030523A"/>
    <w:rsid w:val="00305373"/>
    <w:rsid w:val="00324DBB"/>
    <w:rsid w:val="003259CA"/>
    <w:rsid w:val="0033266D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558AC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66557"/>
    <w:rsid w:val="00573FDA"/>
    <w:rsid w:val="00580D49"/>
    <w:rsid w:val="0058206C"/>
    <w:rsid w:val="005865D5"/>
    <w:rsid w:val="005B6926"/>
    <w:rsid w:val="00603228"/>
    <w:rsid w:val="00606B77"/>
    <w:rsid w:val="00622D0F"/>
    <w:rsid w:val="00632874"/>
    <w:rsid w:val="00637BCD"/>
    <w:rsid w:val="006441FA"/>
    <w:rsid w:val="00650269"/>
    <w:rsid w:val="0066331F"/>
    <w:rsid w:val="00663ED5"/>
    <w:rsid w:val="00671278"/>
    <w:rsid w:val="00696C34"/>
    <w:rsid w:val="006B2910"/>
    <w:rsid w:val="006E6B2D"/>
    <w:rsid w:val="006F3A31"/>
    <w:rsid w:val="00705E24"/>
    <w:rsid w:val="007127C3"/>
    <w:rsid w:val="007170BD"/>
    <w:rsid w:val="007236AE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15087"/>
    <w:rsid w:val="008348A9"/>
    <w:rsid w:val="00834D56"/>
    <w:rsid w:val="008354F3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A2540"/>
    <w:rsid w:val="009D713D"/>
    <w:rsid w:val="009E12A1"/>
    <w:rsid w:val="009E352D"/>
    <w:rsid w:val="009F1121"/>
    <w:rsid w:val="00A071FA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08A5"/>
    <w:rsid w:val="00B42901"/>
    <w:rsid w:val="00B43399"/>
    <w:rsid w:val="00B43BC4"/>
    <w:rsid w:val="00B90CC6"/>
    <w:rsid w:val="00BA6140"/>
    <w:rsid w:val="00BB5E5C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19CA"/>
    <w:rsid w:val="00C753DF"/>
    <w:rsid w:val="00C855EA"/>
    <w:rsid w:val="00C91547"/>
    <w:rsid w:val="00C91997"/>
    <w:rsid w:val="00CB08F1"/>
    <w:rsid w:val="00CB30ED"/>
    <w:rsid w:val="00CC425B"/>
    <w:rsid w:val="00CD2EC6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DE7231"/>
    <w:rsid w:val="00E1342A"/>
    <w:rsid w:val="00E27A57"/>
    <w:rsid w:val="00E32065"/>
    <w:rsid w:val="00E3229C"/>
    <w:rsid w:val="00E55287"/>
    <w:rsid w:val="00E87B9D"/>
    <w:rsid w:val="00E90415"/>
    <w:rsid w:val="00E918AD"/>
    <w:rsid w:val="00EA04FE"/>
    <w:rsid w:val="00EA118B"/>
    <w:rsid w:val="00EA770E"/>
    <w:rsid w:val="00EB1609"/>
    <w:rsid w:val="00EB1B71"/>
    <w:rsid w:val="00EB4A3D"/>
    <w:rsid w:val="00EC5B0E"/>
    <w:rsid w:val="00ED368E"/>
    <w:rsid w:val="00F05347"/>
    <w:rsid w:val="00F059B8"/>
    <w:rsid w:val="00F14D0E"/>
    <w:rsid w:val="00F265D7"/>
    <w:rsid w:val="00F26F71"/>
    <w:rsid w:val="00F41327"/>
    <w:rsid w:val="00F50E62"/>
    <w:rsid w:val="00F603A7"/>
    <w:rsid w:val="00F92EDF"/>
    <w:rsid w:val="00FA1493"/>
    <w:rsid w:val="00FB293F"/>
    <w:rsid w:val="00FC0DDD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6A36"/>
  <w15:docId w15:val="{59689ACC-7B1D-4BA0-A412-A129394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D05A-1FD9-4E43-A92E-99B73D4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1470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10127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Nerušilová Eva</cp:lastModifiedBy>
  <cp:revision>9</cp:revision>
  <cp:lastPrinted>2021-04-14T09:18:00Z</cp:lastPrinted>
  <dcterms:created xsi:type="dcterms:W3CDTF">2021-03-16T08:23:00Z</dcterms:created>
  <dcterms:modified xsi:type="dcterms:W3CDTF">2021-04-14T09:19:00Z</dcterms:modified>
</cp:coreProperties>
</file>