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038D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24177">
        <w:rPr>
          <w:rFonts w:cs="Calibri"/>
          <w:b/>
          <w:sz w:val="28"/>
          <w:szCs w:val="28"/>
        </w:rPr>
        <w:t>SMLOUVA   O   SPOLUPRÁCI</w:t>
      </w:r>
    </w:p>
    <w:p w14:paraId="75F11DD3" w14:textId="3F700963" w:rsidR="0094634B" w:rsidRPr="00724177" w:rsidRDefault="003B2422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137AA">
        <w:rPr>
          <w:rFonts w:cs="Calibri"/>
          <w:sz w:val="24"/>
          <w:szCs w:val="24"/>
        </w:rPr>
        <w:t xml:space="preserve">č. </w:t>
      </w:r>
      <w:r w:rsidR="008771A7" w:rsidRPr="003137AA">
        <w:rPr>
          <w:rFonts w:cs="Calibri"/>
          <w:sz w:val="24"/>
          <w:szCs w:val="24"/>
        </w:rPr>
        <w:t>210254</w:t>
      </w:r>
      <w:r w:rsidR="0022777D" w:rsidRPr="003137AA">
        <w:rPr>
          <w:rFonts w:cs="Calibri"/>
          <w:sz w:val="24"/>
          <w:szCs w:val="24"/>
        </w:rPr>
        <w:t xml:space="preserve"> (dále jen „</w:t>
      </w:r>
      <w:r w:rsidR="004D03AB" w:rsidRPr="003137AA">
        <w:rPr>
          <w:rFonts w:cs="Calibri"/>
          <w:b/>
          <w:bCs/>
          <w:sz w:val="24"/>
          <w:szCs w:val="24"/>
        </w:rPr>
        <w:t>s</w:t>
      </w:r>
      <w:r w:rsidR="0022777D" w:rsidRPr="003137AA">
        <w:rPr>
          <w:rFonts w:cs="Calibri"/>
          <w:b/>
          <w:bCs/>
          <w:sz w:val="24"/>
          <w:szCs w:val="24"/>
        </w:rPr>
        <w:t>mlouva</w:t>
      </w:r>
      <w:r w:rsidR="0022777D" w:rsidRPr="003137AA">
        <w:rPr>
          <w:rFonts w:cs="Calibri"/>
          <w:sz w:val="24"/>
          <w:szCs w:val="24"/>
        </w:rPr>
        <w:t>“)</w:t>
      </w:r>
    </w:p>
    <w:p w14:paraId="3E120D2E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uzavřená níže uvedeného dne, měsíce a roku na základě ustanovení § 1746</w:t>
      </w:r>
      <w:r w:rsidR="003E2F10" w:rsidRPr="00724177">
        <w:rPr>
          <w:rFonts w:cs="Calibri"/>
          <w:sz w:val="24"/>
          <w:szCs w:val="24"/>
        </w:rPr>
        <w:t>,</w:t>
      </w:r>
      <w:r w:rsidRPr="00724177">
        <w:rPr>
          <w:rFonts w:cs="Calibri"/>
          <w:sz w:val="24"/>
          <w:szCs w:val="24"/>
        </w:rPr>
        <w:t xml:space="preserve"> odst. 2 zákona č. 89/2012 Sb., občanský zákoník, ve znění pozdějších předpisů, mezi těmito smluvními </w:t>
      </w:r>
    </w:p>
    <w:p w14:paraId="55907C58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stranami:</w:t>
      </w:r>
    </w:p>
    <w:p w14:paraId="22FF259F" w14:textId="77777777" w:rsidR="0094634B" w:rsidRPr="00724177" w:rsidRDefault="0094634B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152FC96" w14:textId="77777777" w:rsidR="00296B17" w:rsidRPr="00724177" w:rsidRDefault="00296B17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7B0C654" w14:textId="77777777" w:rsidR="00296B17" w:rsidRPr="00724177" w:rsidRDefault="00296B17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3B57B6E" w14:textId="77777777" w:rsidR="005D4144" w:rsidRPr="00724177" w:rsidRDefault="0094634B" w:rsidP="00B11236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724177">
        <w:rPr>
          <w:rFonts w:cs="Calibri"/>
          <w:b/>
          <w:bCs/>
          <w:sz w:val="24"/>
          <w:szCs w:val="24"/>
        </w:rPr>
        <w:t>Národní muzeum</w:t>
      </w:r>
    </w:p>
    <w:p w14:paraId="544CE88D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příspěvková organizace nepodléhající zápisu do obchodního rejstříku, zřízená zřizovací listinou Ministra kultury č. j. 17461/2000 ze dne 27. 12. 2000</w:t>
      </w:r>
    </w:p>
    <w:p w14:paraId="25824EE7" w14:textId="77777777" w:rsidR="0094634B" w:rsidRPr="00724177" w:rsidRDefault="0094634B" w:rsidP="005D4144">
      <w:pPr>
        <w:pStyle w:val="Zkladntext"/>
        <w:shd w:val="clear" w:color="auto" w:fill="auto"/>
        <w:tabs>
          <w:tab w:val="left" w:pos="9072"/>
        </w:tabs>
        <w:spacing w:before="0" w:after="0" w:line="240" w:lineRule="auto"/>
        <w:ind w:right="54"/>
        <w:jc w:val="left"/>
        <w:rPr>
          <w:rFonts w:ascii="Calibri" w:hAnsi="Calibri" w:cs="Calibri"/>
          <w:sz w:val="24"/>
          <w:szCs w:val="24"/>
          <w:shd w:val="clear" w:color="auto" w:fill="FFFFFF"/>
        </w:rPr>
      </w:pPr>
      <w:r w:rsidRPr="00724177">
        <w:rPr>
          <w:rStyle w:val="ZkladntextChar"/>
          <w:rFonts w:ascii="Calibri" w:hAnsi="Calibri" w:cs="Calibri"/>
          <w:sz w:val="24"/>
          <w:szCs w:val="24"/>
        </w:rPr>
        <w:t>jehož jménem jedná generální ředitel Národního muzea, PhDr. Michal Lukeš, Ph.D.</w:t>
      </w:r>
    </w:p>
    <w:p w14:paraId="1319BA0E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se sídlem Václavské náměstí 68, 115 79 Praha 1</w:t>
      </w:r>
    </w:p>
    <w:p w14:paraId="5D035F29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IČO: 00023272, </w:t>
      </w:r>
    </w:p>
    <w:p w14:paraId="65668AF3" w14:textId="77777777" w:rsidR="009C4EAB" w:rsidRPr="00724177" w:rsidRDefault="009C4EAB" w:rsidP="005D4144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724177">
        <w:rPr>
          <w:rFonts w:cs="Calibri"/>
          <w:sz w:val="24"/>
          <w:szCs w:val="24"/>
        </w:rPr>
        <w:t xml:space="preserve">(dále jen </w:t>
      </w:r>
      <w:r w:rsidR="0022777D" w:rsidRPr="00724177">
        <w:rPr>
          <w:rFonts w:cs="Calibri"/>
          <w:sz w:val="24"/>
          <w:szCs w:val="24"/>
        </w:rPr>
        <w:t>„</w:t>
      </w:r>
      <w:r w:rsidRPr="00724177">
        <w:rPr>
          <w:rFonts w:cs="Calibri"/>
          <w:b/>
          <w:bCs/>
          <w:sz w:val="24"/>
          <w:szCs w:val="24"/>
        </w:rPr>
        <w:t>Muzeum</w:t>
      </w:r>
      <w:r w:rsidR="0022777D" w:rsidRPr="00724177">
        <w:rPr>
          <w:rFonts w:cs="Calibri"/>
          <w:sz w:val="24"/>
          <w:szCs w:val="24"/>
        </w:rPr>
        <w:t>“</w:t>
      </w:r>
      <w:r w:rsidRPr="00724177">
        <w:rPr>
          <w:rFonts w:cs="Calibri"/>
          <w:sz w:val="24"/>
          <w:szCs w:val="24"/>
        </w:rPr>
        <w:t>)</w:t>
      </w:r>
    </w:p>
    <w:p w14:paraId="29ED6B10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</w:p>
    <w:p w14:paraId="1431160A" w14:textId="77777777" w:rsidR="0094634B" w:rsidRPr="00724177" w:rsidRDefault="0094634B" w:rsidP="007D191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a </w:t>
      </w:r>
    </w:p>
    <w:p w14:paraId="3A272D37" w14:textId="77777777" w:rsidR="006805E3" w:rsidRPr="00724177" w:rsidRDefault="006805E3" w:rsidP="007D1914">
      <w:pPr>
        <w:spacing w:after="0" w:line="240" w:lineRule="auto"/>
        <w:rPr>
          <w:rFonts w:cs="Calibri"/>
          <w:sz w:val="24"/>
          <w:szCs w:val="24"/>
        </w:rPr>
      </w:pPr>
    </w:p>
    <w:p w14:paraId="0BFE5792" w14:textId="77777777" w:rsidR="008B0040" w:rsidRPr="00724177" w:rsidRDefault="008B0040" w:rsidP="007D1914">
      <w:pPr>
        <w:spacing w:after="0" w:line="240" w:lineRule="auto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 xml:space="preserve">CZECH PHOTO o.p.s., </w:t>
      </w:r>
    </w:p>
    <w:p w14:paraId="3772458B" w14:textId="77777777" w:rsidR="008B0040" w:rsidRPr="00724177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 xml:space="preserve">obecně prospěšná společnost založená podle práva České republiky, se sídlem Seydlerova 2835/4, 158 00 Praha 5 - Stodůlky, zapsanou v obchodním rejstříku vedeném Městským soudem v Praze pod spisovou značkou O 124, </w:t>
      </w:r>
    </w:p>
    <w:p w14:paraId="35E2C69B" w14:textId="77777777" w:rsidR="006F75C0" w:rsidRPr="00724177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>zastoupenou Ing. Veronikou Souralovou, statutární ředitelkou</w:t>
      </w:r>
    </w:p>
    <w:p w14:paraId="57E9EB5E" w14:textId="77777777" w:rsidR="008B0040" w:rsidRPr="00724177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>IČO: 257 58 675</w:t>
      </w:r>
    </w:p>
    <w:p w14:paraId="43F764CB" w14:textId="77777777" w:rsidR="008B0040" w:rsidRPr="00724177" w:rsidRDefault="008B0040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 xml:space="preserve">(dále jen </w:t>
      </w:r>
      <w:r w:rsidR="0022777D" w:rsidRPr="00724177">
        <w:rPr>
          <w:rFonts w:cs="Calibri"/>
          <w:bCs/>
          <w:sz w:val="24"/>
          <w:szCs w:val="24"/>
        </w:rPr>
        <w:t>„</w:t>
      </w:r>
      <w:r w:rsidRPr="00724177">
        <w:rPr>
          <w:rFonts w:cs="Calibri"/>
          <w:b/>
          <w:sz w:val="24"/>
          <w:szCs w:val="24"/>
        </w:rPr>
        <w:t>CP</w:t>
      </w:r>
      <w:r w:rsidR="0022777D" w:rsidRPr="00724177">
        <w:rPr>
          <w:rFonts w:cs="Calibri"/>
          <w:bCs/>
          <w:sz w:val="24"/>
          <w:szCs w:val="24"/>
        </w:rPr>
        <w:t>“</w:t>
      </w:r>
      <w:r w:rsidRPr="00724177">
        <w:rPr>
          <w:rFonts w:cs="Calibri"/>
          <w:bCs/>
          <w:sz w:val="24"/>
          <w:szCs w:val="24"/>
        </w:rPr>
        <w:t>)</w:t>
      </w:r>
    </w:p>
    <w:p w14:paraId="04E28BF4" w14:textId="77777777" w:rsidR="0094634B" w:rsidRPr="00724177" w:rsidRDefault="0094634B" w:rsidP="007D1914">
      <w:pPr>
        <w:spacing w:after="0" w:line="240" w:lineRule="auto"/>
        <w:rPr>
          <w:rFonts w:cs="Calibri"/>
          <w:sz w:val="24"/>
          <w:szCs w:val="24"/>
        </w:rPr>
      </w:pPr>
    </w:p>
    <w:p w14:paraId="021FB8B5" w14:textId="77777777" w:rsidR="0022777D" w:rsidRPr="00724177" w:rsidRDefault="0022777D" w:rsidP="007D191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(Muzeum a CP dále jen „</w:t>
      </w:r>
      <w:r w:rsidR="004D03AB" w:rsidRPr="00724177">
        <w:rPr>
          <w:rFonts w:cs="Calibri"/>
          <w:b/>
          <w:bCs/>
          <w:sz w:val="24"/>
          <w:szCs w:val="24"/>
        </w:rPr>
        <w:t>s</w:t>
      </w:r>
      <w:r w:rsidRPr="00724177">
        <w:rPr>
          <w:rFonts w:cs="Calibri"/>
          <w:b/>
          <w:bCs/>
          <w:sz w:val="24"/>
          <w:szCs w:val="24"/>
        </w:rPr>
        <w:t>mluvní strany</w:t>
      </w:r>
      <w:r w:rsidRPr="00724177">
        <w:rPr>
          <w:rFonts w:cs="Calibri"/>
          <w:sz w:val="24"/>
          <w:szCs w:val="24"/>
        </w:rPr>
        <w:t>“)</w:t>
      </w:r>
    </w:p>
    <w:p w14:paraId="15FD998D" w14:textId="77777777" w:rsidR="0094634B" w:rsidRPr="00724177" w:rsidRDefault="00E93339" w:rsidP="00A87C14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724177">
        <w:rPr>
          <w:rFonts w:cs="Calibri"/>
          <w:b/>
          <w:snapToGrid w:val="0"/>
          <w:sz w:val="24"/>
          <w:szCs w:val="24"/>
        </w:rPr>
        <w:t>Preambule</w:t>
      </w:r>
    </w:p>
    <w:p w14:paraId="3CF866A1" w14:textId="4EDB48F0" w:rsidR="008B0040" w:rsidRPr="00976E27" w:rsidRDefault="0094634B" w:rsidP="00FC5C50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76E27">
        <w:rPr>
          <w:rFonts w:cs="Calibri"/>
          <w:snapToGrid w:val="0"/>
          <w:sz w:val="24"/>
          <w:szCs w:val="24"/>
        </w:rPr>
        <w:t xml:space="preserve">Smluvní strany touto smlouvou sjednávají vzájemnou spolupráci při </w:t>
      </w:r>
      <w:r w:rsidR="00F017A0" w:rsidRPr="00976E27">
        <w:rPr>
          <w:rFonts w:cs="Calibri"/>
          <w:snapToGrid w:val="0"/>
          <w:sz w:val="24"/>
          <w:szCs w:val="24"/>
        </w:rPr>
        <w:t xml:space="preserve">realizaci </w:t>
      </w:r>
      <w:r w:rsidR="00123376" w:rsidRPr="00976E27">
        <w:rPr>
          <w:rFonts w:cs="Calibri"/>
          <w:snapToGrid w:val="0"/>
          <w:sz w:val="24"/>
          <w:szCs w:val="24"/>
        </w:rPr>
        <w:t xml:space="preserve">výstavy </w:t>
      </w:r>
      <w:r w:rsidR="001A119A" w:rsidRPr="00976E27">
        <w:rPr>
          <w:rFonts w:cs="Calibri"/>
          <w:snapToGrid w:val="0"/>
          <w:sz w:val="24"/>
          <w:szCs w:val="24"/>
        </w:rPr>
        <w:t xml:space="preserve">s názvem </w:t>
      </w:r>
      <w:r w:rsidR="00DA09AF" w:rsidRPr="00976E27">
        <w:rPr>
          <w:rFonts w:cs="Calibri"/>
          <w:b/>
          <w:bCs/>
          <w:snapToGrid w:val="0"/>
          <w:sz w:val="24"/>
          <w:szCs w:val="24"/>
        </w:rPr>
        <w:t>„</w:t>
      </w:r>
      <w:r w:rsidR="00A53565" w:rsidRPr="00976E27">
        <w:rPr>
          <w:rFonts w:cs="Calibri"/>
          <w:b/>
          <w:bCs/>
          <w:snapToGrid w:val="0"/>
          <w:sz w:val="24"/>
          <w:szCs w:val="24"/>
        </w:rPr>
        <w:t xml:space="preserve">Czech Press </w:t>
      </w:r>
      <w:proofErr w:type="spellStart"/>
      <w:r w:rsidR="00A53565" w:rsidRPr="00976E27">
        <w:rPr>
          <w:rFonts w:cs="Calibri"/>
          <w:b/>
          <w:bCs/>
          <w:snapToGrid w:val="0"/>
          <w:sz w:val="24"/>
          <w:szCs w:val="24"/>
        </w:rPr>
        <w:t>Photo</w:t>
      </w:r>
      <w:proofErr w:type="spellEnd"/>
      <w:r w:rsidR="00DA09AF" w:rsidRPr="00976E27">
        <w:rPr>
          <w:rFonts w:cs="Calibri"/>
          <w:b/>
          <w:bCs/>
          <w:snapToGrid w:val="0"/>
          <w:sz w:val="24"/>
          <w:szCs w:val="24"/>
        </w:rPr>
        <w:t>“</w:t>
      </w:r>
      <w:r w:rsidR="001A119A" w:rsidRPr="00976E27">
        <w:rPr>
          <w:rFonts w:cs="Calibri"/>
          <w:snapToGrid w:val="0"/>
          <w:sz w:val="24"/>
          <w:szCs w:val="24"/>
        </w:rPr>
        <w:t xml:space="preserve"> </w:t>
      </w:r>
      <w:r w:rsidR="001A119A" w:rsidRPr="00976E27">
        <w:rPr>
          <w:rFonts w:cs="Calibri"/>
          <w:sz w:val="24"/>
          <w:szCs w:val="24"/>
        </w:rPr>
        <w:t>v </w:t>
      </w:r>
      <w:r w:rsidR="00A53565" w:rsidRPr="00976E27">
        <w:rPr>
          <w:rFonts w:cs="Calibri"/>
          <w:sz w:val="24"/>
          <w:szCs w:val="24"/>
        </w:rPr>
        <w:t>H</w:t>
      </w:r>
      <w:r w:rsidR="001A119A" w:rsidRPr="00976E27">
        <w:rPr>
          <w:rFonts w:cs="Calibri"/>
          <w:sz w:val="24"/>
          <w:szCs w:val="24"/>
        </w:rPr>
        <w:t>istorické budově Národního muzea</w:t>
      </w:r>
      <w:r w:rsidR="001E3981" w:rsidRPr="00976E27">
        <w:rPr>
          <w:rFonts w:cs="Calibri"/>
          <w:sz w:val="24"/>
          <w:szCs w:val="24"/>
        </w:rPr>
        <w:t xml:space="preserve">, která </w:t>
      </w:r>
      <w:r w:rsidR="002C0F14" w:rsidRPr="00976E27">
        <w:rPr>
          <w:rFonts w:cs="Calibri"/>
          <w:sz w:val="24"/>
          <w:szCs w:val="24"/>
        </w:rPr>
        <w:t>je plánována</w:t>
      </w:r>
      <w:r w:rsidR="001E3981" w:rsidRPr="00976E27">
        <w:rPr>
          <w:rFonts w:cs="Calibri"/>
          <w:sz w:val="24"/>
          <w:szCs w:val="24"/>
        </w:rPr>
        <w:t xml:space="preserve"> </w:t>
      </w:r>
      <w:r w:rsidR="00A53565" w:rsidRPr="00976E27">
        <w:rPr>
          <w:rFonts w:cs="Calibri"/>
          <w:sz w:val="24"/>
          <w:szCs w:val="24"/>
        </w:rPr>
        <w:t>v termínech od</w:t>
      </w:r>
      <w:r w:rsidR="004010EF" w:rsidRPr="00976E27">
        <w:rPr>
          <w:rFonts w:cs="Calibri"/>
          <w:sz w:val="24"/>
          <w:szCs w:val="24"/>
        </w:rPr>
        <w:t xml:space="preserve"> </w:t>
      </w:r>
      <w:r w:rsidR="00562AB1" w:rsidRPr="00976E27">
        <w:rPr>
          <w:rFonts w:cs="Calibri"/>
          <w:sz w:val="24"/>
          <w:szCs w:val="24"/>
        </w:rPr>
        <w:t>20</w:t>
      </w:r>
      <w:r w:rsidR="004010EF" w:rsidRPr="00976E27">
        <w:rPr>
          <w:rFonts w:cs="Calibri"/>
          <w:sz w:val="24"/>
          <w:szCs w:val="24"/>
        </w:rPr>
        <w:t xml:space="preserve">. </w:t>
      </w:r>
      <w:r w:rsidR="00280527" w:rsidRPr="00976E27">
        <w:rPr>
          <w:rFonts w:cs="Calibri"/>
          <w:sz w:val="24"/>
          <w:szCs w:val="24"/>
        </w:rPr>
        <w:t>4</w:t>
      </w:r>
      <w:r w:rsidR="008B0040" w:rsidRPr="00976E27">
        <w:rPr>
          <w:rFonts w:cs="Calibri"/>
          <w:sz w:val="24"/>
          <w:szCs w:val="24"/>
        </w:rPr>
        <w:t>.</w:t>
      </w:r>
      <w:r w:rsidR="002C0F14" w:rsidRPr="00976E27">
        <w:rPr>
          <w:rFonts w:cs="Calibri"/>
          <w:sz w:val="24"/>
          <w:szCs w:val="24"/>
        </w:rPr>
        <w:t xml:space="preserve"> </w:t>
      </w:r>
      <w:r w:rsidR="008B0040" w:rsidRPr="00976E27">
        <w:rPr>
          <w:rFonts w:cs="Calibri"/>
          <w:sz w:val="24"/>
          <w:szCs w:val="24"/>
        </w:rPr>
        <w:t xml:space="preserve">2021 </w:t>
      </w:r>
      <w:r w:rsidR="00A53565" w:rsidRPr="00976E27">
        <w:rPr>
          <w:rFonts w:cs="Calibri"/>
          <w:sz w:val="24"/>
          <w:szCs w:val="24"/>
        </w:rPr>
        <w:t xml:space="preserve">do </w:t>
      </w:r>
      <w:r w:rsidR="008B0040" w:rsidRPr="00976E27">
        <w:rPr>
          <w:rFonts w:cs="Calibri"/>
          <w:sz w:val="24"/>
          <w:szCs w:val="24"/>
        </w:rPr>
        <w:t>31.</w:t>
      </w:r>
      <w:r w:rsidR="002C0F14" w:rsidRPr="00976E27">
        <w:rPr>
          <w:rFonts w:cs="Calibri"/>
          <w:sz w:val="24"/>
          <w:szCs w:val="24"/>
        </w:rPr>
        <w:t xml:space="preserve"> </w:t>
      </w:r>
      <w:r w:rsidR="008B0040" w:rsidRPr="00976E27">
        <w:rPr>
          <w:rFonts w:cs="Calibri"/>
          <w:sz w:val="24"/>
          <w:szCs w:val="24"/>
        </w:rPr>
        <w:t>10.</w:t>
      </w:r>
      <w:r w:rsidR="002C0F14" w:rsidRPr="00976E27">
        <w:rPr>
          <w:rFonts w:cs="Calibri"/>
          <w:sz w:val="24"/>
          <w:szCs w:val="24"/>
        </w:rPr>
        <w:t xml:space="preserve"> </w:t>
      </w:r>
      <w:r w:rsidR="008B0040" w:rsidRPr="00976E27">
        <w:rPr>
          <w:rFonts w:cs="Calibri"/>
          <w:sz w:val="24"/>
          <w:szCs w:val="24"/>
        </w:rPr>
        <w:t xml:space="preserve">2021. </w:t>
      </w:r>
    </w:p>
    <w:p w14:paraId="20860602" w14:textId="77777777" w:rsidR="0094634B" w:rsidRPr="00724177" w:rsidRDefault="0094634B" w:rsidP="007D1914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strany prohlašují, že jsou podle příslušných právních předpisů subjekty oprávněnými provozovat činnosti, jež jsou předmětem této smlouvy a prohlašují dále, že jsou plně způsobilé a oprávněné tuto smlouvu uzavřít, a že jim není známa žádná překážka bránící v jejím podepsání a plnění.</w:t>
      </w:r>
    </w:p>
    <w:p w14:paraId="50A13432" w14:textId="77777777" w:rsidR="0094634B" w:rsidRPr="00724177" w:rsidRDefault="0094634B" w:rsidP="007D1914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724177">
        <w:rPr>
          <w:rFonts w:cs="Calibri"/>
          <w:sz w:val="24"/>
          <w:szCs w:val="24"/>
        </w:rPr>
        <w:t>Národní muzeum je renomovanou a mezinárodně oceňovanou sbírkovou, vědecko-výzkumnou, metodickou a kulturně-vzdělávací institucí s dvěstěletou historií a ústředním státním muzeem shromažďujícím, ochraňujícím a zkoumající hmotné doklady vývoje přírody a lidské činnosti jak české</w:t>
      </w:r>
      <w:r w:rsidR="006E2AB7" w:rsidRPr="00724177">
        <w:rPr>
          <w:rFonts w:cs="Calibri"/>
          <w:sz w:val="24"/>
          <w:szCs w:val="24"/>
        </w:rPr>
        <w:t>,</w:t>
      </w:r>
      <w:r w:rsidRPr="00724177">
        <w:rPr>
          <w:rFonts w:cs="Calibri"/>
          <w:sz w:val="24"/>
          <w:szCs w:val="24"/>
        </w:rPr>
        <w:t xml:space="preserve"> tak i zahraniční provenience, vykonává základní a aplikovaný výzkum a spravuje a ochraňuje sbírkové fondy. </w:t>
      </w:r>
    </w:p>
    <w:p w14:paraId="535C4837" w14:textId="77777777" w:rsidR="0094634B" w:rsidRPr="00724177" w:rsidRDefault="00FC5C50" w:rsidP="002E05A5">
      <w:pPr>
        <w:pStyle w:val="ListParagraph1"/>
        <w:numPr>
          <w:ilvl w:val="0"/>
          <w:numId w:val="11"/>
        </w:numPr>
        <w:shd w:val="clear" w:color="auto" w:fill="FFFFFF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  <w:shd w:val="clear" w:color="auto" w:fill="FFFFFF"/>
        </w:rPr>
        <w:t>CP je obecně prospěšná společnost, která každoročně pořádá prestižní fotografickou soutěž Czech Press Photo (CPP). CPP je soutěž a následná výstava české zpravodajské fotografie, obdoba celosvětové World Press Photo. Cílem soutěže je zprostředkovat veřejnosti pohled na významné události uběhlého roku a také stimulovat rozvoj fotografie jako média. Czech Press Photo podporuje zájem o fotožurnalismus jako prostředek mezilidského poznání a porozumění.</w:t>
      </w:r>
    </w:p>
    <w:p w14:paraId="164B4EF5" w14:textId="77777777" w:rsidR="0094634B" w:rsidRPr="00724177" w:rsidRDefault="0094634B" w:rsidP="007D1914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220D2D6" w14:textId="77777777" w:rsidR="00C335DD" w:rsidRPr="00724177" w:rsidRDefault="00C335DD" w:rsidP="007D1914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04540AC" w14:textId="77777777" w:rsidR="0094634B" w:rsidRPr="00724177" w:rsidRDefault="0094634B" w:rsidP="007D1914">
      <w:pPr>
        <w:pStyle w:val="Odstavecseseznamem1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Čl. I.</w:t>
      </w:r>
    </w:p>
    <w:p w14:paraId="1BCED3AA" w14:textId="77777777" w:rsidR="0094634B" w:rsidRPr="00724177" w:rsidRDefault="0094634B" w:rsidP="007D1914">
      <w:pPr>
        <w:pStyle w:val="Odstavecseseznamem1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 xml:space="preserve">Předmět smlouvy </w:t>
      </w:r>
    </w:p>
    <w:p w14:paraId="689AD7AE" w14:textId="77777777" w:rsidR="0094634B" w:rsidRPr="00724177" w:rsidRDefault="0094634B" w:rsidP="007D1914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strany na základě skutečností a záměrů uvedených v Preambuli sjednávají, že:</w:t>
      </w:r>
    </w:p>
    <w:p w14:paraId="17510D86" w14:textId="77777777" w:rsidR="00B11236" w:rsidRPr="00724177" w:rsidRDefault="0094634B" w:rsidP="006B4A7B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Národní muzeum</w:t>
      </w:r>
      <w:r w:rsidR="00B11236" w:rsidRPr="00724177">
        <w:rPr>
          <w:rFonts w:cs="Calibri"/>
          <w:b/>
          <w:sz w:val="24"/>
          <w:szCs w:val="24"/>
        </w:rPr>
        <w:t>:</w:t>
      </w:r>
    </w:p>
    <w:p w14:paraId="1B8082F5" w14:textId="77777777" w:rsidR="001C0406" w:rsidRPr="00724177" w:rsidRDefault="00A53565" w:rsidP="00F017A0">
      <w:pPr>
        <w:pStyle w:val="Odstavecseseznamem2"/>
        <w:numPr>
          <w:ilvl w:val="0"/>
          <w:numId w:val="9"/>
        </w:numPr>
        <w:jc w:val="both"/>
        <w:rPr>
          <w:rFonts w:cs="Calibri"/>
          <w:sz w:val="24"/>
        </w:rPr>
      </w:pPr>
      <w:r w:rsidRPr="00724177">
        <w:rPr>
          <w:rFonts w:cs="Calibri"/>
          <w:sz w:val="24"/>
        </w:rPr>
        <w:t>Poskytne prostor pro uskutečnění výstavy dle Přílohy č. 1 (plán)</w:t>
      </w:r>
      <w:r w:rsidR="00391F42" w:rsidRPr="00724177">
        <w:rPr>
          <w:rFonts w:cs="Calibri"/>
          <w:sz w:val="24"/>
        </w:rPr>
        <w:t>;</w:t>
      </w:r>
    </w:p>
    <w:p w14:paraId="2C2CAA1A" w14:textId="77777777" w:rsidR="00A53565" w:rsidRPr="00724177" w:rsidRDefault="00A53565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provoz výstavy (provozní náklady prostoru, dále prodej vstupného, dozor, bezpečnost)</w:t>
      </w:r>
      <w:r w:rsidR="004C55E5" w:rsidRPr="00724177">
        <w:rPr>
          <w:rFonts w:cs="Calibri"/>
          <w:sz w:val="24"/>
          <w:szCs w:val="24"/>
        </w:rPr>
        <w:t>. Pojištění bude řešeno v návaznosti na uzavřenou smlouvu o výpůjčce.</w:t>
      </w:r>
    </w:p>
    <w:p w14:paraId="48866AA8" w14:textId="77777777" w:rsidR="00C2361C" w:rsidRPr="0077680C" w:rsidRDefault="00C2361C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7680C">
        <w:rPr>
          <w:rFonts w:cs="Calibri"/>
          <w:sz w:val="24"/>
          <w:szCs w:val="24"/>
        </w:rPr>
        <w:t xml:space="preserve">Bude se finančně podílet na 50 % nákladů </w:t>
      </w:r>
      <w:r w:rsidR="0077680C" w:rsidRPr="0077680C">
        <w:rPr>
          <w:rFonts w:cs="Calibri"/>
          <w:sz w:val="24"/>
          <w:szCs w:val="24"/>
        </w:rPr>
        <w:t>na instalaci výstavy</w:t>
      </w:r>
      <w:r w:rsidRPr="0077680C">
        <w:rPr>
          <w:rFonts w:cs="Calibri"/>
          <w:sz w:val="24"/>
          <w:szCs w:val="24"/>
        </w:rPr>
        <w:t>, maximálně v částce 200.000,- Kč.</w:t>
      </w:r>
    </w:p>
    <w:p w14:paraId="67B6863F" w14:textId="77777777" w:rsidR="006E2AB7" w:rsidRPr="00724177" w:rsidRDefault="006E2AB7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Zajistí organizační součinnost při instalaci (vstupy, logistika), dále součinnost při plnění AV obsahů dle systémů </w:t>
      </w:r>
      <w:r w:rsidR="0022777D" w:rsidRPr="00724177">
        <w:rPr>
          <w:rFonts w:cs="Calibri"/>
          <w:sz w:val="24"/>
          <w:szCs w:val="24"/>
        </w:rPr>
        <w:t xml:space="preserve">Muzea </w:t>
      </w:r>
      <w:r w:rsidRPr="00724177">
        <w:rPr>
          <w:rFonts w:cs="Calibri"/>
          <w:sz w:val="24"/>
          <w:szCs w:val="24"/>
        </w:rPr>
        <w:t>v rámci IT.</w:t>
      </w:r>
    </w:p>
    <w:p w14:paraId="60490935" w14:textId="77777777" w:rsidR="00FC5C50" w:rsidRPr="00724177" w:rsidRDefault="00A53565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Bude se podílet v rámci svých možností na propagaci akce</w:t>
      </w:r>
      <w:r w:rsidR="006E2AB7" w:rsidRPr="00724177">
        <w:rPr>
          <w:rFonts w:cs="Calibri"/>
          <w:sz w:val="24"/>
          <w:szCs w:val="24"/>
        </w:rPr>
        <w:t xml:space="preserve"> dle dohody</w:t>
      </w:r>
      <w:r w:rsidR="00FC5C50" w:rsidRPr="00724177">
        <w:rPr>
          <w:rFonts w:cs="Calibri"/>
          <w:sz w:val="24"/>
          <w:szCs w:val="24"/>
        </w:rPr>
        <w:t>,</w:t>
      </w:r>
      <w:r w:rsidR="0022777D" w:rsidRPr="00724177">
        <w:rPr>
          <w:rFonts w:cs="Calibri"/>
          <w:sz w:val="24"/>
          <w:szCs w:val="24"/>
        </w:rPr>
        <w:t xml:space="preserve"> zejména zveřejnit informaci běžným způsobem na kanálech Muzea, </w:t>
      </w:r>
      <w:r w:rsidR="007366C1" w:rsidRPr="00724177">
        <w:rPr>
          <w:rFonts w:cs="Calibri"/>
          <w:sz w:val="24"/>
          <w:szCs w:val="24"/>
        </w:rPr>
        <w:t>tj. na webových stránkách, sociálních sítích, zařazení do měsíčního magazínu.</w:t>
      </w:r>
    </w:p>
    <w:p w14:paraId="6CF32CCA" w14:textId="4C097ADF" w:rsidR="00961A14" w:rsidRPr="00976E27" w:rsidRDefault="00FC5C50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51750094"/>
      <w:r w:rsidRPr="00976E27">
        <w:rPr>
          <w:rFonts w:cs="Calibri"/>
          <w:sz w:val="24"/>
          <w:szCs w:val="24"/>
        </w:rPr>
        <w:t>Akceptuje VIP vstupenky na výstavu CPP, které CP bude dávat jako dar partnerům</w:t>
      </w:r>
      <w:r w:rsidR="008C60DF" w:rsidRPr="00976E27">
        <w:rPr>
          <w:rFonts w:cs="Calibri"/>
          <w:sz w:val="24"/>
          <w:szCs w:val="24"/>
        </w:rPr>
        <w:t xml:space="preserve"> </w:t>
      </w:r>
      <w:r w:rsidR="001E3981" w:rsidRPr="00976E27">
        <w:rPr>
          <w:rFonts w:cs="Calibri"/>
          <w:sz w:val="24"/>
          <w:szCs w:val="24"/>
        </w:rPr>
        <w:t>CP</w:t>
      </w:r>
      <w:r w:rsidR="00280527" w:rsidRPr="00976E27">
        <w:rPr>
          <w:rFonts w:cs="Calibri"/>
          <w:sz w:val="24"/>
          <w:szCs w:val="24"/>
        </w:rPr>
        <w:t xml:space="preserve">. Muzeum bude akceptovat </w:t>
      </w:r>
      <w:r w:rsidR="00562AB1" w:rsidRPr="00976E27">
        <w:rPr>
          <w:rFonts w:cs="Calibri"/>
          <w:sz w:val="24"/>
          <w:szCs w:val="24"/>
        </w:rPr>
        <w:t>2</w:t>
      </w:r>
      <w:r w:rsidR="00280527" w:rsidRPr="00976E27">
        <w:rPr>
          <w:rFonts w:cs="Calibri"/>
          <w:sz w:val="24"/>
          <w:szCs w:val="24"/>
        </w:rPr>
        <w:t xml:space="preserve">00 kusů VIP vstupenek bez finančního vypořádání. Následný vyšší počet bude finančně řešen tak, že CP uhradí muzeu 50 % ze vstupného v rámci každé VIP vstupenky nad 200 ks. Konkrétní forma a postup v této záležitosti (evidence, způsob úhrady) bude dohodnuta mezi muzeem a CP. </w:t>
      </w:r>
    </w:p>
    <w:p w14:paraId="480A28DC" w14:textId="77777777" w:rsidR="001E3981" w:rsidRPr="00724177" w:rsidRDefault="001E3981" w:rsidP="00961A14">
      <w:pPr>
        <w:pStyle w:val="Odstavecseseznamem1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bookmarkEnd w:id="0"/>
    <w:p w14:paraId="48CE53EB" w14:textId="77777777" w:rsidR="0094634B" w:rsidRPr="00724177" w:rsidRDefault="00633E28" w:rsidP="00F017A0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bCs/>
          <w:sz w:val="24"/>
          <w:szCs w:val="24"/>
        </w:rPr>
        <w:t>CP</w:t>
      </w:r>
      <w:r w:rsidR="00A53565" w:rsidRPr="00724177">
        <w:rPr>
          <w:rFonts w:cs="Calibri"/>
          <w:b/>
          <w:bCs/>
          <w:sz w:val="24"/>
          <w:szCs w:val="24"/>
        </w:rPr>
        <w:t>:</w:t>
      </w:r>
    </w:p>
    <w:p w14:paraId="2E76299A" w14:textId="77777777" w:rsidR="00A53565" w:rsidRPr="0072417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obsah výstavy.</w:t>
      </w:r>
    </w:p>
    <w:p w14:paraId="0626BA83" w14:textId="77777777" w:rsidR="00A53565" w:rsidRPr="0072417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Zajistí finanční náklady na </w:t>
      </w:r>
      <w:r w:rsidR="00C2361C">
        <w:rPr>
          <w:rFonts w:cs="Calibri"/>
          <w:sz w:val="24"/>
          <w:szCs w:val="24"/>
        </w:rPr>
        <w:t xml:space="preserve">celkovou </w:t>
      </w:r>
      <w:r w:rsidRPr="00724177">
        <w:rPr>
          <w:rFonts w:cs="Calibri"/>
          <w:sz w:val="24"/>
          <w:szCs w:val="24"/>
        </w:rPr>
        <w:t>instalac</w:t>
      </w:r>
      <w:r w:rsidR="00C2361C">
        <w:rPr>
          <w:rFonts w:cs="Calibri"/>
          <w:sz w:val="24"/>
          <w:szCs w:val="24"/>
        </w:rPr>
        <w:t>i</w:t>
      </w:r>
      <w:r w:rsidRPr="00724177">
        <w:rPr>
          <w:rFonts w:cs="Calibri"/>
          <w:sz w:val="24"/>
          <w:szCs w:val="24"/>
        </w:rPr>
        <w:t xml:space="preserve"> výstavy (včetně architekta</w:t>
      </w:r>
      <w:r w:rsidR="006E2AB7" w:rsidRPr="00724177">
        <w:rPr>
          <w:rFonts w:cs="Calibri"/>
          <w:sz w:val="24"/>
          <w:szCs w:val="24"/>
        </w:rPr>
        <w:t>, grafika, popisků, tiráže</w:t>
      </w:r>
      <w:r w:rsidRPr="00724177">
        <w:rPr>
          <w:rFonts w:cs="Calibri"/>
          <w:sz w:val="24"/>
          <w:szCs w:val="24"/>
        </w:rPr>
        <w:t xml:space="preserve"> a samotné instalace)</w:t>
      </w:r>
      <w:r w:rsidR="00C2361C">
        <w:rPr>
          <w:rFonts w:cs="Calibri"/>
          <w:sz w:val="24"/>
          <w:szCs w:val="24"/>
        </w:rPr>
        <w:t>, vyjma podílu Národního muzea dle čl</w:t>
      </w:r>
      <w:r w:rsidR="0077680C">
        <w:rPr>
          <w:rFonts w:cs="Calibri"/>
          <w:sz w:val="24"/>
          <w:szCs w:val="24"/>
        </w:rPr>
        <w:t>. 1, c</w:t>
      </w:r>
      <w:r w:rsidR="00C2361C">
        <w:rPr>
          <w:rFonts w:cs="Calibri"/>
          <w:sz w:val="24"/>
          <w:szCs w:val="24"/>
        </w:rPr>
        <w:t>) výše.</w:t>
      </w:r>
    </w:p>
    <w:p w14:paraId="16CDE499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PBŘ pro instalaci, které bude projednáno s HZS.</w:t>
      </w:r>
    </w:p>
    <w:p w14:paraId="73C76D1D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Zajistí </w:t>
      </w:r>
      <w:r w:rsidR="000E5EE5">
        <w:rPr>
          <w:rFonts w:cs="Calibri"/>
          <w:sz w:val="24"/>
          <w:szCs w:val="24"/>
        </w:rPr>
        <w:t>přípravu</w:t>
      </w:r>
      <w:r w:rsidRPr="00724177">
        <w:rPr>
          <w:rFonts w:cs="Calibri"/>
          <w:sz w:val="24"/>
          <w:szCs w:val="24"/>
        </w:rPr>
        <w:t xml:space="preserve"> </w:t>
      </w:r>
      <w:proofErr w:type="spellStart"/>
      <w:r w:rsidRPr="00724177">
        <w:rPr>
          <w:rFonts w:cs="Calibri"/>
          <w:sz w:val="24"/>
          <w:szCs w:val="24"/>
        </w:rPr>
        <w:t>paneláže</w:t>
      </w:r>
      <w:proofErr w:type="spellEnd"/>
      <w:r w:rsidRPr="00724177">
        <w:rPr>
          <w:rFonts w:cs="Calibri"/>
          <w:sz w:val="24"/>
          <w:szCs w:val="24"/>
        </w:rPr>
        <w:t xml:space="preserve"> (nátěry, úpravy povrchů), stejně jako </w:t>
      </w:r>
      <w:proofErr w:type="spellStart"/>
      <w:r w:rsidRPr="00724177">
        <w:rPr>
          <w:rFonts w:cs="Calibri"/>
          <w:sz w:val="24"/>
          <w:szCs w:val="24"/>
        </w:rPr>
        <w:t>elektrorevize</w:t>
      </w:r>
      <w:proofErr w:type="spellEnd"/>
      <w:r w:rsidRPr="00724177">
        <w:rPr>
          <w:rFonts w:cs="Calibri"/>
          <w:sz w:val="24"/>
          <w:szCs w:val="24"/>
        </w:rPr>
        <w:t xml:space="preserve"> nové instalace a distribuci AV obsahů.</w:t>
      </w:r>
    </w:p>
    <w:p w14:paraId="44B1DFD4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Bude respektovat při instalaci charakter Národní kulturní památky (podlahy, zdivo, ochrana prostoru).</w:t>
      </w:r>
    </w:p>
    <w:p w14:paraId="76E4B03D" w14:textId="77777777" w:rsidR="00A53565" w:rsidRPr="0072417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případné audiovizuální obsahy do výstavy.</w:t>
      </w:r>
    </w:p>
    <w:p w14:paraId="3E4A0766" w14:textId="168614FC" w:rsidR="00A53565" w:rsidRPr="00976E2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Zajistí propagaci výstavy.</w:t>
      </w:r>
    </w:p>
    <w:p w14:paraId="30DFC2BE" w14:textId="214FE137" w:rsidR="00280527" w:rsidRPr="00976E27" w:rsidRDefault="0028052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Zajistí grafickou přípravu a tisk VIP vstupenek do výstavy v celkovém </w:t>
      </w:r>
      <w:r w:rsidR="0094783A" w:rsidRPr="00976E27">
        <w:rPr>
          <w:rFonts w:cs="Calibri"/>
          <w:sz w:val="24"/>
          <w:szCs w:val="24"/>
        </w:rPr>
        <w:t xml:space="preserve">maximálním </w:t>
      </w:r>
      <w:r w:rsidRPr="00976E27">
        <w:rPr>
          <w:rFonts w:cs="Calibri"/>
          <w:sz w:val="24"/>
          <w:szCs w:val="24"/>
        </w:rPr>
        <w:t xml:space="preserve">počtu 1500 kusů, vstupenky budou obsahovat čitelný kód dle pokladního systému muzea na základě podkladů muzea. </w:t>
      </w:r>
    </w:p>
    <w:p w14:paraId="390ABBFB" w14:textId="77777777" w:rsidR="00C335DD" w:rsidRPr="00724177" w:rsidRDefault="00C335DD" w:rsidP="00C335DD">
      <w:pPr>
        <w:pStyle w:val="Odstavecseseznamem1"/>
        <w:spacing w:after="0" w:line="240" w:lineRule="auto"/>
        <w:jc w:val="both"/>
        <w:rPr>
          <w:rFonts w:cs="Calibri"/>
          <w:sz w:val="24"/>
          <w:szCs w:val="24"/>
        </w:rPr>
      </w:pPr>
    </w:p>
    <w:p w14:paraId="6BDA638C" w14:textId="77777777" w:rsidR="004A7277" w:rsidRPr="00724177" w:rsidRDefault="004A7277" w:rsidP="00633E28">
      <w:pPr>
        <w:spacing w:after="0" w:line="240" w:lineRule="auto"/>
        <w:rPr>
          <w:rFonts w:cs="Calibri"/>
          <w:b/>
          <w:sz w:val="24"/>
          <w:szCs w:val="24"/>
        </w:rPr>
      </w:pPr>
    </w:p>
    <w:p w14:paraId="3429EA1F" w14:textId="77777777" w:rsidR="0094634B" w:rsidRPr="00724177" w:rsidRDefault="0086589E" w:rsidP="0086589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1" w:name="_Hlk51751274"/>
      <w:r w:rsidRPr="00724177">
        <w:rPr>
          <w:rFonts w:cs="Calibri"/>
          <w:b/>
          <w:sz w:val="24"/>
          <w:szCs w:val="24"/>
        </w:rPr>
        <w:t>Čl. II.</w:t>
      </w:r>
    </w:p>
    <w:p w14:paraId="47076F45" w14:textId="77777777" w:rsidR="0086589E" w:rsidRPr="00724177" w:rsidRDefault="0086589E" w:rsidP="0086589E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Termíny organizačních prací a provozu výstavy</w:t>
      </w:r>
    </w:p>
    <w:p w14:paraId="034472E7" w14:textId="77777777" w:rsidR="0086589E" w:rsidRPr="00724177" w:rsidRDefault="0086589E" w:rsidP="0086589E">
      <w:pPr>
        <w:spacing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Organizační</w:t>
      </w:r>
      <w:r w:rsidR="00C726C5" w:rsidRPr="00724177">
        <w:rPr>
          <w:rFonts w:cs="Calibri"/>
          <w:sz w:val="24"/>
          <w:szCs w:val="24"/>
        </w:rPr>
        <w:t xml:space="preserve"> a provozní</w:t>
      </w:r>
      <w:r w:rsidRPr="00724177">
        <w:rPr>
          <w:rFonts w:cs="Calibri"/>
          <w:sz w:val="24"/>
          <w:szCs w:val="24"/>
        </w:rPr>
        <w:t xml:space="preserve"> práce proběhnou v</w:t>
      </w:r>
      <w:r w:rsidR="00C726C5" w:rsidRPr="00724177">
        <w:rPr>
          <w:rFonts w:cs="Calibri"/>
          <w:sz w:val="24"/>
          <w:szCs w:val="24"/>
        </w:rPr>
        <w:t> </w:t>
      </w:r>
      <w:r w:rsidRPr="00724177">
        <w:rPr>
          <w:rFonts w:cs="Calibri"/>
          <w:sz w:val="24"/>
          <w:szCs w:val="24"/>
        </w:rPr>
        <w:t>těchto</w:t>
      </w:r>
      <w:r w:rsidR="00C726C5" w:rsidRPr="00724177">
        <w:rPr>
          <w:rFonts w:cs="Calibri"/>
          <w:sz w:val="24"/>
          <w:szCs w:val="24"/>
        </w:rPr>
        <w:t xml:space="preserve"> hlavních</w:t>
      </w:r>
      <w:r w:rsidRPr="00724177">
        <w:rPr>
          <w:rFonts w:cs="Calibri"/>
          <w:sz w:val="24"/>
          <w:szCs w:val="24"/>
        </w:rPr>
        <w:t xml:space="preserve"> termínech: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3369"/>
        <w:gridCol w:w="6410"/>
      </w:tblGrid>
      <w:tr w:rsidR="0086589E" w:rsidRPr="00724177" w14:paraId="191E082F" w14:textId="77777777" w:rsidTr="00101697">
        <w:tc>
          <w:tcPr>
            <w:tcW w:w="3369" w:type="dxa"/>
          </w:tcPr>
          <w:p w14:paraId="73F8AA4F" w14:textId="77777777" w:rsidR="0086589E" w:rsidRPr="00724177" w:rsidRDefault="0086589E" w:rsidP="00101697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</w:p>
        </w:tc>
        <w:tc>
          <w:tcPr>
            <w:tcW w:w="6410" w:type="dxa"/>
          </w:tcPr>
          <w:p w14:paraId="25AA80DB" w14:textId="77777777" w:rsidR="0086589E" w:rsidRPr="00724177" w:rsidRDefault="0086589E" w:rsidP="00101697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</w:p>
        </w:tc>
      </w:tr>
    </w:tbl>
    <w:p w14:paraId="302CB683" w14:textId="3347BF4B" w:rsidR="0086589E" w:rsidRPr="00976E27" w:rsidRDefault="00A53565" w:rsidP="009C4EAB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Definice prostor pro výstavu pro Přílohu č. 1: </w:t>
      </w:r>
      <w:r w:rsidR="00BD5F4F" w:rsidRPr="00976E27">
        <w:rPr>
          <w:rFonts w:cs="Calibri"/>
          <w:sz w:val="24"/>
          <w:szCs w:val="24"/>
        </w:rPr>
        <w:t>ke dni podpisu smlouvy</w:t>
      </w:r>
    </w:p>
    <w:p w14:paraId="3E628559" w14:textId="2ED931FF" w:rsidR="000B1853" w:rsidRPr="00976E27" w:rsidRDefault="00A53565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Instalace výstavy: </w:t>
      </w:r>
      <w:r w:rsidR="00562AB1" w:rsidRPr="00976E27">
        <w:rPr>
          <w:rFonts w:cs="Calibri"/>
          <w:sz w:val="24"/>
          <w:szCs w:val="24"/>
        </w:rPr>
        <w:t>od 20</w:t>
      </w:r>
      <w:r w:rsidR="00BD5F4F" w:rsidRPr="00976E27">
        <w:rPr>
          <w:rFonts w:cs="Calibri"/>
          <w:sz w:val="24"/>
          <w:szCs w:val="24"/>
        </w:rPr>
        <w:t>. 3. 2021</w:t>
      </w:r>
    </w:p>
    <w:p w14:paraId="64A2854A" w14:textId="1A29AD34" w:rsidR="000B1853" w:rsidRPr="00976E27" w:rsidRDefault="001E3981" w:rsidP="00D40A92">
      <w:pPr>
        <w:numPr>
          <w:ilvl w:val="0"/>
          <w:numId w:val="17"/>
        </w:numPr>
        <w:spacing w:after="0" w:line="240" w:lineRule="auto"/>
        <w:rPr>
          <w:rStyle w:val="Odkaznakoment"/>
          <w:rFonts w:cs="Calibri"/>
          <w:sz w:val="24"/>
          <w:szCs w:val="24"/>
        </w:rPr>
      </w:pPr>
      <w:proofErr w:type="gramStart"/>
      <w:r w:rsidRPr="00976E27">
        <w:rPr>
          <w:rFonts w:cs="Calibri"/>
          <w:sz w:val="24"/>
          <w:szCs w:val="24"/>
        </w:rPr>
        <w:t>Vernisáž výstavy</w:t>
      </w:r>
      <w:proofErr w:type="gramEnd"/>
      <w:r w:rsidR="00BD5F4F" w:rsidRPr="00976E27">
        <w:rPr>
          <w:rFonts w:cs="Calibri"/>
          <w:sz w:val="24"/>
          <w:szCs w:val="24"/>
        </w:rPr>
        <w:t xml:space="preserve">: </w:t>
      </w:r>
      <w:r w:rsidR="00562AB1" w:rsidRPr="00976E27">
        <w:rPr>
          <w:rFonts w:cs="Calibri"/>
          <w:sz w:val="24"/>
          <w:szCs w:val="24"/>
        </w:rPr>
        <w:t>20</w:t>
      </w:r>
      <w:r w:rsidR="00BD5F4F" w:rsidRPr="00976E27">
        <w:rPr>
          <w:rFonts w:cs="Calibri"/>
          <w:sz w:val="24"/>
          <w:szCs w:val="24"/>
        </w:rPr>
        <w:t>. 4. 2021</w:t>
      </w:r>
    </w:p>
    <w:p w14:paraId="49E05F8B" w14:textId="132E8DDC" w:rsidR="000B1853" w:rsidRPr="00976E27" w:rsidRDefault="00535CAD" w:rsidP="00D40A92">
      <w:pPr>
        <w:numPr>
          <w:ilvl w:val="0"/>
          <w:numId w:val="17"/>
        </w:numPr>
        <w:spacing w:after="0" w:line="240" w:lineRule="auto"/>
        <w:rPr>
          <w:rStyle w:val="Odkaznakoment"/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Otevření výstavy</w:t>
      </w:r>
      <w:r w:rsidR="001E3981" w:rsidRPr="00976E27">
        <w:rPr>
          <w:rFonts w:cs="Calibri"/>
          <w:sz w:val="24"/>
          <w:szCs w:val="24"/>
        </w:rPr>
        <w:t xml:space="preserve"> pro veřejnost</w:t>
      </w:r>
      <w:r w:rsidRPr="00976E27">
        <w:rPr>
          <w:rFonts w:cs="Calibri"/>
          <w:sz w:val="24"/>
          <w:szCs w:val="24"/>
        </w:rPr>
        <w:t xml:space="preserve">: </w:t>
      </w:r>
      <w:r w:rsidR="00562AB1" w:rsidRPr="00976E27">
        <w:rPr>
          <w:rFonts w:cs="Calibri"/>
          <w:sz w:val="24"/>
          <w:szCs w:val="24"/>
        </w:rPr>
        <w:t>21</w:t>
      </w:r>
      <w:r w:rsidR="00BD5F4F" w:rsidRPr="00976E27">
        <w:rPr>
          <w:rFonts w:cs="Calibri"/>
          <w:sz w:val="24"/>
          <w:szCs w:val="24"/>
        </w:rPr>
        <w:t>. 4. 2021</w:t>
      </w:r>
    </w:p>
    <w:p w14:paraId="3FBE3468" w14:textId="77777777" w:rsidR="00A53565" w:rsidRPr="00976E27" w:rsidRDefault="00A53565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Ukončení výstavy</w:t>
      </w:r>
      <w:r w:rsidR="001E3981" w:rsidRPr="00976E27">
        <w:rPr>
          <w:rFonts w:cs="Calibri"/>
          <w:sz w:val="24"/>
          <w:szCs w:val="24"/>
        </w:rPr>
        <w:t xml:space="preserve">: </w:t>
      </w:r>
      <w:r w:rsidR="00076A0F" w:rsidRPr="00976E27">
        <w:rPr>
          <w:rFonts w:cs="Calibri"/>
          <w:sz w:val="24"/>
          <w:szCs w:val="24"/>
        </w:rPr>
        <w:t>31.10.2021</w:t>
      </w:r>
    </w:p>
    <w:p w14:paraId="7EED5C9C" w14:textId="77777777" w:rsidR="001E3981" w:rsidRPr="00976E27" w:rsidRDefault="001E3981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lastRenderedPageBreak/>
        <w:t xml:space="preserve">Odevzdání prostor: </w:t>
      </w:r>
      <w:r w:rsidR="00076A0F" w:rsidRPr="00976E27">
        <w:rPr>
          <w:rFonts w:cs="Calibri"/>
          <w:sz w:val="24"/>
          <w:szCs w:val="24"/>
        </w:rPr>
        <w:t>19.11.2021</w:t>
      </w:r>
    </w:p>
    <w:bookmarkEnd w:id="1"/>
    <w:p w14:paraId="7306BCE9" w14:textId="77777777" w:rsidR="00C335DD" w:rsidRPr="00976E27" w:rsidRDefault="00C335DD" w:rsidP="00C335DD">
      <w:pPr>
        <w:spacing w:after="0" w:line="240" w:lineRule="auto"/>
        <w:ind w:left="720"/>
        <w:rPr>
          <w:rFonts w:cs="Calibri"/>
          <w:sz w:val="24"/>
          <w:szCs w:val="24"/>
        </w:rPr>
      </w:pPr>
    </w:p>
    <w:p w14:paraId="648A3ABE" w14:textId="77777777" w:rsidR="0086589E" w:rsidRPr="00976E27" w:rsidRDefault="0086589E" w:rsidP="00C93E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5FC6DDB" w14:textId="77777777" w:rsidR="0094634B" w:rsidRPr="00976E27" w:rsidRDefault="0094634B" w:rsidP="00C93E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76E27">
        <w:rPr>
          <w:rFonts w:cs="Calibri"/>
          <w:b/>
          <w:sz w:val="24"/>
          <w:szCs w:val="24"/>
        </w:rPr>
        <w:t>Čl. II</w:t>
      </w:r>
      <w:r w:rsidR="0086589E" w:rsidRPr="00976E27">
        <w:rPr>
          <w:rFonts w:cs="Calibri"/>
          <w:b/>
          <w:sz w:val="24"/>
          <w:szCs w:val="24"/>
        </w:rPr>
        <w:t>I</w:t>
      </w:r>
      <w:r w:rsidRPr="00976E27">
        <w:rPr>
          <w:rFonts w:cs="Calibri"/>
          <w:b/>
          <w:sz w:val="24"/>
          <w:szCs w:val="24"/>
        </w:rPr>
        <w:t>.</w:t>
      </w:r>
    </w:p>
    <w:p w14:paraId="600F3470" w14:textId="77777777" w:rsidR="0094634B" w:rsidRPr="00976E27" w:rsidRDefault="009C4EAB" w:rsidP="007D191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76E27">
        <w:rPr>
          <w:rFonts w:cs="Calibri"/>
          <w:b/>
          <w:sz w:val="24"/>
          <w:szCs w:val="24"/>
        </w:rPr>
        <w:t>Finanční závazky, t</w:t>
      </w:r>
      <w:r w:rsidR="0094634B" w:rsidRPr="00976E27">
        <w:rPr>
          <w:rFonts w:cs="Calibri"/>
          <w:b/>
          <w:sz w:val="24"/>
          <w:szCs w:val="24"/>
        </w:rPr>
        <w:t>rvání smlouvy a její zánik</w:t>
      </w:r>
    </w:p>
    <w:p w14:paraId="6A246829" w14:textId="77777777" w:rsidR="00562AB1" w:rsidRPr="00976E27" w:rsidRDefault="00BD2DA8" w:rsidP="00E90F70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51750643"/>
      <w:r w:rsidRPr="00976E27">
        <w:rPr>
          <w:rFonts w:asciiTheme="minorHAnsi" w:hAnsiTheme="minorHAnsi" w:cstheme="minorHAnsi"/>
          <w:sz w:val="24"/>
          <w:szCs w:val="24"/>
        </w:rPr>
        <w:t>Cena vstupného a jeho celková struktura</w:t>
      </w:r>
      <w:r w:rsidR="00562AB1" w:rsidRPr="00976E27">
        <w:rPr>
          <w:rFonts w:asciiTheme="minorHAnsi" w:hAnsiTheme="minorHAnsi" w:cstheme="minorHAnsi"/>
          <w:sz w:val="24"/>
          <w:szCs w:val="24"/>
        </w:rPr>
        <w:t xml:space="preserve"> se stanovuje takto:</w:t>
      </w:r>
    </w:p>
    <w:p w14:paraId="7BFEA447" w14:textId="0598D43B" w:rsidR="00562AB1" w:rsidRPr="00976E27" w:rsidRDefault="00BD2DA8" w:rsidP="00562AB1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6E27">
        <w:rPr>
          <w:rFonts w:asciiTheme="minorHAnsi" w:hAnsiTheme="minorHAnsi" w:cstheme="minorHAnsi"/>
          <w:sz w:val="24"/>
          <w:szCs w:val="24"/>
        </w:rPr>
        <w:t xml:space="preserve"> </w:t>
      </w:r>
      <w:r w:rsidR="00562AB1" w:rsidRPr="00976E27">
        <w:rPr>
          <w:rFonts w:cs="Calibri"/>
          <w:sz w:val="24"/>
          <w:szCs w:val="24"/>
        </w:rPr>
        <w:t>Plné vstupné: 200,- Kč</w:t>
      </w:r>
    </w:p>
    <w:p w14:paraId="72F12B41" w14:textId="77777777" w:rsidR="00562AB1" w:rsidRPr="00976E27" w:rsidRDefault="00562AB1" w:rsidP="00562AB1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Snížené vstupné: 120,- Kč</w:t>
      </w:r>
    </w:p>
    <w:p w14:paraId="2915595F" w14:textId="77777777" w:rsidR="00562AB1" w:rsidRPr="00976E27" w:rsidRDefault="00562AB1" w:rsidP="00562AB1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Rodinné vstupné 2+2: 450,- Kč</w:t>
      </w:r>
    </w:p>
    <w:p w14:paraId="4203D29E" w14:textId="77777777" w:rsidR="00562AB1" w:rsidRPr="00976E27" w:rsidRDefault="00562AB1" w:rsidP="00562AB1">
      <w:pPr>
        <w:pStyle w:val="Odstavecseseznamem1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976E27">
        <w:rPr>
          <w:rFonts w:cs="Calibri"/>
          <w:sz w:val="24"/>
          <w:szCs w:val="24"/>
        </w:rPr>
        <w:t>Školní skupina min. 10 osob (pedagogický doprovod zdarma) 100,- Kč/student.</w:t>
      </w:r>
      <w:r w:rsidRPr="00976E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B8A46" w14:textId="4D0097C8" w:rsidR="006E2AB7" w:rsidRPr="002C0F14" w:rsidRDefault="00BD2DA8" w:rsidP="00562AB1">
      <w:pPr>
        <w:pStyle w:val="Odstavecseseznamem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E27">
        <w:rPr>
          <w:rFonts w:asciiTheme="minorHAnsi" w:hAnsiTheme="minorHAnsi" w:cstheme="minorHAnsi"/>
          <w:sz w:val="24"/>
          <w:szCs w:val="24"/>
        </w:rPr>
        <w:t xml:space="preserve">Rozdělení ze skutečně vybraného vstupného bude </w:t>
      </w:r>
      <w:proofErr w:type="gramStart"/>
      <w:r w:rsidRPr="00976E27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Pr="00976E27">
        <w:rPr>
          <w:rFonts w:asciiTheme="minorHAnsi" w:hAnsiTheme="minorHAnsi" w:cstheme="minorHAnsi"/>
          <w:sz w:val="24"/>
          <w:szCs w:val="24"/>
        </w:rPr>
        <w:t xml:space="preserve"> pro každou stranu. </w:t>
      </w:r>
      <w:bookmarkEnd w:id="2"/>
      <w:r w:rsidR="00633E28" w:rsidRPr="00976E27">
        <w:rPr>
          <w:rFonts w:asciiTheme="minorHAnsi" w:hAnsiTheme="minorHAnsi" w:cstheme="minorHAnsi"/>
          <w:sz w:val="24"/>
          <w:szCs w:val="24"/>
        </w:rPr>
        <w:t xml:space="preserve">CP </w:t>
      </w:r>
      <w:r w:rsidR="006E2AB7" w:rsidRPr="00976E27">
        <w:rPr>
          <w:rFonts w:asciiTheme="minorHAnsi" w:hAnsiTheme="minorHAnsi" w:cstheme="minorHAnsi"/>
          <w:sz w:val="24"/>
          <w:szCs w:val="24"/>
        </w:rPr>
        <w:t>je povinen respektovat cenovou politiku</w:t>
      </w:r>
      <w:r w:rsidR="006E2AB7" w:rsidRPr="002C0F14">
        <w:rPr>
          <w:rFonts w:asciiTheme="minorHAnsi" w:hAnsiTheme="minorHAnsi" w:cstheme="minorHAnsi"/>
          <w:sz w:val="24"/>
          <w:szCs w:val="24"/>
        </w:rPr>
        <w:t xml:space="preserve"> </w:t>
      </w:r>
      <w:r w:rsidR="0022777D" w:rsidRPr="002C0F14">
        <w:rPr>
          <w:rFonts w:asciiTheme="minorHAnsi" w:hAnsiTheme="minorHAnsi" w:cstheme="minorHAnsi"/>
          <w:sz w:val="24"/>
          <w:szCs w:val="24"/>
        </w:rPr>
        <w:t>Muzea</w:t>
      </w:r>
      <w:r w:rsidR="006E2AB7" w:rsidRPr="002C0F14">
        <w:rPr>
          <w:rFonts w:asciiTheme="minorHAnsi" w:hAnsiTheme="minorHAnsi" w:cstheme="minorHAnsi"/>
          <w:sz w:val="24"/>
          <w:szCs w:val="24"/>
        </w:rPr>
        <w:t xml:space="preserve">, tj. snížené vstupné pro specifické kategorie návštěvníků a vstupné zdarma pro specifické skupiny návštěvníků. Tyto skupiny definuje </w:t>
      </w:r>
      <w:r w:rsidR="0022777D" w:rsidRPr="002C0F14">
        <w:rPr>
          <w:rFonts w:asciiTheme="minorHAnsi" w:hAnsiTheme="minorHAnsi" w:cstheme="minorHAnsi"/>
          <w:sz w:val="24"/>
          <w:szCs w:val="24"/>
        </w:rPr>
        <w:t>Muzeum</w:t>
      </w:r>
      <w:r w:rsidR="006E2AB7" w:rsidRPr="002C0F14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CD47440" w14:textId="77777777" w:rsidR="00A53565" w:rsidRPr="002C0F14" w:rsidRDefault="00A53565" w:rsidP="006016D1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51750798"/>
      <w:r w:rsidRPr="002C0F14">
        <w:rPr>
          <w:rFonts w:asciiTheme="minorHAnsi" w:hAnsiTheme="minorHAnsi" w:cstheme="minorHAnsi"/>
          <w:sz w:val="24"/>
          <w:szCs w:val="24"/>
        </w:rPr>
        <w:t xml:space="preserve">Splatnost vstupného ze strany Muzea vůči </w:t>
      </w:r>
      <w:r w:rsidR="00633E28" w:rsidRPr="002C0F14">
        <w:rPr>
          <w:rFonts w:asciiTheme="minorHAnsi" w:hAnsiTheme="minorHAnsi" w:cstheme="minorHAnsi"/>
          <w:sz w:val="24"/>
          <w:szCs w:val="24"/>
        </w:rPr>
        <w:t xml:space="preserve">CP </w:t>
      </w:r>
      <w:r w:rsidRPr="002C0F14">
        <w:rPr>
          <w:rFonts w:asciiTheme="minorHAnsi" w:hAnsiTheme="minorHAnsi" w:cstheme="minorHAnsi"/>
          <w:sz w:val="24"/>
          <w:szCs w:val="24"/>
        </w:rPr>
        <w:t>je</w:t>
      </w:r>
      <w:r w:rsidR="00535CAD" w:rsidRPr="002C0F14">
        <w:rPr>
          <w:rFonts w:asciiTheme="minorHAnsi" w:hAnsiTheme="minorHAnsi" w:cstheme="minorHAnsi"/>
          <w:sz w:val="24"/>
          <w:szCs w:val="24"/>
        </w:rPr>
        <w:t xml:space="preserve"> </w:t>
      </w:r>
      <w:r w:rsidR="006E2AB7" w:rsidRPr="002C0F14">
        <w:rPr>
          <w:rFonts w:asciiTheme="minorHAnsi" w:hAnsiTheme="minorHAnsi" w:cstheme="minorHAnsi"/>
          <w:sz w:val="24"/>
          <w:szCs w:val="24"/>
        </w:rPr>
        <w:t>měsíčně se splatností 21. dní</w:t>
      </w:r>
      <w:r w:rsidR="00CF2EDD" w:rsidRPr="002C0F14">
        <w:rPr>
          <w:rFonts w:asciiTheme="minorHAnsi" w:hAnsiTheme="minorHAnsi" w:cstheme="minorHAnsi"/>
          <w:sz w:val="24"/>
          <w:szCs w:val="24"/>
        </w:rPr>
        <w:t xml:space="preserve"> od ukončení příslušného kalendářního měsíce</w:t>
      </w:r>
      <w:r w:rsidR="006E2AB7" w:rsidRPr="002C0F14">
        <w:rPr>
          <w:rFonts w:asciiTheme="minorHAnsi" w:hAnsiTheme="minorHAnsi" w:cstheme="minorHAnsi"/>
          <w:sz w:val="24"/>
          <w:szCs w:val="24"/>
        </w:rPr>
        <w:t>.</w:t>
      </w:r>
      <w:r w:rsidR="00CF2EDD" w:rsidRPr="002C0F14">
        <w:rPr>
          <w:rFonts w:asciiTheme="minorHAnsi" w:hAnsiTheme="minorHAnsi" w:cstheme="minorHAnsi"/>
          <w:sz w:val="24"/>
          <w:szCs w:val="24"/>
        </w:rPr>
        <w:t xml:space="preserve"> Muzeum je povinno vystavit </w:t>
      </w:r>
      <w:r w:rsidR="009E1982" w:rsidRPr="002C0F14">
        <w:rPr>
          <w:rFonts w:asciiTheme="minorHAnsi" w:hAnsiTheme="minorHAnsi" w:cstheme="minorHAnsi"/>
          <w:sz w:val="24"/>
          <w:szCs w:val="24"/>
        </w:rPr>
        <w:t xml:space="preserve">CP </w:t>
      </w:r>
      <w:r w:rsidR="00CF2EDD" w:rsidRPr="002C0F14">
        <w:rPr>
          <w:rFonts w:asciiTheme="minorHAnsi" w:hAnsiTheme="minorHAnsi" w:cstheme="minorHAnsi"/>
          <w:sz w:val="24"/>
          <w:szCs w:val="24"/>
        </w:rPr>
        <w:t xml:space="preserve">přehled vybraného vstupného, aby bylo zřejmé, jaký počet lístků byl vydán a </w:t>
      </w:r>
      <w:r w:rsidR="009E1982" w:rsidRPr="002C0F14">
        <w:rPr>
          <w:rFonts w:asciiTheme="minorHAnsi" w:hAnsiTheme="minorHAnsi" w:cstheme="minorHAnsi"/>
          <w:sz w:val="24"/>
          <w:szCs w:val="24"/>
        </w:rPr>
        <w:t xml:space="preserve">v </w:t>
      </w:r>
      <w:r w:rsidR="00CF2EDD" w:rsidRPr="002C0F14">
        <w:rPr>
          <w:rFonts w:asciiTheme="minorHAnsi" w:hAnsiTheme="minorHAnsi" w:cstheme="minorHAnsi"/>
          <w:sz w:val="24"/>
          <w:szCs w:val="24"/>
        </w:rPr>
        <w:t>jak</w:t>
      </w:r>
      <w:r w:rsidR="009E1982" w:rsidRPr="002C0F14">
        <w:rPr>
          <w:rFonts w:asciiTheme="minorHAnsi" w:hAnsiTheme="minorHAnsi" w:cstheme="minorHAnsi"/>
          <w:sz w:val="24"/>
          <w:szCs w:val="24"/>
        </w:rPr>
        <w:t>é</w:t>
      </w:r>
      <w:r w:rsidR="00CF2EDD" w:rsidRPr="002C0F14">
        <w:rPr>
          <w:rFonts w:asciiTheme="minorHAnsi" w:hAnsiTheme="minorHAnsi" w:cstheme="minorHAnsi"/>
          <w:sz w:val="24"/>
          <w:szCs w:val="24"/>
        </w:rPr>
        <w:t xml:space="preserve"> výš</w:t>
      </w:r>
      <w:r w:rsidR="009E1982" w:rsidRPr="002C0F14">
        <w:rPr>
          <w:rFonts w:asciiTheme="minorHAnsi" w:hAnsiTheme="minorHAnsi" w:cstheme="minorHAnsi"/>
          <w:sz w:val="24"/>
          <w:szCs w:val="24"/>
        </w:rPr>
        <w:t>i</w:t>
      </w:r>
      <w:r w:rsidR="00CF2EDD" w:rsidRPr="002C0F14">
        <w:rPr>
          <w:rFonts w:asciiTheme="minorHAnsi" w:hAnsiTheme="minorHAnsi" w:cstheme="minorHAnsi"/>
          <w:sz w:val="24"/>
          <w:szCs w:val="24"/>
        </w:rPr>
        <w:t xml:space="preserve"> </w:t>
      </w:r>
      <w:r w:rsidR="009E1982" w:rsidRPr="002C0F14">
        <w:rPr>
          <w:rFonts w:asciiTheme="minorHAnsi" w:hAnsiTheme="minorHAnsi" w:cstheme="minorHAnsi"/>
          <w:sz w:val="24"/>
          <w:szCs w:val="24"/>
        </w:rPr>
        <w:t>bylo vstupné vybráno</w:t>
      </w:r>
      <w:r w:rsidR="001B4F5C" w:rsidRPr="002C0F14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3"/>
    <w:p w14:paraId="0D7C8668" w14:textId="77777777" w:rsidR="0094634B" w:rsidRPr="002C0F14" w:rsidRDefault="0094634B" w:rsidP="00E90F70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C0F14">
        <w:rPr>
          <w:rFonts w:asciiTheme="minorHAnsi" w:hAnsiTheme="minorHAnsi" w:cstheme="minorHAnsi"/>
          <w:sz w:val="24"/>
          <w:szCs w:val="24"/>
        </w:rPr>
        <w:t xml:space="preserve">Smlouva se uzavírá na </w:t>
      </w:r>
      <w:r w:rsidR="00CB2A7C" w:rsidRPr="002C0F14">
        <w:rPr>
          <w:rFonts w:asciiTheme="minorHAnsi" w:hAnsiTheme="minorHAnsi" w:cstheme="minorHAnsi"/>
          <w:sz w:val="24"/>
          <w:szCs w:val="24"/>
        </w:rPr>
        <w:t xml:space="preserve">dobu </w:t>
      </w:r>
      <w:r w:rsidR="0060593C" w:rsidRPr="002C0F14">
        <w:rPr>
          <w:rFonts w:asciiTheme="minorHAnsi" w:hAnsiTheme="minorHAnsi" w:cstheme="minorHAnsi"/>
          <w:sz w:val="24"/>
          <w:szCs w:val="24"/>
        </w:rPr>
        <w:t xml:space="preserve">určitou, </w:t>
      </w:r>
      <w:r w:rsidR="00296B17" w:rsidRPr="002C0F14">
        <w:rPr>
          <w:rFonts w:asciiTheme="minorHAnsi" w:hAnsiTheme="minorHAnsi" w:cstheme="minorHAnsi"/>
          <w:sz w:val="24"/>
          <w:szCs w:val="24"/>
        </w:rPr>
        <w:t>a to do</w:t>
      </w:r>
      <w:r w:rsidR="001E3981" w:rsidRPr="002C0F14">
        <w:rPr>
          <w:rFonts w:asciiTheme="minorHAnsi" w:hAnsiTheme="minorHAnsi" w:cstheme="minorHAnsi"/>
          <w:sz w:val="24"/>
          <w:szCs w:val="24"/>
        </w:rPr>
        <w:t xml:space="preserve"> 30. </w:t>
      </w:r>
      <w:r w:rsidR="00815275" w:rsidRPr="002C0F14">
        <w:rPr>
          <w:rFonts w:asciiTheme="minorHAnsi" w:hAnsiTheme="minorHAnsi" w:cstheme="minorHAnsi"/>
          <w:sz w:val="24"/>
          <w:szCs w:val="24"/>
        </w:rPr>
        <w:t>11.2021</w:t>
      </w:r>
      <w:r w:rsidR="003B2422" w:rsidRPr="002C0F14">
        <w:rPr>
          <w:rFonts w:asciiTheme="minorHAnsi" w:hAnsiTheme="minorHAnsi" w:cstheme="minorHAnsi"/>
          <w:sz w:val="24"/>
          <w:szCs w:val="24"/>
        </w:rPr>
        <w:t>.</w:t>
      </w:r>
      <w:r w:rsidRPr="002C0F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3CFE5F" w14:textId="77777777" w:rsidR="0094634B" w:rsidRPr="002C0F14" w:rsidRDefault="0094634B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C0F14">
        <w:rPr>
          <w:rFonts w:asciiTheme="minorHAnsi" w:hAnsiTheme="minorHAnsi" w:cstheme="minorHAnsi"/>
          <w:sz w:val="24"/>
          <w:szCs w:val="24"/>
        </w:rPr>
        <w:t>Smlouva zaniká</w:t>
      </w:r>
    </w:p>
    <w:p w14:paraId="27F7845D" w14:textId="77777777" w:rsidR="0094634B" w:rsidRPr="00724177" w:rsidRDefault="00EC1D42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písemnou </w:t>
      </w:r>
      <w:r w:rsidR="0094634B" w:rsidRPr="00724177">
        <w:rPr>
          <w:rFonts w:cs="Calibri"/>
          <w:sz w:val="24"/>
          <w:szCs w:val="24"/>
        </w:rPr>
        <w:t xml:space="preserve">dohodou smluvních stran za podmínek stanovených smlouvou, </w:t>
      </w:r>
    </w:p>
    <w:p w14:paraId="5D9DB561" w14:textId="77777777" w:rsidR="0094634B" w:rsidRPr="00724177" w:rsidRDefault="0094634B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výpovědí kterékoliv ze smluvních stran za podmínek stanovených smlouvou, </w:t>
      </w:r>
    </w:p>
    <w:p w14:paraId="06444307" w14:textId="77777777" w:rsidR="0094634B" w:rsidRPr="00724177" w:rsidRDefault="0094634B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odstoupením kterékoliv ze smluvní stran </w:t>
      </w:r>
      <w:r w:rsidR="00EC1D42" w:rsidRPr="00724177">
        <w:rPr>
          <w:rFonts w:cs="Calibri"/>
          <w:sz w:val="24"/>
          <w:szCs w:val="24"/>
        </w:rPr>
        <w:t>za podmínek stanovených smlouvou</w:t>
      </w:r>
      <w:r w:rsidRPr="00724177">
        <w:rPr>
          <w:rFonts w:cs="Calibri"/>
          <w:sz w:val="24"/>
          <w:szCs w:val="24"/>
        </w:rPr>
        <w:t>.</w:t>
      </w:r>
    </w:p>
    <w:p w14:paraId="03CC0F88" w14:textId="77777777" w:rsidR="0094634B" w:rsidRPr="00724177" w:rsidRDefault="0094634B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Dohoda o zániku smlouvy musí být písemná a podepsána všemi smluvními stranami.</w:t>
      </w:r>
    </w:p>
    <w:p w14:paraId="467C796C" w14:textId="77777777" w:rsidR="0094634B" w:rsidRPr="00724177" w:rsidRDefault="0094634B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</w:t>
      </w:r>
      <w:r w:rsidR="00CB2A7C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 xml:space="preserve"> </w:t>
      </w:r>
      <w:r w:rsidR="00CB2A7C" w:rsidRPr="00724177">
        <w:rPr>
          <w:rFonts w:cs="Calibri"/>
          <w:sz w:val="24"/>
          <w:szCs w:val="24"/>
        </w:rPr>
        <w:t xml:space="preserve">jsou </w:t>
      </w:r>
      <w:r w:rsidRPr="00724177">
        <w:rPr>
          <w:rFonts w:cs="Calibri"/>
          <w:sz w:val="24"/>
          <w:szCs w:val="24"/>
        </w:rPr>
        <w:t>oprávněn</w:t>
      </w:r>
      <w:r w:rsidR="00CB2A7C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 xml:space="preserve"> smlouvu vypovědět, nastanou-li opodstatněné finanční důvody. </w:t>
      </w:r>
    </w:p>
    <w:p w14:paraId="304AF3BC" w14:textId="77777777" w:rsidR="0094634B" w:rsidRPr="00724177" w:rsidRDefault="0094634B" w:rsidP="007D1914">
      <w:pPr>
        <w:pStyle w:val="Odstavecseseznamem1"/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       Za opodstatněné </w:t>
      </w:r>
      <w:r w:rsidR="00EC1D42" w:rsidRPr="00724177">
        <w:rPr>
          <w:rFonts w:cs="Calibri"/>
          <w:sz w:val="24"/>
          <w:szCs w:val="24"/>
        </w:rPr>
        <w:t xml:space="preserve">důvody </w:t>
      </w:r>
      <w:r w:rsidRPr="00724177">
        <w:rPr>
          <w:rFonts w:cs="Calibri"/>
          <w:sz w:val="24"/>
          <w:szCs w:val="24"/>
        </w:rPr>
        <w:t>lze považovat zejména:</w:t>
      </w:r>
    </w:p>
    <w:p w14:paraId="4675426C" w14:textId="77777777" w:rsidR="0094634B" w:rsidRPr="00724177" w:rsidRDefault="0094634B" w:rsidP="00BD3C08">
      <w:pPr>
        <w:pStyle w:val="Odstavecseseznamem1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finanční důvody: nemožnost hradit náklady spojené s výkonem spolupráce nebo došlo-li by k neúměrnému zvýšení nákladů jedné ze stran na vzájem</w:t>
      </w:r>
      <w:r w:rsidR="00BD3C08" w:rsidRPr="00724177">
        <w:rPr>
          <w:rFonts w:cs="Calibri"/>
          <w:sz w:val="24"/>
          <w:szCs w:val="24"/>
        </w:rPr>
        <w:t>nou spolupráci dle této smlouvy</w:t>
      </w:r>
      <w:r w:rsidR="00EC1D42" w:rsidRPr="00724177">
        <w:rPr>
          <w:rFonts w:cs="Calibri"/>
          <w:sz w:val="24"/>
          <w:szCs w:val="24"/>
        </w:rPr>
        <w:t xml:space="preserve"> a taková nemožnost hradit náklady nebo takové neúměrné zvýšení nákladů bylo druhé</w:t>
      </w:r>
      <w:r w:rsidR="0032341F" w:rsidRPr="00724177">
        <w:rPr>
          <w:rFonts w:cs="Calibri"/>
          <w:sz w:val="24"/>
          <w:szCs w:val="24"/>
        </w:rPr>
        <w:t xml:space="preserve"> smluvní</w:t>
      </w:r>
      <w:r w:rsidR="00EC1D42" w:rsidRPr="00724177">
        <w:rPr>
          <w:rFonts w:cs="Calibri"/>
          <w:sz w:val="24"/>
          <w:szCs w:val="24"/>
        </w:rPr>
        <w:t xml:space="preserve"> straně věrohodným způsobem prokázáno</w:t>
      </w:r>
      <w:r w:rsidR="00A52EC8" w:rsidRPr="00724177">
        <w:rPr>
          <w:rFonts w:cs="Calibri"/>
          <w:sz w:val="24"/>
          <w:szCs w:val="24"/>
        </w:rPr>
        <w:t>.</w:t>
      </w:r>
    </w:p>
    <w:p w14:paraId="1B81FBE2" w14:textId="77777777" w:rsidR="00296B17" w:rsidRPr="00724177" w:rsidRDefault="00296B17" w:rsidP="00296B17">
      <w:pPr>
        <w:pStyle w:val="Odstavecseseznamem1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Výpovědní lhůta činí jeden měsíc, která počíná běžet prvním dnem měsíce následujícího po doručení písemné výpovědi druhé straně.</w:t>
      </w:r>
    </w:p>
    <w:p w14:paraId="64A8CDFD" w14:textId="77777777" w:rsidR="0094634B" w:rsidRDefault="0094634B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Odstoupit od smlouvy může kterákoliv ze smluvních stran</w:t>
      </w:r>
      <w:r w:rsidR="00BD3C08" w:rsidRPr="00724177">
        <w:rPr>
          <w:rFonts w:cs="Calibri"/>
          <w:sz w:val="24"/>
          <w:szCs w:val="24"/>
        </w:rPr>
        <w:t xml:space="preserve">, poruší-li </w:t>
      </w:r>
      <w:r w:rsidR="00C41FEE" w:rsidRPr="00724177">
        <w:rPr>
          <w:rFonts w:cs="Calibri"/>
          <w:sz w:val="24"/>
          <w:szCs w:val="24"/>
        </w:rPr>
        <w:t xml:space="preserve">druhá </w:t>
      </w:r>
      <w:r w:rsidR="00BD3C08" w:rsidRPr="00724177">
        <w:rPr>
          <w:rFonts w:cs="Calibri"/>
          <w:sz w:val="24"/>
          <w:szCs w:val="24"/>
        </w:rPr>
        <w:t>smluvní strana</w:t>
      </w:r>
      <w:r w:rsidRPr="00724177">
        <w:rPr>
          <w:rFonts w:cs="Calibri"/>
          <w:sz w:val="24"/>
          <w:szCs w:val="24"/>
        </w:rPr>
        <w:t xml:space="preserve"> ustanovení smlouvy podstatným způsobem nebo hrubě po</w:t>
      </w:r>
      <w:r w:rsidR="00BD3C08" w:rsidRPr="00724177">
        <w:rPr>
          <w:rFonts w:cs="Calibri"/>
          <w:sz w:val="24"/>
          <w:szCs w:val="24"/>
        </w:rPr>
        <w:t>škodí dobré jméno další smluvní</w:t>
      </w:r>
      <w:r w:rsidRPr="00724177">
        <w:rPr>
          <w:rFonts w:cs="Calibri"/>
          <w:sz w:val="24"/>
          <w:szCs w:val="24"/>
        </w:rPr>
        <w:t xml:space="preserve"> stran</w:t>
      </w:r>
      <w:r w:rsidR="00BD3C08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>. Smluvní strana je však povinna na toto porušení další smluvní stran</w:t>
      </w:r>
      <w:r w:rsidR="00BD3C08" w:rsidRPr="00724177">
        <w:rPr>
          <w:rFonts w:cs="Calibri"/>
          <w:sz w:val="24"/>
          <w:szCs w:val="24"/>
        </w:rPr>
        <w:t>y písemně upozornit a požádat ji</w:t>
      </w:r>
      <w:r w:rsidRPr="00724177">
        <w:rPr>
          <w:rFonts w:cs="Calibri"/>
          <w:sz w:val="24"/>
          <w:szCs w:val="24"/>
        </w:rPr>
        <w:t xml:space="preserve"> o provedení nápravy, pokud je to možné. V případě, že smluvní strana porušující smlouvu nezajistí nápravu </w:t>
      </w:r>
      <w:r w:rsidR="00CF2EDD" w:rsidRPr="00724177">
        <w:rPr>
          <w:rFonts w:cs="Calibri"/>
          <w:sz w:val="24"/>
          <w:szCs w:val="24"/>
        </w:rPr>
        <w:t>v přiměřené lhůtě</w:t>
      </w:r>
      <w:r w:rsidRPr="00724177">
        <w:rPr>
          <w:rFonts w:cs="Calibri"/>
          <w:sz w:val="24"/>
          <w:szCs w:val="24"/>
        </w:rPr>
        <w:t xml:space="preserve"> </w:t>
      </w:r>
      <w:r w:rsidR="00CF2EDD" w:rsidRPr="00724177">
        <w:rPr>
          <w:rFonts w:cs="Calibri"/>
          <w:sz w:val="24"/>
          <w:szCs w:val="24"/>
        </w:rPr>
        <w:t xml:space="preserve">poskytnuté druhou smluvní stranou </w:t>
      </w:r>
      <w:r w:rsidRPr="00724177">
        <w:rPr>
          <w:rFonts w:cs="Calibri"/>
          <w:sz w:val="24"/>
          <w:szCs w:val="24"/>
        </w:rPr>
        <w:t>od obdržení písemné výzvy k nápravě, je d</w:t>
      </w:r>
      <w:r w:rsidR="00296B17" w:rsidRPr="00724177">
        <w:rPr>
          <w:rFonts w:cs="Calibri"/>
          <w:sz w:val="24"/>
          <w:szCs w:val="24"/>
        </w:rPr>
        <w:t>ruhá</w:t>
      </w:r>
      <w:r w:rsidRPr="00724177">
        <w:rPr>
          <w:rFonts w:cs="Calibri"/>
          <w:sz w:val="24"/>
          <w:szCs w:val="24"/>
        </w:rPr>
        <w:t xml:space="preserve"> smluvní strana oprávněna od smlouvy odstoupit. Odstoupení od smlouvy musí být písemné a doručeno d</w:t>
      </w:r>
      <w:r w:rsidR="00296B17" w:rsidRPr="00724177">
        <w:rPr>
          <w:rFonts w:cs="Calibri"/>
          <w:sz w:val="24"/>
          <w:szCs w:val="24"/>
        </w:rPr>
        <w:t>ruhé</w:t>
      </w:r>
      <w:r w:rsidRPr="00724177">
        <w:rPr>
          <w:rFonts w:cs="Calibri"/>
          <w:sz w:val="24"/>
          <w:szCs w:val="24"/>
        </w:rPr>
        <w:t xml:space="preserve"> smluvní stran</w:t>
      </w:r>
      <w:r w:rsidR="00296B17" w:rsidRPr="00724177">
        <w:rPr>
          <w:rFonts w:cs="Calibri"/>
          <w:sz w:val="24"/>
          <w:szCs w:val="24"/>
        </w:rPr>
        <w:t>ě</w:t>
      </w:r>
      <w:r w:rsidRPr="00724177">
        <w:rPr>
          <w:rFonts w:cs="Calibri"/>
          <w:sz w:val="24"/>
          <w:szCs w:val="24"/>
        </w:rPr>
        <w:t>. Odstoupení od smlouvy je účinné dnem následujícím po doručení písemného odstoupení d</w:t>
      </w:r>
      <w:r w:rsidR="00296B17" w:rsidRPr="00724177">
        <w:rPr>
          <w:rFonts w:cs="Calibri"/>
          <w:sz w:val="24"/>
          <w:szCs w:val="24"/>
        </w:rPr>
        <w:t>ruhé</w:t>
      </w:r>
      <w:r w:rsidRPr="00724177">
        <w:rPr>
          <w:rFonts w:cs="Calibri"/>
          <w:sz w:val="24"/>
          <w:szCs w:val="24"/>
        </w:rPr>
        <w:t xml:space="preserve"> smluvní stran</w:t>
      </w:r>
      <w:r w:rsidR="00296B17" w:rsidRPr="00724177">
        <w:rPr>
          <w:rFonts w:cs="Calibri"/>
          <w:sz w:val="24"/>
          <w:szCs w:val="24"/>
        </w:rPr>
        <w:t>ě</w:t>
      </w:r>
      <w:r w:rsidRPr="00724177">
        <w:rPr>
          <w:rFonts w:cs="Calibri"/>
          <w:sz w:val="24"/>
          <w:szCs w:val="24"/>
        </w:rPr>
        <w:t>.</w:t>
      </w:r>
    </w:p>
    <w:p w14:paraId="3AF3484A" w14:textId="6626782F" w:rsidR="00477858" w:rsidRPr="002C0F14" w:rsidRDefault="00477858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2C0F14">
        <w:rPr>
          <w:rFonts w:cs="Calibri"/>
          <w:sz w:val="24"/>
          <w:szCs w:val="24"/>
        </w:rPr>
        <w:t>Obě smluvní strany vyjadřují ochotu a připravenost spolupracovat na daném projektu dlouhodobě, konkrétní podobu spolupráce bude vždy řešit konkrétní smlouva o realizaci výstavního projekt</w:t>
      </w:r>
      <w:r w:rsidR="002C0F14" w:rsidRPr="002C0F14">
        <w:rPr>
          <w:rFonts w:cs="Calibri"/>
          <w:sz w:val="24"/>
          <w:szCs w:val="24"/>
        </w:rPr>
        <w:t>u.</w:t>
      </w:r>
      <w:r w:rsidR="000B1853" w:rsidRPr="002C0F14">
        <w:rPr>
          <w:rFonts w:cs="Calibri"/>
          <w:sz w:val="24"/>
          <w:szCs w:val="24"/>
        </w:rPr>
        <w:t xml:space="preserve"> Obě smluvní strany souhlasí s opcí 5 let na společné pořádání těchto výstavních projektů: </w:t>
      </w:r>
      <w:r w:rsidR="000B1853" w:rsidRPr="002C0F14">
        <w:rPr>
          <w:sz w:val="24"/>
          <w:szCs w:val="24"/>
        </w:rPr>
        <w:t xml:space="preserve">Czech Press </w:t>
      </w:r>
      <w:proofErr w:type="spellStart"/>
      <w:r w:rsidR="000B1853" w:rsidRPr="002C0F14">
        <w:rPr>
          <w:sz w:val="24"/>
          <w:szCs w:val="24"/>
        </w:rPr>
        <w:t>Photo</w:t>
      </w:r>
      <w:proofErr w:type="spellEnd"/>
      <w:r w:rsidR="000B1853" w:rsidRPr="002C0F14">
        <w:rPr>
          <w:sz w:val="24"/>
          <w:szCs w:val="24"/>
        </w:rPr>
        <w:t xml:space="preserve">, Czech </w:t>
      </w:r>
      <w:proofErr w:type="spellStart"/>
      <w:r w:rsidR="002C0F14" w:rsidRPr="002C0F14">
        <w:rPr>
          <w:sz w:val="24"/>
          <w:szCs w:val="24"/>
        </w:rPr>
        <w:t>Nat</w:t>
      </w:r>
      <w:r w:rsidR="000B1853" w:rsidRPr="002C0F14">
        <w:rPr>
          <w:sz w:val="24"/>
          <w:szCs w:val="24"/>
        </w:rPr>
        <w:t>u</w:t>
      </w:r>
      <w:r w:rsidR="002C0F14" w:rsidRPr="002C0F14">
        <w:rPr>
          <w:sz w:val="24"/>
          <w:szCs w:val="24"/>
        </w:rPr>
        <w:t>r</w:t>
      </w:r>
      <w:r w:rsidR="000B1853" w:rsidRPr="002C0F14">
        <w:rPr>
          <w:sz w:val="24"/>
          <w:szCs w:val="24"/>
        </w:rPr>
        <w:t>e</w:t>
      </w:r>
      <w:proofErr w:type="spellEnd"/>
      <w:r w:rsidR="000B1853" w:rsidRPr="002C0F14">
        <w:rPr>
          <w:sz w:val="24"/>
          <w:szCs w:val="24"/>
        </w:rPr>
        <w:t xml:space="preserve"> </w:t>
      </w:r>
      <w:proofErr w:type="spellStart"/>
      <w:r w:rsidR="000B1853" w:rsidRPr="002C0F14">
        <w:rPr>
          <w:sz w:val="24"/>
          <w:szCs w:val="24"/>
        </w:rPr>
        <w:t>Photo</w:t>
      </w:r>
      <w:proofErr w:type="spellEnd"/>
      <w:r w:rsidR="000B1853" w:rsidRPr="002C0F14">
        <w:rPr>
          <w:sz w:val="24"/>
          <w:szCs w:val="24"/>
        </w:rPr>
        <w:t xml:space="preserve"> a </w:t>
      </w:r>
      <w:proofErr w:type="spellStart"/>
      <w:r w:rsidR="000B1853" w:rsidRPr="002C0F14">
        <w:rPr>
          <w:sz w:val="24"/>
          <w:szCs w:val="24"/>
        </w:rPr>
        <w:t>World</w:t>
      </w:r>
      <w:proofErr w:type="spellEnd"/>
      <w:r w:rsidR="000B1853" w:rsidRPr="002C0F14">
        <w:rPr>
          <w:sz w:val="24"/>
          <w:szCs w:val="24"/>
        </w:rPr>
        <w:t xml:space="preserve"> </w:t>
      </w:r>
      <w:proofErr w:type="spellStart"/>
      <w:r w:rsidR="000B1853" w:rsidRPr="002C0F14">
        <w:rPr>
          <w:sz w:val="24"/>
          <w:szCs w:val="24"/>
        </w:rPr>
        <w:t>Pess</w:t>
      </w:r>
      <w:proofErr w:type="spellEnd"/>
      <w:r w:rsidR="000B1853" w:rsidRPr="002C0F14">
        <w:rPr>
          <w:sz w:val="24"/>
          <w:szCs w:val="24"/>
        </w:rPr>
        <w:t xml:space="preserve"> </w:t>
      </w:r>
      <w:proofErr w:type="spellStart"/>
      <w:r w:rsidR="000B1853" w:rsidRPr="002C0F14">
        <w:rPr>
          <w:sz w:val="24"/>
          <w:szCs w:val="24"/>
        </w:rPr>
        <w:t>Photo</w:t>
      </w:r>
      <w:proofErr w:type="spellEnd"/>
      <w:r w:rsidR="000B1853" w:rsidRPr="002C0F14">
        <w:rPr>
          <w:sz w:val="24"/>
          <w:szCs w:val="24"/>
        </w:rPr>
        <w:t>, popřípadě i další</w:t>
      </w:r>
      <w:r w:rsidR="002C0F14" w:rsidRPr="002C0F14">
        <w:rPr>
          <w:sz w:val="24"/>
          <w:szCs w:val="24"/>
        </w:rPr>
        <w:t>ch výstav.</w:t>
      </w:r>
    </w:p>
    <w:p w14:paraId="22290F82" w14:textId="77777777" w:rsidR="00C335DD" w:rsidRPr="00724177" w:rsidRDefault="00C335DD" w:rsidP="00C335DD">
      <w:pPr>
        <w:pStyle w:val="Odstavecseseznamem1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1C44B2CA" w14:textId="77777777" w:rsidR="00EB5FEA" w:rsidRPr="00724177" w:rsidRDefault="00EB5FEA" w:rsidP="00EB5FEA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28BAA94" w14:textId="77777777" w:rsidR="0094634B" w:rsidRPr="00724177" w:rsidRDefault="0094634B" w:rsidP="007D1914">
      <w:pPr>
        <w:keepNext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Čl. I</w:t>
      </w:r>
      <w:r w:rsidR="0086589E" w:rsidRPr="00724177">
        <w:rPr>
          <w:rFonts w:cs="Calibri"/>
          <w:b/>
          <w:sz w:val="24"/>
          <w:szCs w:val="24"/>
        </w:rPr>
        <w:t>V</w:t>
      </w:r>
      <w:r w:rsidRPr="00724177">
        <w:rPr>
          <w:rFonts w:cs="Calibri"/>
          <w:b/>
          <w:sz w:val="24"/>
          <w:szCs w:val="24"/>
        </w:rPr>
        <w:t>.</w:t>
      </w:r>
      <w:r w:rsidRPr="00724177">
        <w:rPr>
          <w:rFonts w:cs="Calibri"/>
          <w:b/>
          <w:sz w:val="24"/>
          <w:szCs w:val="24"/>
        </w:rPr>
        <w:br/>
        <w:t>Přechodná a závěrečná ustanovení</w:t>
      </w:r>
    </w:p>
    <w:p w14:paraId="131BB647" w14:textId="77777777" w:rsidR="0022777D" w:rsidRPr="00724177" w:rsidRDefault="0094634B" w:rsidP="007D1914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Tato smlouva vstupuje v platnost </w:t>
      </w:r>
      <w:r w:rsidR="00296B17" w:rsidRPr="00724177">
        <w:rPr>
          <w:rFonts w:cs="Calibri"/>
          <w:sz w:val="24"/>
          <w:szCs w:val="24"/>
        </w:rPr>
        <w:t xml:space="preserve">a účinnosti </w:t>
      </w:r>
      <w:r w:rsidRPr="00724177">
        <w:rPr>
          <w:rFonts w:cs="Calibri"/>
          <w:sz w:val="24"/>
          <w:szCs w:val="24"/>
        </w:rPr>
        <w:t>okamžikem podpisu smluvních stran</w:t>
      </w:r>
      <w:r w:rsidR="0069309E" w:rsidRPr="00724177">
        <w:rPr>
          <w:rFonts w:cs="Calibri"/>
          <w:sz w:val="24"/>
          <w:szCs w:val="24"/>
        </w:rPr>
        <w:t>.</w:t>
      </w:r>
      <w:r w:rsidRPr="00724177">
        <w:rPr>
          <w:rFonts w:cs="Calibri"/>
          <w:sz w:val="24"/>
          <w:szCs w:val="24"/>
        </w:rPr>
        <w:t xml:space="preserve"> </w:t>
      </w:r>
    </w:p>
    <w:p w14:paraId="292C7259" w14:textId="77777777" w:rsidR="0094634B" w:rsidRPr="00724177" w:rsidRDefault="0022777D" w:rsidP="007D1914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Tato </w:t>
      </w:r>
      <w:r w:rsidR="004D03AB" w:rsidRPr="00724177">
        <w:rPr>
          <w:rFonts w:cs="Calibri"/>
          <w:sz w:val="24"/>
          <w:szCs w:val="24"/>
        </w:rPr>
        <w:t>s</w:t>
      </w:r>
      <w:r w:rsidRPr="00724177">
        <w:rPr>
          <w:rFonts w:cs="Calibri"/>
          <w:sz w:val="24"/>
          <w:szCs w:val="24"/>
        </w:rPr>
        <w:t xml:space="preserve">mlouva může </w:t>
      </w:r>
      <w:r w:rsidR="0094634B" w:rsidRPr="00724177">
        <w:rPr>
          <w:rFonts w:cs="Calibri"/>
          <w:sz w:val="24"/>
          <w:szCs w:val="24"/>
        </w:rPr>
        <w:t>být měněna nebo doplňována pouze písemnými vzestupně číslovanými dodatky, podepsanými oběma smluvními stranami na téže listině.</w:t>
      </w:r>
    </w:p>
    <w:p w14:paraId="292B8EC9" w14:textId="77777777" w:rsidR="0094634B" w:rsidRPr="00724177" w:rsidRDefault="0094634B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Tato smlouv</w:t>
      </w:r>
      <w:r w:rsidR="00BD3C08" w:rsidRPr="00724177">
        <w:rPr>
          <w:rFonts w:cs="Calibri"/>
          <w:sz w:val="24"/>
          <w:szCs w:val="24"/>
        </w:rPr>
        <w:t>a a závazky i práva jí založené</w:t>
      </w:r>
      <w:r w:rsidRPr="00724177">
        <w:rPr>
          <w:rFonts w:cs="Calibri"/>
          <w:sz w:val="24"/>
          <w:szCs w:val="24"/>
        </w:rPr>
        <w:t xml:space="preserve"> se řídí právním řádem České republiky. Smluvní strany se zavazují, že veškeré spory vyplývající ze smlouvy se pokusí vyřešit přednostně cestou smíru.</w:t>
      </w:r>
      <w:r w:rsidR="0069309E" w:rsidRPr="00724177">
        <w:rPr>
          <w:rFonts w:cs="Calibri"/>
          <w:sz w:val="24"/>
          <w:szCs w:val="24"/>
        </w:rPr>
        <w:t xml:space="preserve"> </w:t>
      </w:r>
    </w:p>
    <w:p w14:paraId="07116F51" w14:textId="77777777" w:rsidR="0094634B" w:rsidRPr="00724177" w:rsidRDefault="0094634B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T</w:t>
      </w:r>
      <w:r w:rsidR="00BD3C08" w:rsidRPr="00724177">
        <w:rPr>
          <w:rFonts w:cs="Calibri"/>
          <w:sz w:val="24"/>
          <w:szCs w:val="24"/>
        </w:rPr>
        <w:t>ato smlouva byla sepsána ve čtyřech</w:t>
      </w:r>
      <w:r w:rsidRPr="00724177">
        <w:rPr>
          <w:rFonts w:cs="Calibri"/>
          <w:sz w:val="24"/>
          <w:szCs w:val="24"/>
        </w:rPr>
        <w:t xml:space="preserve"> vyhotoveních, z nichž každé má platnost originálu. Každá ze smluvních stran obdrží dva podepsané stejnopisy.</w:t>
      </w:r>
    </w:p>
    <w:p w14:paraId="42E8360A" w14:textId="77777777" w:rsidR="0094634B" w:rsidRPr="00724177" w:rsidRDefault="0094634B" w:rsidP="0024750C">
      <w:pPr>
        <w:pStyle w:val="Odstavecseseznamem1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Kontaktní osoby smluvních stran: </w:t>
      </w:r>
    </w:p>
    <w:p w14:paraId="616DFFA3" w14:textId="27196060" w:rsidR="0094634B" w:rsidRPr="000B1853" w:rsidRDefault="0094634B" w:rsidP="0034688F">
      <w:pPr>
        <w:pStyle w:val="Odstavecseseznamem1"/>
        <w:spacing w:after="120" w:line="240" w:lineRule="auto"/>
        <w:ind w:left="397"/>
        <w:contextualSpacing w:val="0"/>
        <w:jc w:val="both"/>
        <w:rPr>
          <w:rFonts w:cs="Calibri"/>
          <w:sz w:val="24"/>
          <w:szCs w:val="24"/>
        </w:rPr>
      </w:pPr>
      <w:r w:rsidRPr="000B1853">
        <w:rPr>
          <w:rFonts w:cs="Calibri"/>
          <w:sz w:val="24"/>
          <w:szCs w:val="24"/>
        </w:rPr>
        <w:t xml:space="preserve">Za </w:t>
      </w:r>
      <w:r w:rsidR="000B1853">
        <w:rPr>
          <w:rFonts w:cs="Calibri"/>
          <w:sz w:val="24"/>
          <w:szCs w:val="24"/>
        </w:rPr>
        <w:t>M</w:t>
      </w:r>
      <w:r w:rsidR="007366C1" w:rsidRPr="000B1853">
        <w:rPr>
          <w:rFonts w:cs="Calibri"/>
          <w:sz w:val="24"/>
          <w:szCs w:val="24"/>
        </w:rPr>
        <w:t>uzeum</w:t>
      </w:r>
      <w:r w:rsidR="00744EA2" w:rsidRPr="000B1853">
        <w:rPr>
          <w:rFonts w:cs="Calibri"/>
          <w:sz w:val="24"/>
          <w:szCs w:val="24"/>
        </w:rPr>
        <w:t>:</w:t>
      </w:r>
      <w:r w:rsidR="00A52EC8" w:rsidRPr="000B1853">
        <w:rPr>
          <w:rFonts w:cs="Calibri"/>
          <w:sz w:val="24"/>
          <w:szCs w:val="24"/>
        </w:rPr>
        <w:t xml:space="preserve"> </w:t>
      </w:r>
      <w:r w:rsidR="00BD7CB5">
        <w:rPr>
          <w:rFonts w:cs="Calibri"/>
          <w:sz w:val="24"/>
          <w:szCs w:val="24"/>
        </w:rPr>
        <w:t>XXXXXXXXXXXXXX</w:t>
      </w:r>
    </w:p>
    <w:p w14:paraId="53F50088" w14:textId="1CACD6B3" w:rsidR="006016D1" w:rsidRPr="000B1853" w:rsidRDefault="00A52EC8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  <w:r w:rsidRPr="000B1853">
        <w:rPr>
          <w:rFonts w:cs="Calibri"/>
          <w:sz w:val="24"/>
          <w:szCs w:val="24"/>
        </w:rPr>
        <w:t>Z</w:t>
      </w:r>
      <w:r w:rsidR="0094634B" w:rsidRPr="000B1853">
        <w:rPr>
          <w:rFonts w:cs="Calibri"/>
          <w:sz w:val="24"/>
          <w:szCs w:val="24"/>
        </w:rPr>
        <w:t>a</w:t>
      </w:r>
      <w:r w:rsidR="00BD3C08" w:rsidRPr="000B1853">
        <w:rPr>
          <w:rFonts w:cs="Calibri"/>
          <w:sz w:val="24"/>
          <w:szCs w:val="24"/>
        </w:rPr>
        <w:t xml:space="preserve"> </w:t>
      </w:r>
      <w:r w:rsidR="006016D1" w:rsidRPr="000B1853">
        <w:rPr>
          <w:rFonts w:cs="Calibri"/>
          <w:sz w:val="24"/>
          <w:szCs w:val="24"/>
        </w:rPr>
        <w:t>CP</w:t>
      </w:r>
      <w:r w:rsidR="00535CAD" w:rsidRPr="000B1853">
        <w:rPr>
          <w:rFonts w:cs="Calibri"/>
          <w:sz w:val="24"/>
          <w:szCs w:val="24"/>
        </w:rPr>
        <w:t>:</w:t>
      </w:r>
      <w:r w:rsidR="006016D1" w:rsidRPr="000B1853">
        <w:rPr>
          <w:rFonts w:cs="Calibri"/>
          <w:sz w:val="24"/>
          <w:szCs w:val="24"/>
        </w:rPr>
        <w:t xml:space="preserve"> </w:t>
      </w:r>
      <w:r w:rsidR="00BD7CB5">
        <w:rPr>
          <w:rFonts w:cs="Calibri"/>
          <w:sz w:val="24"/>
          <w:szCs w:val="24"/>
        </w:rPr>
        <w:t>XXXXXXXXXXXXX</w:t>
      </w:r>
    </w:p>
    <w:p w14:paraId="792245F5" w14:textId="77777777" w:rsidR="00C335DD" w:rsidRPr="00724177" w:rsidRDefault="00C335DD" w:rsidP="00A52EC8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32E2BF11" w14:textId="77777777" w:rsidR="00C335DD" w:rsidRPr="00724177" w:rsidRDefault="00C335DD" w:rsidP="00A52EC8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3FC8BAC7" w14:textId="77777777" w:rsidR="0094634B" w:rsidRPr="00724177" w:rsidRDefault="0094634B" w:rsidP="00A52EC8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V ____________ dne ____________</w:t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  <w:t xml:space="preserve">            V____________ dne </w:t>
      </w:r>
      <w:r w:rsidR="000B1853">
        <w:rPr>
          <w:rFonts w:cs="Calibri"/>
          <w:sz w:val="24"/>
          <w:szCs w:val="24"/>
        </w:rPr>
        <w:t>___________</w:t>
      </w:r>
    </w:p>
    <w:p w14:paraId="12B248B3" w14:textId="77777777" w:rsidR="0094634B" w:rsidRPr="00724177" w:rsidRDefault="0094634B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C9BBDC9" w14:textId="77777777" w:rsidR="00987ED6" w:rsidRPr="00724177" w:rsidRDefault="00987ED6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DCCC227" w14:textId="77777777" w:rsidR="00C335DD" w:rsidRPr="00724177" w:rsidRDefault="00C335DD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3412EDB" w14:textId="77777777" w:rsidR="0094634B" w:rsidRPr="00724177" w:rsidRDefault="0094634B" w:rsidP="007D191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………………………………........................</w:t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  <w:t>....................………………………………..</w:t>
      </w:r>
    </w:p>
    <w:p w14:paraId="46AF557C" w14:textId="77777777" w:rsidR="00D73D14" w:rsidRPr="00724177" w:rsidRDefault="0094634B" w:rsidP="005D4144">
      <w:pPr>
        <w:spacing w:after="0" w:line="240" w:lineRule="auto"/>
        <w:ind w:left="4956" w:hanging="4956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PhDr. Michal Lukeš, Ph.D.      </w:t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="006016D1" w:rsidRPr="00724177">
        <w:rPr>
          <w:rFonts w:cs="Calibri"/>
          <w:sz w:val="24"/>
          <w:szCs w:val="24"/>
        </w:rPr>
        <w:t xml:space="preserve">Ing. Veronika Souralová, </w:t>
      </w:r>
    </w:p>
    <w:p w14:paraId="4F6F4C4A" w14:textId="77777777" w:rsidR="006016D1" w:rsidRPr="00724177" w:rsidRDefault="0094634B" w:rsidP="006016D1">
      <w:pPr>
        <w:spacing w:after="0" w:line="240" w:lineRule="auto"/>
        <w:ind w:left="4956" w:hanging="4956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generální ředitel Národního muzea</w:t>
      </w:r>
      <w:r w:rsidR="006016D1" w:rsidRPr="00724177">
        <w:rPr>
          <w:rFonts w:cs="Calibri"/>
          <w:sz w:val="24"/>
          <w:szCs w:val="24"/>
        </w:rPr>
        <w:tab/>
      </w:r>
      <w:r w:rsidR="006016D1" w:rsidRPr="00724177">
        <w:rPr>
          <w:rFonts w:cs="Calibri"/>
          <w:sz w:val="24"/>
          <w:szCs w:val="24"/>
        </w:rPr>
        <w:tab/>
        <w:t>statutární ředitelka</w:t>
      </w:r>
    </w:p>
    <w:p w14:paraId="7BCE8F57" w14:textId="77777777" w:rsidR="0094634B" w:rsidRPr="00724177" w:rsidRDefault="0094634B" w:rsidP="00923649">
      <w:pPr>
        <w:spacing w:after="0" w:line="240" w:lineRule="auto"/>
        <w:ind w:left="5664" w:hanging="5664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ab/>
      </w:r>
    </w:p>
    <w:sectPr w:rsidR="0094634B" w:rsidRPr="00724177" w:rsidSect="002E05A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9E97C" w14:textId="77777777" w:rsidR="00D67BD6" w:rsidRDefault="00D67BD6" w:rsidP="00C93E69">
      <w:pPr>
        <w:spacing w:after="0" w:line="240" w:lineRule="auto"/>
      </w:pPr>
      <w:r>
        <w:separator/>
      </w:r>
    </w:p>
  </w:endnote>
  <w:endnote w:type="continuationSeparator" w:id="0">
    <w:p w14:paraId="1AC5334F" w14:textId="77777777" w:rsidR="00D67BD6" w:rsidRDefault="00D67BD6" w:rsidP="00C9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4D9B" w14:textId="77777777" w:rsidR="003E2F10" w:rsidRDefault="002A3FD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0F14" w:rsidRPr="002C0F14">
      <w:rPr>
        <w:noProof/>
      </w:rPr>
      <w:t>1</w:t>
    </w:r>
    <w:r>
      <w:rPr>
        <w:noProof/>
      </w:rPr>
      <w:fldChar w:fldCharType="end"/>
    </w:r>
  </w:p>
  <w:p w14:paraId="343F07C1" w14:textId="77777777" w:rsidR="003E2F10" w:rsidRDefault="003E2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B6A5D" w14:textId="77777777" w:rsidR="00D67BD6" w:rsidRDefault="00D67BD6" w:rsidP="00C93E69">
      <w:pPr>
        <w:spacing w:after="0" w:line="240" w:lineRule="auto"/>
      </w:pPr>
      <w:r>
        <w:separator/>
      </w:r>
    </w:p>
  </w:footnote>
  <w:footnote w:type="continuationSeparator" w:id="0">
    <w:p w14:paraId="35753B6D" w14:textId="77777777" w:rsidR="00D67BD6" w:rsidRDefault="00D67BD6" w:rsidP="00C9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C625" w14:textId="77777777" w:rsidR="008771A7" w:rsidRDefault="008771A7" w:rsidP="008771A7">
    <w:pPr>
      <w:pStyle w:val="Zhlav"/>
    </w:pPr>
    <w:r>
      <w:tab/>
    </w:r>
    <w:r>
      <w:tab/>
    </w:r>
  </w:p>
  <w:p w14:paraId="6130B86C" w14:textId="77777777" w:rsidR="008771A7" w:rsidRDefault="008771A7" w:rsidP="008771A7">
    <w:pPr>
      <w:pStyle w:val="Zhlav"/>
    </w:pPr>
  </w:p>
  <w:p w14:paraId="1EFD21A8" w14:textId="7CE54948" w:rsidR="00AF03E6" w:rsidRDefault="008771A7" w:rsidP="008771A7">
    <w:pPr>
      <w:pStyle w:val="Zhlav"/>
    </w:pPr>
    <w:r>
      <w:tab/>
    </w:r>
    <w:r>
      <w:tab/>
    </w:r>
    <w:r w:rsidRPr="008771A7">
      <w:t>2021/1298/NM</w:t>
    </w:r>
    <w:r w:rsidR="00AA5364">
      <w:tab/>
    </w:r>
    <w:r w:rsidR="00AA5364">
      <w:tab/>
    </w:r>
    <w:r w:rsidR="00AA5364">
      <w:tab/>
    </w:r>
    <w:r w:rsidR="00AA5364">
      <w:tab/>
    </w:r>
  </w:p>
  <w:p w14:paraId="7000FB2D" w14:textId="77777777" w:rsidR="005D4144" w:rsidRPr="002E05A5" w:rsidRDefault="005D4144" w:rsidP="001D6877">
    <w:pPr>
      <w:pStyle w:val="Zhlav"/>
      <w:tabs>
        <w:tab w:val="left" w:pos="7440"/>
      </w:tabs>
      <w:jc w:val="center"/>
      <w:rPr>
        <w:lang w:val="sk-SK"/>
      </w:rPr>
    </w:pPr>
    <w:r>
      <w:rPr>
        <w:lang w:val="sk-SK"/>
      </w:rPr>
      <w:t xml:space="preserve">                                                                                                                                            </w:t>
    </w:r>
    <w:r w:rsidR="00BD3C08">
      <w:rPr>
        <w:lang w:val="sk-SK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4EB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100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D423080"/>
    <w:multiLevelType w:val="multilevel"/>
    <w:tmpl w:val="A2225FB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none"/>
      <w:lvlText w:val=""/>
      <w:legacy w:legacy="1" w:legacySpace="0" w:legacyIndent="284"/>
      <w:lvlJc w:val="left"/>
      <w:pPr>
        <w:ind w:left="1078" w:hanging="284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6" w:hanging="708"/>
      </w:pPr>
    </w:lvl>
  </w:abstractNum>
  <w:abstractNum w:abstractNumId="5" w15:restartNumberingAfterBreak="0">
    <w:nsid w:val="23094ECD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0A056F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21560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383197"/>
    <w:multiLevelType w:val="hybridMultilevel"/>
    <w:tmpl w:val="EC3C5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8864F6"/>
    <w:multiLevelType w:val="hybridMultilevel"/>
    <w:tmpl w:val="EEB65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2014A"/>
    <w:multiLevelType w:val="hybridMultilevel"/>
    <w:tmpl w:val="6554BD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5EB3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1937BA"/>
    <w:multiLevelType w:val="hybridMultilevel"/>
    <w:tmpl w:val="58EA83B4"/>
    <w:lvl w:ilvl="0" w:tplc="39305970">
      <w:start w:val="1"/>
      <w:numFmt w:val="lowerLetter"/>
      <w:lvlText w:val="%1)"/>
      <w:lvlJc w:val="left"/>
      <w:pPr>
        <w:ind w:left="1145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4BD7317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06747B"/>
    <w:multiLevelType w:val="hybridMultilevel"/>
    <w:tmpl w:val="2B26A0D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18"/>
  </w:num>
  <w:num w:numId="8">
    <w:abstractNumId w:val="3"/>
  </w:num>
  <w:num w:numId="9">
    <w:abstractNumId w:val="2"/>
  </w:num>
  <w:num w:numId="10">
    <w:abstractNumId w:val="9"/>
  </w:num>
  <w:num w:numId="11">
    <w:abstractNumId w:val="1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8"/>
  </w:num>
  <w:num w:numId="17">
    <w:abstractNumId w:val="1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4"/>
    <w:rsid w:val="00001DF8"/>
    <w:rsid w:val="00020502"/>
    <w:rsid w:val="00030312"/>
    <w:rsid w:val="00041E66"/>
    <w:rsid w:val="00052464"/>
    <w:rsid w:val="00055231"/>
    <w:rsid w:val="000567B4"/>
    <w:rsid w:val="000649AA"/>
    <w:rsid w:val="00076A0F"/>
    <w:rsid w:val="0008733B"/>
    <w:rsid w:val="00091694"/>
    <w:rsid w:val="000B1853"/>
    <w:rsid w:val="000D771C"/>
    <w:rsid w:val="000E4BF6"/>
    <w:rsid w:val="000E5EE5"/>
    <w:rsid w:val="000F736B"/>
    <w:rsid w:val="00101697"/>
    <w:rsid w:val="00112CAA"/>
    <w:rsid w:val="00123376"/>
    <w:rsid w:val="00133D80"/>
    <w:rsid w:val="00140BA9"/>
    <w:rsid w:val="00147573"/>
    <w:rsid w:val="00156CBF"/>
    <w:rsid w:val="001A0BD9"/>
    <w:rsid w:val="001A0D9B"/>
    <w:rsid w:val="001A119A"/>
    <w:rsid w:val="001A2234"/>
    <w:rsid w:val="001B4F5C"/>
    <w:rsid w:val="001C0406"/>
    <w:rsid w:val="001C21B6"/>
    <w:rsid w:val="001D6877"/>
    <w:rsid w:val="001E1C6A"/>
    <w:rsid w:val="001E3981"/>
    <w:rsid w:val="001E49AE"/>
    <w:rsid w:val="001F5CF0"/>
    <w:rsid w:val="00221DEC"/>
    <w:rsid w:val="0022660F"/>
    <w:rsid w:val="0022777D"/>
    <w:rsid w:val="002403CD"/>
    <w:rsid w:val="00243F21"/>
    <w:rsid w:val="00247035"/>
    <w:rsid w:val="0024750C"/>
    <w:rsid w:val="00266B63"/>
    <w:rsid w:val="00266FF9"/>
    <w:rsid w:val="00274CF1"/>
    <w:rsid w:val="00275E59"/>
    <w:rsid w:val="00276EA8"/>
    <w:rsid w:val="00280527"/>
    <w:rsid w:val="00296B17"/>
    <w:rsid w:val="002A3FD0"/>
    <w:rsid w:val="002A7C45"/>
    <w:rsid w:val="002B6C9E"/>
    <w:rsid w:val="002C0DD7"/>
    <w:rsid w:val="002C0F14"/>
    <w:rsid w:val="002C3200"/>
    <w:rsid w:val="002C5FC7"/>
    <w:rsid w:val="002D6E05"/>
    <w:rsid w:val="002E05A5"/>
    <w:rsid w:val="002E1CA7"/>
    <w:rsid w:val="002F6142"/>
    <w:rsid w:val="0030559E"/>
    <w:rsid w:val="003137AA"/>
    <w:rsid w:val="0032341F"/>
    <w:rsid w:val="00325C0C"/>
    <w:rsid w:val="00344317"/>
    <w:rsid w:val="0034688F"/>
    <w:rsid w:val="003629DB"/>
    <w:rsid w:val="00370C1D"/>
    <w:rsid w:val="00381BC9"/>
    <w:rsid w:val="00390403"/>
    <w:rsid w:val="00391F42"/>
    <w:rsid w:val="00393E28"/>
    <w:rsid w:val="003A221B"/>
    <w:rsid w:val="003A707D"/>
    <w:rsid w:val="003B2422"/>
    <w:rsid w:val="003C1D8F"/>
    <w:rsid w:val="003C3236"/>
    <w:rsid w:val="003C40B7"/>
    <w:rsid w:val="003E2F10"/>
    <w:rsid w:val="003F0D79"/>
    <w:rsid w:val="003F4453"/>
    <w:rsid w:val="003F67D5"/>
    <w:rsid w:val="004010EF"/>
    <w:rsid w:val="00435583"/>
    <w:rsid w:val="004643C7"/>
    <w:rsid w:val="0046542B"/>
    <w:rsid w:val="00477858"/>
    <w:rsid w:val="004909D4"/>
    <w:rsid w:val="00491920"/>
    <w:rsid w:val="00497043"/>
    <w:rsid w:val="004A7277"/>
    <w:rsid w:val="004B7511"/>
    <w:rsid w:val="004C1231"/>
    <w:rsid w:val="004C46B6"/>
    <w:rsid w:val="004C55E5"/>
    <w:rsid w:val="004C5C18"/>
    <w:rsid w:val="004D03AB"/>
    <w:rsid w:val="004D36FF"/>
    <w:rsid w:val="004E625A"/>
    <w:rsid w:val="004E6A87"/>
    <w:rsid w:val="00506CD3"/>
    <w:rsid w:val="00510A4E"/>
    <w:rsid w:val="005127D7"/>
    <w:rsid w:val="00524FB6"/>
    <w:rsid w:val="00535CAD"/>
    <w:rsid w:val="005413EC"/>
    <w:rsid w:val="00542BDF"/>
    <w:rsid w:val="0055120B"/>
    <w:rsid w:val="00562A27"/>
    <w:rsid w:val="00562AB1"/>
    <w:rsid w:val="00563679"/>
    <w:rsid w:val="00570543"/>
    <w:rsid w:val="00570AC0"/>
    <w:rsid w:val="00575AAC"/>
    <w:rsid w:val="00576759"/>
    <w:rsid w:val="005858A7"/>
    <w:rsid w:val="00587F03"/>
    <w:rsid w:val="005A1DCD"/>
    <w:rsid w:val="005B697A"/>
    <w:rsid w:val="005D4144"/>
    <w:rsid w:val="005E1F1D"/>
    <w:rsid w:val="005E3DF6"/>
    <w:rsid w:val="005F0BD7"/>
    <w:rsid w:val="005F12EF"/>
    <w:rsid w:val="006016D1"/>
    <w:rsid w:val="00603537"/>
    <w:rsid w:val="0060593C"/>
    <w:rsid w:val="0061621D"/>
    <w:rsid w:val="00630ACC"/>
    <w:rsid w:val="00633E28"/>
    <w:rsid w:val="006518CA"/>
    <w:rsid w:val="00657EA7"/>
    <w:rsid w:val="00672AE1"/>
    <w:rsid w:val="006805E3"/>
    <w:rsid w:val="0068612B"/>
    <w:rsid w:val="0069309E"/>
    <w:rsid w:val="006A7329"/>
    <w:rsid w:val="006B4A7B"/>
    <w:rsid w:val="006C4504"/>
    <w:rsid w:val="006C50CA"/>
    <w:rsid w:val="006C78EF"/>
    <w:rsid w:val="006E234E"/>
    <w:rsid w:val="006E2AB7"/>
    <w:rsid w:val="006E3409"/>
    <w:rsid w:val="006E4804"/>
    <w:rsid w:val="006E60D3"/>
    <w:rsid w:val="006F33AB"/>
    <w:rsid w:val="006F75C0"/>
    <w:rsid w:val="006F76C4"/>
    <w:rsid w:val="006F7893"/>
    <w:rsid w:val="007011EE"/>
    <w:rsid w:val="0070231E"/>
    <w:rsid w:val="00712B7E"/>
    <w:rsid w:val="00724177"/>
    <w:rsid w:val="007303E6"/>
    <w:rsid w:val="007366C1"/>
    <w:rsid w:val="00744EA2"/>
    <w:rsid w:val="00751E04"/>
    <w:rsid w:val="00755078"/>
    <w:rsid w:val="0077680C"/>
    <w:rsid w:val="00795D39"/>
    <w:rsid w:val="007D1914"/>
    <w:rsid w:val="007D62AD"/>
    <w:rsid w:val="007D7634"/>
    <w:rsid w:val="007E113F"/>
    <w:rsid w:val="007E158B"/>
    <w:rsid w:val="007E748E"/>
    <w:rsid w:val="00815275"/>
    <w:rsid w:val="00835287"/>
    <w:rsid w:val="008457F4"/>
    <w:rsid w:val="00855D29"/>
    <w:rsid w:val="00856BEE"/>
    <w:rsid w:val="0086589E"/>
    <w:rsid w:val="008732D5"/>
    <w:rsid w:val="008771A7"/>
    <w:rsid w:val="0087733C"/>
    <w:rsid w:val="0088586C"/>
    <w:rsid w:val="00895CBA"/>
    <w:rsid w:val="008A789E"/>
    <w:rsid w:val="008B0040"/>
    <w:rsid w:val="008B5F6C"/>
    <w:rsid w:val="008B7DCF"/>
    <w:rsid w:val="008C2513"/>
    <w:rsid w:val="008C3B3E"/>
    <w:rsid w:val="008C60DF"/>
    <w:rsid w:val="008C7EE1"/>
    <w:rsid w:val="008E279A"/>
    <w:rsid w:val="0090351D"/>
    <w:rsid w:val="0090493C"/>
    <w:rsid w:val="0090656F"/>
    <w:rsid w:val="009177FB"/>
    <w:rsid w:val="00923649"/>
    <w:rsid w:val="00925EE7"/>
    <w:rsid w:val="0094442A"/>
    <w:rsid w:val="0094634B"/>
    <w:rsid w:val="0094783A"/>
    <w:rsid w:val="00955D89"/>
    <w:rsid w:val="00955EBA"/>
    <w:rsid w:val="00960352"/>
    <w:rsid w:val="00961A14"/>
    <w:rsid w:val="00963B31"/>
    <w:rsid w:val="00976E27"/>
    <w:rsid w:val="00977AC7"/>
    <w:rsid w:val="009836B9"/>
    <w:rsid w:val="00987ED6"/>
    <w:rsid w:val="009A524B"/>
    <w:rsid w:val="009C4D3B"/>
    <w:rsid w:val="009C4EAB"/>
    <w:rsid w:val="009D1BFD"/>
    <w:rsid w:val="009D3912"/>
    <w:rsid w:val="009E1982"/>
    <w:rsid w:val="00A10E3C"/>
    <w:rsid w:val="00A21809"/>
    <w:rsid w:val="00A317F7"/>
    <w:rsid w:val="00A4160F"/>
    <w:rsid w:val="00A42ED9"/>
    <w:rsid w:val="00A448D8"/>
    <w:rsid w:val="00A52EC8"/>
    <w:rsid w:val="00A53565"/>
    <w:rsid w:val="00A53FA2"/>
    <w:rsid w:val="00A73958"/>
    <w:rsid w:val="00A73D96"/>
    <w:rsid w:val="00A81ED3"/>
    <w:rsid w:val="00A83784"/>
    <w:rsid w:val="00A87C14"/>
    <w:rsid w:val="00A9083A"/>
    <w:rsid w:val="00A97A47"/>
    <w:rsid w:val="00AA25B8"/>
    <w:rsid w:val="00AA5364"/>
    <w:rsid w:val="00AC3935"/>
    <w:rsid w:val="00AF03E6"/>
    <w:rsid w:val="00B048A3"/>
    <w:rsid w:val="00B11236"/>
    <w:rsid w:val="00B11910"/>
    <w:rsid w:val="00B13923"/>
    <w:rsid w:val="00B20FD5"/>
    <w:rsid w:val="00B46345"/>
    <w:rsid w:val="00B472D2"/>
    <w:rsid w:val="00B5144D"/>
    <w:rsid w:val="00B66DD3"/>
    <w:rsid w:val="00B8576E"/>
    <w:rsid w:val="00B91AD7"/>
    <w:rsid w:val="00B95CFF"/>
    <w:rsid w:val="00BB0A73"/>
    <w:rsid w:val="00BC0B42"/>
    <w:rsid w:val="00BC1D80"/>
    <w:rsid w:val="00BD2DA8"/>
    <w:rsid w:val="00BD3B42"/>
    <w:rsid w:val="00BD3C08"/>
    <w:rsid w:val="00BD5F4F"/>
    <w:rsid w:val="00BD7CB5"/>
    <w:rsid w:val="00BF3EB1"/>
    <w:rsid w:val="00C11D45"/>
    <w:rsid w:val="00C1308F"/>
    <w:rsid w:val="00C13C62"/>
    <w:rsid w:val="00C2361C"/>
    <w:rsid w:val="00C3215D"/>
    <w:rsid w:val="00C335DD"/>
    <w:rsid w:val="00C41FEE"/>
    <w:rsid w:val="00C56D36"/>
    <w:rsid w:val="00C6330D"/>
    <w:rsid w:val="00C63633"/>
    <w:rsid w:val="00C647FD"/>
    <w:rsid w:val="00C65060"/>
    <w:rsid w:val="00C65E86"/>
    <w:rsid w:val="00C67388"/>
    <w:rsid w:val="00C724FD"/>
    <w:rsid w:val="00C726C5"/>
    <w:rsid w:val="00C72D6A"/>
    <w:rsid w:val="00C766E8"/>
    <w:rsid w:val="00C93E69"/>
    <w:rsid w:val="00C94A99"/>
    <w:rsid w:val="00CA7145"/>
    <w:rsid w:val="00CB2A7C"/>
    <w:rsid w:val="00CB5517"/>
    <w:rsid w:val="00CD77DF"/>
    <w:rsid w:val="00CE4B82"/>
    <w:rsid w:val="00CF2EDD"/>
    <w:rsid w:val="00CF3AC4"/>
    <w:rsid w:val="00D02216"/>
    <w:rsid w:val="00D21252"/>
    <w:rsid w:val="00D242CA"/>
    <w:rsid w:val="00D270D3"/>
    <w:rsid w:val="00D337F1"/>
    <w:rsid w:val="00D40A92"/>
    <w:rsid w:val="00D61BE5"/>
    <w:rsid w:val="00D67BD6"/>
    <w:rsid w:val="00D73D14"/>
    <w:rsid w:val="00D75A3E"/>
    <w:rsid w:val="00D94381"/>
    <w:rsid w:val="00D96F94"/>
    <w:rsid w:val="00DA09AF"/>
    <w:rsid w:val="00DB7146"/>
    <w:rsid w:val="00DC3CB0"/>
    <w:rsid w:val="00DE485F"/>
    <w:rsid w:val="00DE5AE8"/>
    <w:rsid w:val="00DF2E27"/>
    <w:rsid w:val="00E01050"/>
    <w:rsid w:val="00E04F8D"/>
    <w:rsid w:val="00E07E37"/>
    <w:rsid w:val="00E21B90"/>
    <w:rsid w:val="00E2625E"/>
    <w:rsid w:val="00E30731"/>
    <w:rsid w:val="00E30954"/>
    <w:rsid w:val="00E33AF6"/>
    <w:rsid w:val="00E3413A"/>
    <w:rsid w:val="00E6289D"/>
    <w:rsid w:val="00E65F81"/>
    <w:rsid w:val="00E77549"/>
    <w:rsid w:val="00E90F70"/>
    <w:rsid w:val="00E91736"/>
    <w:rsid w:val="00E93339"/>
    <w:rsid w:val="00EA49F9"/>
    <w:rsid w:val="00EB3E5D"/>
    <w:rsid w:val="00EB5FEA"/>
    <w:rsid w:val="00EC1D42"/>
    <w:rsid w:val="00EC2A99"/>
    <w:rsid w:val="00EC4769"/>
    <w:rsid w:val="00F017A0"/>
    <w:rsid w:val="00F1306E"/>
    <w:rsid w:val="00F143BE"/>
    <w:rsid w:val="00F20F73"/>
    <w:rsid w:val="00F41C58"/>
    <w:rsid w:val="00F47AFA"/>
    <w:rsid w:val="00F52421"/>
    <w:rsid w:val="00F55014"/>
    <w:rsid w:val="00F65267"/>
    <w:rsid w:val="00F77262"/>
    <w:rsid w:val="00F866ED"/>
    <w:rsid w:val="00FA1BB7"/>
    <w:rsid w:val="00FB1C3E"/>
    <w:rsid w:val="00FB5CE4"/>
    <w:rsid w:val="00FC5C5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6924F"/>
  <w15:docId w15:val="{6EA0D24C-A707-4980-A7A3-944357A8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91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D41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D1914"/>
    <w:pPr>
      <w:ind w:left="720"/>
      <w:contextualSpacing/>
    </w:pPr>
  </w:style>
  <w:style w:type="paragraph" w:styleId="Zhlav">
    <w:name w:val="header"/>
    <w:basedOn w:val="Normln"/>
    <w:link w:val="ZhlavChar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locked/>
    <w:rsid w:val="007D191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7D1914"/>
    <w:rPr>
      <w:rFonts w:ascii="Calibri" w:hAnsi="Calibri" w:cs="Times New Roman"/>
    </w:rPr>
  </w:style>
  <w:style w:type="character" w:styleId="Odkaznakoment">
    <w:name w:val="annotation reference"/>
    <w:semiHidden/>
    <w:rsid w:val="007D1914"/>
    <w:rPr>
      <w:sz w:val="16"/>
    </w:rPr>
  </w:style>
  <w:style w:type="paragraph" w:styleId="Textkomente">
    <w:name w:val="annotation text"/>
    <w:basedOn w:val="Normln"/>
    <w:link w:val="TextkomenteChar"/>
    <w:semiHidden/>
    <w:rsid w:val="007D1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7D1914"/>
    <w:rPr>
      <w:rFonts w:ascii="Calibri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locked/>
    <w:rsid w:val="007D1914"/>
    <w:rPr>
      <w:rFonts w:ascii="Times New Roman" w:hAnsi="Times New Roman"/>
      <w:sz w:val="23"/>
      <w:shd w:val="clear" w:color="auto" w:fill="FFFFFF"/>
    </w:rPr>
  </w:style>
  <w:style w:type="paragraph" w:styleId="Zkladntext">
    <w:name w:val="Body Text"/>
    <w:basedOn w:val="Normln"/>
    <w:link w:val="ZkladntextChar"/>
    <w:rsid w:val="007D191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hAnsi="Times New Roman"/>
      <w:sz w:val="23"/>
      <w:szCs w:val="20"/>
    </w:rPr>
  </w:style>
  <w:style w:type="character" w:customStyle="1" w:styleId="ZkladntextChar1">
    <w:name w:val="Základní text Char1"/>
    <w:semiHidden/>
    <w:rsid w:val="007D191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semiHidden/>
    <w:rsid w:val="007D19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locked/>
    <w:rsid w:val="007D1914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ln"/>
    <w:rsid w:val="007D1914"/>
    <w:pPr>
      <w:ind w:left="720"/>
      <w:contextualSpacing/>
    </w:pPr>
  </w:style>
  <w:style w:type="paragraph" w:customStyle="1" w:styleId="Odstavecseseznamem2">
    <w:name w:val="Odstavec se seznamem2"/>
    <w:basedOn w:val="Normln"/>
    <w:rsid w:val="00C93E69"/>
    <w:pPr>
      <w:spacing w:after="0" w:line="240" w:lineRule="auto"/>
      <w:ind w:left="720"/>
      <w:contextualSpacing/>
    </w:pPr>
    <w:rPr>
      <w:szCs w:val="24"/>
      <w:lang w:eastAsia="cs-CZ"/>
    </w:rPr>
  </w:style>
  <w:style w:type="character" w:styleId="Hypertextovodkaz">
    <w:name w:val="Hyperlink"/>
    <w:rsid w:val="00FB5CE4"/>
    <w:rPr>
      <w:rFonts w:cs="Times New Roman"/>
      <w:color w:val="0563C1"/>
      <w:u w:val="single"/>
    </w:rPr>
  </w:style>
  <w:style w:type="paragraph" w:customStyle="1" w:styleId="Revision1">
    <w:name w:val="Revision1"/>
    <w:hidden/>
    <w:semiHidden/>
    <w:rsid w:val="006B4A7B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A221B"/>
    <w:pPr>
      <w:spacing w:line="259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3A221B"/>
    <w:rPr>
      <w:rFonts w:ascii="Calibri" w:hAnsi="Calibri" w:cs="Times New Roman"/>
      <w:b/>
      <w:bCs/>
      <w:sz w:val="20"/>
      <w:szCs w:val="20"/>
      <w:lang w:eastAsia="en-US"/>
    </w:rPr>
  </w:style>
  <w:style w:type="character" w:styleId="Zdraznn">
    <w:name w:val="Emphasis"/>
    <w:uiPriority w:val="20"/>
    <w:qFormat/>
    <w:locked/>
    <w:rsid w:val="00542BDF"/>
    <w:rPr>
      <w:i/>
      <w:iCs/>
    </w:rPr>
  </w:style>
  <w:style w:type="character" w:customStyle="1" w:styleId="Nadpis1Char">
    <w:name w:val="Nadpis 1 Char"/>
    <w:link w:val="Nadpis1"/>
    <w:rsid w:val="005D4144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styleId="Revize">
    <w:name w:val="Revision"/>
    <w:hidden/>
    <w:uiPriority w:val="99"/>
    <w:semiHidden/>
    <w:rsid w:val="005D41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1C0A-78B6-4132-B156-C61B33B8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  O   SPOLUPRÁCI</vt:lpstr>
      <vt:lpstr>SMLOUVA   O   SPOLUPRÁCI</vt:lpstr>
      <vt:lpstr>SMLOUVA   O   SPOLUPRÁCI</vt:lpstr>
    </vt:vector>
  </TitlesOfParts>
  <Company>Hewlett-Packard Company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SPOLUPRÁCI</dc:title>
  <dc:creator>Zuzana Kleinová</dc:creator>
  <cp:lastModifiedBy>Boučková Lenka</cp:lastModifiedBy>
  <cp:revision>5</cp:revision>
  <cp:lastPrinted>2021-02-18T07:48:00Z</cp:lastPrinted>
  <dcterms:created xsi:type="dcterms:W3CDTF">2021-03-10T08:38:00Z</dcterms:created>
  <dcterms:modified xsi:type="dcterms:W3CDTF">2021-04-14T06:55:00Z</dcterms:modified>
</cp:coreProperties>
</file>