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5"/>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Licenční smlouva</w:t>
      </w:r>
      <w:bookmarkEnd w:id="0"/>
      <w:bookmarkEnd w:id="1"/>
    </w:p>
    <w:p>
      <w:pPr>
        <w:pStyle w:val="Style13"/>
        <w:keepNext w:val="0"/>
        <w:keepLines w:val="0"/>
        <w:widowControl w:val="0"/>
        <w:shd w:val="clear" w:color="auto" w:fill="auto"/>
        <w:bidi w:val="0"/>
        <w:spacing w:before="0" w:after="0" w:line="262" w:lineRule="auto"/>
        <w:ind w:left="0" w:right="0" w:firstLine="0"/>
        <w:jc w:val="left"/>
      </w:pPr>
      <w:r>
        <w:rPr>
          <w:b/>
          <w:bCs/>
          <w:color w:val="000000"/>
          <w:spacing w:val="0"/>
          <w:w w:val="100"/>
          <w:position w:val="0"/>
          <w:shd w:val="clear" w:color="auto" w:fill="auto"/>
          <w:lang w:val="cs-CZ" w:eastAsia="cs-CZ" w:bidi="cs-CZ"/>
        </w:rPr>
        <w:t xml:space="preserve">Z. </w:t>
      </w:r>
      <w:r>
        <w:rPr>
          <w:b/>
          <w:bCs/>
          <w:i/>
          <w:iCs/>
          <w:color w:val="000000"/>
          <w:spacing w:val="0"/>
          <w:w w:val="100"/>
          <w:position w:val="0"/>
          <w:shd w:val="clear" w:color="auto" w:fill="auto"/>
          <w:lang w:val="cs-CZ" w:eastAsia="cs-CZ" w:bidi="cs-CZ"/>
        </w:rPr>
        <w:t>Smluvní strany</w:t>
      </w:r>
    </w:p>
    <w:p>
      <w:pPr>
        <w:pStyle w:val="Style13"/>
        <w:keepNext w:val="0"/>
        <w:keepLines w:val="0"/>
        <w:widowControl w:val="0"/>
        <w:shd w:val="clear" w:color="auto" w:fill="auto"/>
        <w:bidi w:val="0"/>
        <w:spacing w:before="0" w:after="0" w:line="262" w:lineRule="auto"/>
        <w:ind w:left="0" w:right="0" w:firstLine="880"/>
        <w:jc w:val="both"/>
      </w:pPr>
      <w:r>
        <w:rPr>
          <w:b/>
          <w:bCs/>
          <w:color w:val="000000"/>
          <w:spacing w:val="0"/>
          <w:w w:val="100"/>
          <w:position w:val="0"/>
          <w:shd w:val="clear" w:color="auto" w:fill="auto"/>
          <w:lang w:val="cs-CZ" w:eastAsia="cs-CZ" w:bidi="cs-CZ"/>
        </w:rPr>
        <w:t>Poskytovatel licence:</w:t>
      </w:r>
    </w:p>
    <w:p>
      <w:pPr>
        <w:pStyle w:val="Style13"/>
        <w:keepNext w:val="0"/>
        <w:keepLines w:val="0"/>
        <w:widowControl w:val="0"/>
        <w:shd w:val="clear" w:color="auto" w:fill="auto"/>
        <w:bidi w:val="0"/>
        <w:spacing w:before="0" w:after="0" w:line="262" w:lineRule="auto"/>
        <w:ind w:left="0" w:right="0" w:firstLine="880"/>
        <w:jc w:val="both"/>
      </w:pPr>
      <w:r>
        <w:rPr>
          <w:color w:val="000000"/>
          <w:spacing w:val="0"/>
          <w:w w:val="100"/>
          <w:position w:val="0"/>
          <w:shd w:val="clear" w:color="auto" w:fill="auto"/>
          <w:lang w:val="cs-CZ" w:eastAsia="cs-CZ" w:bidi="cs-CZ"/>
        </w:rPr>
        <w:t>CQS z.s.</w:t>
      </w:r>
    </w:p>
    <w:p>
      <w:pPr>
        <w:pStyle w:val="Style13"/>
        <w:keepNext w:val="0"/>
        <w:keepLines w:val="0"/>
        <w:widowControl w:val="0"/>
        <w:shd w:val="clear" w:color="auto" w:fill="auto"/>
        <w:bidi w:val="0"/>
        <w:spacing w:before="0" w:after="0" w:line="262" w:lineRule="auto"/>
        <w:ind w:left="0" w:right="0" w:firstLine="880"/>
        <w:jc w:val="both"/>
      </w:pPr>
      <w:r>
        <w:rPr>
          <w:color w:val="000000"/>
          <w:spacing w:val="0"/>
          <w:w w:val="100"/>
          <w:position w:val="0"/>
          <w:shd w:val="clear" w:color="auto" w:fill="auto"/>
          <w:lang w:val="cs-CZ" w:eastAsia="cs-CZ" w:bidi="cs-CZ"/>
        </w:rPr>
        <w:t>Prosecká 412/74</w:t>
      </w:r>
    </w:p>
    <w:p>
      <w:pPr>
        <w:pStyle w:val="Style13"/>
        <w:keepNext w:val="0"/>
        <w:keepLines w:val="0"/>
        <w:widowControl w:val="0"/>
        <w:shd w:val="clear" w:color="auto" w:fill="auto"/>
        <w:bidi w:val="0"/>
        <w:spacing w:before="0" w:after="0" w:line="262" w:lineRule="auto"/>
        <w:ind w:left="0" w:right="0" w:firstLine="880"/>
        <w:jc w:val="left"/>
      </w:pPr>
      <w:r>
        <w:rPr>
          <w:color w:val="000000"/>
          <w:spacing w:val="0"/>
          <w:w w:val="100"/>
          <w:position w:val="0"/>
          <w:shd w:val="clear" w:color="auto" w:fill="auto"/>
          <w:lang w:val="cs-CZ" w:eastAsia="cs-CZ" w:bidi="cs-CZ"/>
        </w:rPr>
        <w:t>1890 00 Praha 9</w:t>
      </w:r>
    </w:p>
    <w:p>
      <w:pPr>
        <w:pStyle w:val="Style13"/>
        <w:keepNext w:val="0"/>
        <w:keepLines w:val="0"/>
        <w:widowControl w:val="0"/>
        <w:shd w:val="clear" w:color="auto" w:fill="auto"/>
        <w:bidi w:val="0"/>
        <w:spacing w:before="0" w:after="0" w:line="262" w:lineRule="auto"/>
        <w:ind w:left="0" w:right="0" w:firstLine="880"/>
        <w:jc w:val="both"/>
      </w:pPr>
      <w:r>
        <w:rPr>
          <w:color w:val="000000"/>
          <w:spacing w:val="0"/>
          <w:w w:val="100"/>
          <w:position w:val="0"/>
          <w:shd w:val="clear" w:color="auto" w:fill="auto"/>
          <w:lang w:val="cs-CZ" w:eastAsia="cs-CZ" w:bidi="cs-CZ"/>
        </w:rPr>
        <w:t>Česká republika</w:t>
      </w:r>
    </w:p>
    <w:p>
      <w:pPr>
        <w:pStyle w:val="Style13"/>
        <w:keepNext w:val="0"/>
        <w:keepLines w:val="0"/>
        <w:widowControl w:val="0"/>
        <w:shd w:val="clear" w:color="auto" w:fill="auto"/>
        <w:bidi w:val="0"/>
        <w:spacing w:before="0" w:after="0" w:line="262" w:lineRule="auto"/>
        <w:ind w:left="0" w:right="0" w:firstLine="880"/>
        <w:jc w:val="both"/>
      </w:pPr>
      <w:r>
        <w:rPr>
          <w:color w:val="000000"/>
          <w:spacing w:val="0"/>
          <w:w w:val="100"/>
          <w:position w:val="0"/>
          <w:shd w:val="clear" w:color="auto" w:fill="auto"/>
          <w:lang w:val="cs-CZ" w:eastAsia="cs-CZ" w:bidi="cs-CZ"/>
        </w:rPr>
        <w:t>IČO: 69346305</w:t>
      </w:r>
    </w:p>
    <w:p>
      <w:pPr>
        <w:pStyle w:val="Style13"/>
        <w:keepNext w:val="0"/>
        <w:keepLines w:val="0"/>
        <w:widowControl w:val="0"/>
        <w:shd w:val="clear" w:color="auto" w:fill="auto"/>
        <w:bidi w:val="0"/>
        <w:spacing w:before="0" w:after="0" w:line="262" w:lineRule="auto"/>
        <w:ind w:left="0" w:right="0" w:firstLine="880"/>
        <w:jc w:val="both"/>
      </w:pPr>
      <w:r>
        <w:rPr>
          <w:color w:val="000000"/>
          <w:spacing w:val="0"/>
          <w:w w:val="100"/>
          <w:position w:val="0"/>
          <w:shd w:val="clear" w:color="auto" w:fill="auto"/>
          <w:lang w:val="cs-CZ" w:eastAsia="cs-CZ" w:bidi="cs-CZ"/>
        </w:rPr>
        <w:t>DIČ: CZ69346305</w:t>
      </w:r>
    </w:p>
    <w:p>
      <w:pPr>
        <w:pStyle w:val="Style13"/>
        <w:keepNext w:val="0"/>
        <w:keepLines w:val="0"/>
        <w:widowControl w:val="0"/>
        <w:shd w:val="clear" w:color="auto" w:fill="auto"/>
        <w:bidi w:val="0"/>
        <w:spacing w:before="0" w:after="520" w:line="262" w:lineRule="auto"/>
        <w:ind w:left="880" w:right="0" w:firstLine="40"/>
        <w:jc w:val="both"/>
      </w:pPr>
      <w:r>
        <w:rPr>
          <w:color w:val="000000"/>
          <w:spacing w:val="0"/>
          <w:w w:val="100"/>
          <w:position w:val="0"/>
          <w:shd w:val="clear" w:color="auto" w:fill="auto"/>
          <w:lang w:val="cs-CZ" w:eastAsia="cs-CZ" w:bidi="cs-CZ"/>
        </w:rPr>
        <w:t>zapsaný ve spolkovém rejstříku vedeném Městským soudem v Praze, oddíl L, vložka 58728 bankovní spojení: ČSOB, číslo účtu:</w:t>
      </w:r>
    </w:p>
    <w:tbl>
      <w:tblPr>
        <w:tblpPr w:leftFromText="180" w:rightFromText="180" w:topFromText="0" w:bottomFromText="0" w:horzAnchor="page" w:tblpX="8205" w:vertAnchor="text" w:tblpY="160"/>
        <w:jc w:val="left"/>
        <w:tblLayout w:type="fixed"/>
      </w:tblPr>
      <w:tblGrid>
        <w:gridCol w:w="1344"/>
        <w:gridCol w:w="684"/>
        <w:gridCol w:w="558"/>
      </w:tblGrid>
      <w:tr>
        <w:trPr>
          <w:tblHeader/>
          <w:trHeight w:val="468" w:hRule="exact"/>
        </w:trPr>
        <w:tc>
          <w:tcPr>
            <w:gridSpan w:val="3"/>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71" w:lineRule="auto"/>
              <w:ind w:left="0" w:right="0" w:firstLine="0"/>
              <w:jc w:val="center"/>
              <w:rPr>
                <w:sz w:val="8"/>
                <w:szCs w:val="8"/>
              </w:rPr>
            </w:pPr>
            <w:r>
              <w:rPr>
                <w:rFonts w:ascii="Arial" w:eastAsia="Arial" w:hAnsi="Arial" w:cs="Arial"/>
                <w:b/>
                <w:bCs/>
                <w:color w:val="D65269"/>
                <w:spacing w:val="0"/>
                <w:w w:val="100"/>
                <w:position w:val="0"/>
                <w:sz w:val="11"/>
                <w:szCs w:val="11"/>
                <w:shd w:val="clear" w:color="auto" w:fill="auto"/>
                <w:lang w:val="cs-CZ" w:eastAsia="cs-CZ" w:bidi="cs-CZ"/>
              </w:rPr>
              <w:t xml:space="preserve">Krajská správa </w:t>
            </w:r>
            <w:r>
              <w:rPr>
                <w:rFonts w:ascii="Arial" w:eastAsia="Arial" w:hAnsi="Arial" w:cs="Arial"/>
                <w:b/>
                <w:bCs/>
                <w:color w:val="C18091"/>
                <w:spacing w:val="0"/>
                <w:w w:val="100"/>
                <w:position w:val="0"/>
                <w:sz w:val="11"/>
                <w:szCs w:val="11"/>
                <w:shd w:val="clear" w:color="auto" w:fill="auto"/>
                <w:lang w:val="cs-CZ" w:eastAsia="cs-CZ" w:bidi="cs-CZ"/>
              </w:rPr>
              <w:t xml:space="preserve">&gt; </w:t>
            </w:r>
            <w:r>
              <w:rPr>
                <w:rFonts w:ascii="Arial" w:eastAsia="Arial" w:hAnsi="Arial" w:cs="Arial"/>
                <w:b/>
                <w:bCs/>
                <w:color w:val="D65269"/>
                <w:spacing w:val="0"/>
                <w:w w:val="100"/>
                <w:position w:val="0"/>
                <w:sz w:val="11"/>
                <w:szCs w:val="11"/>
                <w:shd w:val="clear" w:color="auto" w:fill="auto"/>
                <w:lang w:val="cs-CZ" w:eastAsia="cs-CZ" w:bidi="cs-CZ"/>
              </w:rPr>
              <w:t xml:space="preserve">ádržba silnic Vysočiny, </w:t>
            </w:r>
            <w:r>
              <w:rPr>
                <w:rFonts w:ascii="Arial" w:eastAsia="Arial" w:hAnsi="Arial" w:cs="Arial"/>
                <w:b/>
                <w:bCs/>
                <w:color w:val="D65269"/>
                <w:spacing w:val="0"/>
                <w:w w:val="100"/>
                <w:position w:val="0"/>
                <w:sz w:val="10"/>
                <w:szCs w:val="10"/>
                <w:shd w:val="clear" w:color="auto" w:fill="auto"/>
                <w:lang w:val="cs-CZ" w:eastAsia="cs-CZ" w:bidi="cs-CZ"/>
              </w:rPr>
              <w:t xml:space="preserve">pflspó -kovů </w:t>
            </w:r>
            <w:r>
              <w:rPr>
                <w:rFonts w:ascii="Arial" w:eastAsia="Arial" w:hAnsi="Arial" w:cs="Arial"/>
                <w:b/>
                <w:bCs/>
                <w:color w:val="C18091"/>
                <w:spacing w:val="0"/>
                <w:w w:val="100"/>
                <w:position w:val="0"/>
                <w:sz w:val="10"/>
                <w:szCs w:val="10"/>
                <w:shd w:val="clear" w:color="auto" w:fill="auto"/>
                <w:lang w:val="cs-CZ" w:eastAsia="cs-CZ" w:bidi="cs-CZ"/>
              </w:rPr>
              <w:t xml:space="preserve">omotMc- </w:t>
            </w:r>
            <w:r>
              <w:rPr>
                <w:rFonts w:ascii="Arial" w:eastAsia="Arial" w:hAnsi="Arial" w:cs="Arial"/>
                <w:b/>
                <w:bCs/>
                <w:color w:val="D65269"/>
                <w:spacing w:val="0"/>
                <w:w w:val="100"/>
                <w:position w:val="0"/>
                <w:sz w:val="10"/>
                <w:szCs w:val="10"/>
                <w:shd w:val="clear" w:color="auto" w:fill="auto"/>
                <w:lang w:val="cs-CZ" w:eastAsia="cs-CZ" w:bidi="cs-CZ"/>
              </w:rPr>
              <w:t xml:space="preserve">Kosovská 1122/1 ó, </w:t>
            </w:r>
            <w:r>
              <w:rPr>
                <w:rFonts w:ascii="Arial" w:eastAsia="Arial" w:hAnsi="Arial" w:cs="Arial"/>
                <w:b/>
                <w:bCs/>
                <w:color w:val="C18091"/>
                <w:spacing w:val="0"/>
                <w:w w:val="100"/>
                <w:position w:val="0"/>
                <w:sz w:val="10"/>
                <w:szCs w:val="10"/>
                <w:shd w:val="clear" w:color="auto" w:fill="auto"/>
                <w:lang w:val="cs-CZ" w:eastAsia="cs-CZ" w:bidi="cs-CZ"/>
              </w:rPr>
              <w:t xml:space="preserve">SBC 01 </w:t>
            </w:r>
            <w:r>
              <w:rPr>
                <w:rFonts w:ascii="Arial" w:eastAsia="Arial" w:hAnsi="Arial" w:cs="Arial"/>
                <w:b/>
                <w:bCs/>
                <w:i/>
                <w:iCs/>
                <w:color w:val="C18091"/>
                <w:spacing w:val="0"/>
                <w:w w:val="100"/>
                <w:position w:val="0"/>
                <w:sz w:val="10"/>
                <w:szCs w:val="10"/>
                <w:shd w:val="clear" w:color="auto" w:fill="auto"/>
                <w:lang w:val="cs-CZ" w:eastAsia="cs-CZ" w:bidi="cs-CZ"/>
              </w:rPr>
              <w:t xml:space="preserve">ý </w:t>
            </w:r>
            <w:r>
              <w:rPr>
                <w:rFonts w:ascii="Arial" w:eastAsia="Arial" w:hAnsi="Arial" w:cs="Arial"/>
                <w:smallCaps/>
                <w:color w:val="C18091"/>
                <w:spacing w:val="0"/>
                <w:w w:val="100"/>
                <w:position w:val="0"/>
                <w:sz w:val="8"/>
                <w:szCs w:val="8"/>
                <w:shd w:val="clear" w:color="auto" w:fill="auto"/>
                <w:lang w:val="cs-CZ" w:eastAsia="cs-CZ" w:bidi="cs-CZ"/>
              </w:rPr>
              <w:t>l-;.</w:t>
            </w:r>
          </w:p>
        </w:tc>
      </w:tr>
      <w:tr>
        <w:trPr>
          <w:trHeight w:val="57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b/>
                <w:bCs/>
                <w:color w:val="D65269"/>
                <w:spacing w:val="0"/>
                <w:w w:val="80"/>
                <w:position w:val="0"/>
                <w:sz w:val="14"/>
                <w:szCs w:val="14"/>
                <w:shd w:val="clear" w:color="auto" w:fill="auto"/>
                <w:lang w:val="cs-CZ" w:eastAsia="cs-CZ" w:bidi="cs-CZ"/>
              </w:rPr>
              <w:t>Datum - 3 “03“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D65269"/>
                <w:spacing w:val="0"/>
                <w:w w:val="80"/>
                <w:position w:val="0"/>
                <w:sz w:val="14"/>
                <w:szCs w:val="14"/>
                <w:shd w:val="clear" w:color="auto" w:fill="auto"/>
                <w:lang w:val="cs-CZ" w:eastAsia="cs-CZ" w:bidi="cs-CZ"/>
              </w:rPr>
              <w:t>2021</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48435E"/>
                <w:spacing w:val="0"/>
                <w:w w:val="80"/>
                <w:position w:val="0"/>
                <w:sz w:val="14"/>
                <w:szCs w:val="14"/>
                <w:shd w:val="clear" w:color="auto" w:fill="auto"/>
                <w:lang w:val="cs-CZ" w:eastAsia="cs-CZ" w:bidi="cs-CZ"/>
              </w:rPr>
              <w:t>/</w:t>
            </w:r>
          </w:p>
        </w:tc>
      </w:tr>
      <w:tr>
        <w:trPr>
          <w:trHeight w:val="522"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tabs>
                <w:tab w:leader="hyphen" w:pos="498" w:val="left"/>
                <w:tab w:leader="hyphen" w:pos="1281" w:val="left"/>
              </w:tabs>
              <w:bidi w:val="0"/>
              <w:spacing w:before="0" w:after="0" w:line="240" w:lineRule="auto"/>
              <w:ind w:left="0" w:right="0" w:firstLine="0"/>
              <w:jc w:val="left"/>
              <w:rPr>
                <w:sz w:val="14"/>
                <w:szCs w:val="14"/>
              </w:rPr>
            </w:pPr>
            <w:r>
              <w:rPr>
                <w:rFonts w:ascii="Arial" w:eastAsia="Arial" w:hAnsi="Arial" w:cs="Arial"/>
                <w:b/>
                <w:bCs/>
                <w:color w:val="BD2A3A"/>
                <w:spacing w:val="0"/>
                <w:w w:val="80"/>
                <w:position w:val="0"/>
                <w:sz w:val="14"/>
                <w:szCs w:val="14"/>
                <w:shd w:val="clear" w:color="auto" w:fill="auto"/>
                <w:lang w:val="cs-CZ" w:eastAsia="cs-CZ" w:bidi="cs-CZ"/>
              </w:rPr>
              <w:tab/>
              <w:t>-</w:t>
              <w:tab/>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3"/>
        <w:keepNext w:val="0"/>
        <w:keepLines w:val="0"/>
        <w:widowControl w:val="0"/>
        <w:shd w:val="clear" w:color="auto" w:fill="auto"/>
        <w:bidi w:val="0"/>
        <w:spacing w:before="0" w:after="0" w:line="240" w:lineRule="auto"/>
        <w:ind w:left="0" w:right="0" w:firstLine="880"/>
        <w:jc w:val="both"/>
      </w:pPr>
      <w:r>
        <w:rPr>
          <w:b/>
          <w:bCs/>
          <w:color w:val="000000"/>
          <w:spacing w:val="0"/>
          <w:w w:val="100"/>
          <w:position w:val="0"/>
          <w:shd w:val="clear" w:color="auto" w:fill="auto"/>
          <w:lang w:val="cs-CZ" w:eastAsia="cs-CZ" w:bidi="cs-CZ"/>
        </w:rPr>
        <w:t>Nabyvatel licence:</w:t>
      </w:r>
    </w:p>
    <w:p>
      <w:pPr>
        <w:pStyle w:val="Style13"/>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cs-CZ" w:eastAsia="cs-CZ" w:bidi="cs-CZ"/>
        </w:rPr>
        <w:t>Krajská správa a údržba silnic Vysočiny, příspěvková organizace</w:t>
      </w:r>
    </w:p>
    <w:p>
      <w:pPr>
        <w:pStyle w:val="Style13"/>
        <w:keepNext w:val="0"/>
        <w:keepLines w:val="0"/>
        <w:widowControl w:val="0"/>
        <w:shd w:val="clear" w:color="auto" w:fill="auto"/>
        <w:bidi w:val="0"/>
        <w:spacing w:before="0" w:after="0" w:line="240" w:lineRule="auto"/>
        <w:ind w:left="0" w:right="0" w:firstLine="880"/>
        <w:jc w:val="left"/>
      </w:pPr>
      <w:r>
        <w:rPr>
          <w:color w:val="000000"/>
          <w:spacing w:val="0"/>
          <w:w w:val="100"/>
          <w:position w:val="0"/>
          <w:shd w:val="clear" w:color="auto" w:fill="auto"/>
          <w:lang w:val="cs-CZ" w:eastAsia="cs-CZ" w:bidi="cs-CZ"/>
        </w:rPr>
        <w:t>Kosovská 1122/16,</w:t>
      </w:r>
    </w:p>
    <w:p>
      <w:pPr>
        <w:pStyle w:val="Style13"/>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cs-CZ" w:eastAsia="cs-CZ" w:bidi="cs-CZ"/>
        </w:rPr>
        <w:t>586 01 Jihlava</w:t>
      </w:r>
    </w:p>
    <w:p>
      <w:pPr>
        <w:pStyle w:val="Style13"/>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cs-CZ" w:eastAsia="cs-CZ" w:bidi="cs-CZ"/>
        </w:rPr>
        <w:t>Česká republika</w:t>
      </w:r>
    </w:p>
    <w:p>
      <w:pPr>
        <w:pStyle w:val="Style13"/>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cs-CZ" w:eastAsia="cs-CZ" w:bidi="cs-CZ"/>
        </w:rPr>
        <w:t>IČO: 90450</w:t>
      </w:r>
    </w:p>
    <w:p>
      <w:pPr>
        <w:pStyle w:val="Style13"/>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cs-CZ" w:eastAsia="cs-CZ" w:bidi="cs-CZ"/>
        </w:rPr>
        <w:t>DIČ:CZ 00090450</w:t>
      </w:r>
    </w:p>
    <w:p>
      <w:pPr>
        <w:pStyle w:val="Style13"/>
        <w:keepNext w:val="0"/>
        <w:keepLines w:val="0"/>
        <w:widowControl w:val="0"/>
        <w:shd w:val="clear" w:color="auto" w:fill="auto"/>
        <w:bidi w:val="0"/>
        <w:spacing w:before="0" w:after="520" w:line="240" w:lineRule="auto"/>
        <w:ind w:left="0" w:right="0" w:firstLine="880"/>
        <w:jc w:val="both"/>
      </w:pPr>
      <w:r>
        <w:rPr>
          <w:color w:val="000000"/>
          <w:spacing w:val="0"/>
          <w:w w:val="100"/>
          <w:position w:val="0"/>
          <w:shd w:val="clear" w:color="auto" w:fill="auto"/>
          <w:lang w:val="cs-CZ" w:eastAsia="cs-CZ" w:bidi="cs-CZ"/>
        </w:rPr>
        <w:t>zapsaný</w:t>
      </w:r>
    </w:p>
    <w:p>
      <w:pPr>
        <w:pStyle w:val="Style22"/>
        <w:keepNext/>
        <w:keepLines/>
        <w:widowControl w:val="0"/>
        <w:numPr>
          <w:ilvl w:val="0"/>
          <w:numId w:val="1"/>
        </w:numPr>
        <w:shd w:val="clear" w:color="auto" w:fill="auto"/>
        <w:tabs>
          <w:tab w:pos="404" w:val="left"/>
        </w:tabs>
        <w:bidi w:val="0"/>
        <w:spacing w:before="0" w:after="0" w:line="240" w:lineRule="auto"/>
        <w:ind w:left="0" w:right="0" w:firstLine="0"/>
        <w:jc w:val="both"/>
      </w:pPr>
      <w:bookmarkStart w:id="2" w:name="bookmark2"/>
      <w:bookmarkStart w:id="3" w:name="bookmark3"/>
      <w:r>
        <w:rPr>
          <w:color w:val="000000"/>
          <w:spacing w:val="0"/>
          <w:w w:val="100"/>
          <w:position w:val="0"/>
          <w:shd w:val="clear" w:color="auto" w:fill="auto"/>
          <w:lang w:val="cs-CZ" w:eastAsia="cs-CZ" w:bidi="cs-CZ"/>
        </w:rPr>
        <w:t>Předmět smlouvy</w:t>
      </w:r>
      <w:bookmarkEnd w:id="2"/>
      <w:bookmarkEnd w:id="3"/>
    </w:p>
    <w:p>
      <w:pPr>
        <w:pStyle w:val="Style13"/>
        <w:keepNext w:val="0"/>
        <w:keepLines w:val="0"/>
        <w:widowControl w:val="0"/>
        <w:numPr>
          <w:ilvl w:val="0"/>
          <w:numId w:val="3"/>
        </w:numPr>
        <w:shd w:val="clear" w:color="auto" w:fill="auto"/>
        <w:tabs>
          <w:tab w:pos="800" w:val="left"/>
        </w:tabs>
        <w:bidi w:val="0"/>
        <w:spacing w:before="0" w:after="0" w:line="240" w:lineRule="auto"/>
        <w:ind w:left="740" w:right="0" w:hanging="260"/>
        <w:jc w:val="both"/>
      </w:pPr>
      <w:r>
        <w:rPr>
          <w:color w:val="000000"/>
          <w:spacing w:val="0"/>
          <w:w w:val="100"/>
          <w:position w:val="0"/>
          <w:shd w:val="clear" w:color="auto" w:fill="auto"/>
          <w:lang w:val="cs-CZ" w:eastAsia="cs-CZ" w:bidi="cs-CZ"/>
        </w:rPr>
        <w:t>CQS z.s. je majitelem certifikační značky v provedení uvedeném v licenčním listě, který je nedílnou součástí této smlouvy.</w:t>
      </w:r>
    </w:p>
    <w:p>
      <w:pPr>
        <w:pStyle w:val="Style13"/>
        <w:keepNext w:val="0"/>
        <w:keepLines w:val="0"/>
        <w:widowControl w:val="0"/>
        <w:numPr>
          <w:ilvl w:val="0"/>
          <w:numId w:val="3"/>
        </w:numPr>
        <w:shd w:val="clear" w:color="auto" w:fill="auto"/>
        <w:tabs>
          <w:tab w:pos="824" w:val="left"/>
        </w:tabs>
        <w:bidi w:val="0"/>
        <w:spacing w:before="0" w:after="0" w:line="240" w:lineRule="auto"/>
        <w:ind w:left="740" w:right="0" w:hanging="260"/>
        <w:jc w:val="both"/>
      </w:pPr>
      <w:r>
        <w:rPr>
          <w:color w:val="000000"/>
          <w:spacing w:val="0"/>
          <w:w w:val="100"/>
          <w:position w:val="0"/>
          <w:shd w:val="clear" w:color="auto" w:fill="auto"/>
          <w:lang w:val="cs-CZ" w:eastAsia="cs-CZ" w:bidi="cs-CZ"/>
        </w:rPr>
        <w:t>Touto smlouvou poskytuje Poskytovatel licence nabyvateli licence oprávnění užívat kombinaci předmětných značek při označování dokumentů, štítků, propagačních médií, všeobecných firemních dokumentů uvedených v licenčním listu. Způsob a provedení označování dokumentů, štítků, propagačních médií, všeobecných firemních dokumentů musí být vždy v souladu se vzorem uvedeným v licenčním listě. V barevném provedení je povolena barva modrá, černá, červená, zelená. Předmětné značky je Nabyvatel licence povinen užívat pouze v kombinaci a podle podmínek uvedenýc i v dokumentu CQS D-14-03 Kritéria používání certifikační značky IQNet a certifikační značky CQS, který je jako příloha č. 1 nedílnou součástí Licenční smlouvy. Předmětné značky nesmí být umístěny na protokolech o zkouškách a kalibračních listech Zkušebních / kalibračních laboratoří.</w:t>
      </w:r>
    </w:p>
    <w:p>
      <w:pPr>
        <w:pStyle w:val="Style13"/>
        <w:keepNext w:val="0"/>
        <w:keepLines w:val="0"/>
        <w:widowControl w:val="0"/>
        <w:numPr>
          <w:ilvl w:val="0"/>
          <w:numId w:val="3"/>
        </w:numPr>
        <w:shd w:val="clear" w:color="auto" w:fill="auto"/>
        <w:tabs>
          <w:tab w:pos="824" w:val="left"/>
        </w:tabs>
        <w:bidi w:val="0"/>
        <w:spacing w:before="0" w:after="520" w:line="240" w:lineRule="auto"/>
        <w:ind w:left="740" w:right="0" w:hanging="260"/>
        <w:jc w:val="both"/>
      </w:pPr>
      <w:r>
        <w:rPr>
          <w:color w:val="000000"/>
          <w:spacing w:val="0"/>
          <w:w w:val="100"/>
          <w:position w:val="0"/>
          <w:shd w:val="clear" w:color="auto" w:fill="auto"/>
          <w:lang w:val="cs-CZ" w:eastAsia="cs-CZ" w:bidi="cs-CZ"/>
        </w:rPr>
        <w:t>Nabyvatel licence se touto smlouvou zavazuje platit Poskytovateli a majiteli certifikačních značek licenční poplatek dohodnutý v čl. III. bodě 1. této smlouvy a dodržovat podmínky této smlouvy a podmínky uvedené v dokumentu CQS D-14-03 Kritéria používání certifikační značky IQNet a certifikační značky CQS.</w:t>
      </w:r>
    </w:p>
    <w:p>
      <w:pPr>
        <w:pStyle w:val="Style22"/>
        <w:keepNext/>
        <w:keepLines/>
        <w:widowControl w:val="0"/>
        <w:numPr>
          <w:ilvl w:val="0"/>
          <w:numId w:val="1"/>
        </w:numPr>
        <w:shd w:val="clear" w:color="auto" w:fill="auto"/>
        <w:tabs>
          <w:tab w:pos="491" w:val="left"/>
        </w:tabs>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Cena a fakturační podmínky</w:t>
      </w:r>
      <w:bookmarkEnd w:id="4"/>
      <w:bookmarkEnd w:id="5"/>
    </w:p>
    <w:p>
      <w:pPr>
        <w:pStyle w:val="Style13"/>
        <w:keepNext w:val="0"/>
        <w:keepLines w:val="0"/>
        <w:widowControl w:val="0"/>
        <w:numPr>
          <w:ilvl w:val="0"/>
          <w:numId w:val="5"/>
        </w:numPr>
        <w:shd w:val="clear" w:color="auto" w:fill="auto"/>
        <w:tabs>
          <w:tab w:pos="777" w:val="left"/>
        </w:tabs>
        <w:bidi w:val="0"/>
        <w:spacing w:before="0" w:after="760" w:line="240" w:lineRule="auto"/>
        <w:ind w:left="460" w:right="0" w:firstLine="20"/>
        <w:jc w:val="both"/>
      </w:pPr>
      <w:r>
        <w:rPr>
          <w:color w:val="000000"/>
          <w:spacing w:val="0"/>
          <w:w w:val="100"/>
          <w:position w:val="0"/>
          <w:shd w:val="clear" w:color="auto" w:fill="auto"/>
          <w:lang w:val="cs-CZ" w:eastAsia="cs-CZ" w:bidi="cs-CZ"/>
        </w:rPr>
        <w:t xml:space="preserve">Licenční poplatek za užívání certifikačních značek IQNet a CQS při označování dokumentů, štítků, propagačních médií, všeobecných firemních dokumentů byl stanoven dohodou smluvních stran a činí </w:t>
      </w:r>
      <w:r>
        <w:rPr>
          <w:b/>
          <w:bCs/>
          <w:color w:val="000000"/>
          <w:spacing w:val="0"/>
          <w:w w:val="100"/>
          <w:position w:val="0"/>
          <w:shd w:val="clear" w:color="auto" w:fill="auto"/>
          <w:lang w:val="cs-CZ" w:eastAsia="cs-CZ" w:bidi="cs-CZ"/>
        </w:rPr>
        <w:t>0,- Kč</w:t>
      </w:r>
    </w:p>
    <w:p>
      <w:pPr>
        <w:pStyle w:val="Style22"/>
        <w:keepNext/>
        <w:keepLines/>
        <w:widowControl w:val="0"/>
        <w:numPr>
          <w:ilvl w:val="0"/>
          <w:numId w:val="1"/>
        </w:numPr>
        <w:shd w:val="clear" w:color="auto" w:fill="auto"/>
        <w:tabs>
          <w:tab w:pos="464" w:val="left"/>
        </w:tabs>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Další ujednání</w:t>
      </w:r>
      <w:bookmarkEnd w:id="6"/>
      <w:bookmarkEnd w:id="7"/>
    </w:p>
    <w:p>
      <w:pPr>
        <w:pStyle w:val="Style13"/>
        <w:keepNext w:val="0"/>
        <w:keepLines w:val="0"/>
        <w:widowControl w:val="0"/>
        <w:numPr>
          <w:ilvl w:val="0"/>
          <w:numId w:val="7"/>
        </w:numPr>
        <w:shd w:val="clear" w:color="auto" w:fill="auto"/>
        <w:tabs>
          <w:tab w:pos="755" w:val="left"/>
        </w:tabs>
        <w:bidi w:val="0"/>
        <w:spacing w:before="0" w:after="0" w:line="240" w:lineRule="auto"/>
        <w:ind w:left="740" w:right="0" w:hanging="340"/>
        <w:jc w:val="both"/>
      </w:pPr>
      <w:r>
        <w:rPr>
          <w:color w:val="000000"/>
          <w:spacing w:val="0"/>
          <w:w w:val="100"/>
          <w:position w:val="0"/>
          <w:shd w:val="clear" w:color="auto" w:fill="auto"/>
          <w:lang w:val="cs-CZ" w:eastAsia="cs-CZ" w:bidi="cs-CZ"/>
        </w:rPr>
        <w:t>Smlouva se uzavírá na dobu platnosti certifikátu č. CQS 2034/2021, CQS 26/2021, CQS 27/2021, t.j. do 09. 03. 2024.</w:t>
      </w:r>
    </w:p>
    <w:p>
      <w:pPr>
        <w:pStyle w:val="Style13"/>
        <w:keepNext w:val="0"/>
        <w:keepLines w:val="0"/>
        <w:widowControl w:val="0"/>
        <w:numPr>
          <w:ilvl w:val="0"/>
          <w:numId w:val="7"/>
        </w:numPr>
        <w:shd w:val="clear" w:color="auto" w:fill="auto"/>
        <w:tabs>
          <w:tab w:pos="755" w:val="left"/>
        </w:tabs>
        <w:bidi w:val="0"/>
        <w:spacing w:before="0" w:after="0" w:line="240" w:lineRule="auto"/>
        <w:ind w:left="740" w:right="0" w:hanging="340"/>
        <w:jc w:val="both"/>
      </w:pPr>
      <w:r>
        <w:rPr>
          <w:color w:val="000000"/>
          <w:spacing w:val="0"/>
          <w:w w:val="100"/>
          <w:position w:val="0"/>
          <w:shd w:val="clear" w:color="auto" w:fill="auto"/>
          <w:lang w:val="cs-CZ" w:eastAsia="cs-CZ" w:bidi="cs-CZ"/>
        </w:rPr>
        <w:t>Tato smlouva může být ukončena dohodou smluvních stran nebo výpovědí, s výpovědní dobou 30 dnů ode dne doručení písemné výpovědi druhé smluvní straně. Důvodem výpovědi licenční smlouvy z: strany Poskytovatele licence je neplnění podmínek uvedených v dokumentu CQS D-14-03 Kritéria</w:t>
      </w:r>
      <w:r>
        <w:br w:type="page"/>
      </w:r>
    </w:p>
    <w:p>
      <w:pPr>
        <w:pStyle w:val="Style13"/>
        <w:keepNext w:val="0"/>
        <w:keepLines w:val="0"/>
        <w:widowControl w:val="0"/>
        <w:shd w:val="clear" w:color="auto" w:fill="auto"/>
        <w:bidi w:val="0"/>
        <w:spacing w:before="0" w:after="0" w:line="240" w:lineRule="auto"/>
        <w:ind w:left="760" w:right="0" w:firstLine="20"/>
        <w:jc w:val="both"/>
      </w:pPr>
      <w:r>
        <mc:AlternateContent>
          <mc:Choice Requires="wps">
            <w:drawing>
              <wp:anchor distT="0" distB="0" distL="76200" distR="76200" simplePos="0" relativeHeight="125829378" behindDoc="0" locked="0" layoutInCell="1" allowOverlap="1">
                <wp:simplePos x="0" y="0"/>
                <wp:positionH relativeFrom="page">
                  <wp:posOffset>803910</wp:posOffset>
                </wp:positionH>
                <wp:positionV relativeFrom="paragraph">
                  <wp:posOffset>495300</wp:posOffset>
                </wp:positionV>
                <wp:extent cx="137160" cy="186690"/>
                <wp:wrapSquare wrapText="right"/>
                <wp:docPr id="1" name="Shape 1"/>
                <a:graphic xmlns:a="http://schemas.openxmlformats.org/drawingml/2006/main">
                  <a:graphicData uri="http://schemas.microsoft.com/office/word/2010/wordprocessingShape">
                    <wps:wsp>
                      <wps:cNvSpPr txBox="1"/>
                      <wps:spPr>
                        <a:xfrm>
                          <a:ext cx="137160" cy="1866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3.299999999999997pt;margin-top:39.pt;width:10.800000000000001pt;height:14.699999999999999pt;z-index:-125829375;mso-wrap-distance-left:6.pt;mso-wrap-distance-right:6.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xbxContent>
                </v:textbox>
                <w10:wrap type="square" side="right" anchorx="page"/>
              </v:shape>
            </w:pict>
          </mc:Fallback>
        </mc:AlternateContent>
      </w:r>
      <w:r>
        <w:rPr>
          <w:color w:val="000000"/>
          <w:spacing w:val="0"/>
          <w:w w:val="100"/>
          <w:position w:val="0"/>
          <w:shd w:val="clear" w:color="auto" w:fill="auto"/>
          <w:lang w:val="cs-CZ" w:eastAsia="cs-CZ" w:bidi="cs-CZ"/>
        </w:rPr>
        <w:t>používání certifikační značky IQNet a certifikační značky CQS Nabyvatelem licence, předčasné ukončení platnosti výše uvedeného(ých) certifikátu(ů) nebo prodlení Nabyvatele licence se zaplacením licenčního poplatku.</w:t>
      </w:r>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Nabyvatel licence je v případě ukončení licenční smlouvy (dohodou, výpovědí nebo uplynutím doby, na kterou je licenční smlouva uzavřena, ukončením platnosti certifíkátu/ů, zrušením nebo odejmutím certifikátu/ů) povinen vrátit licenční list Poskytovateli licence a je povinen okamžitě ukončit užívání příslušné značky/značek při označování dokumentů, štítků, propagačních médií, všeobecných firemních dokumentů.</w:t>
      </w:r>
    </w:p>
    <w:p>
      <w:pPr>
        <w:widowControl w:val="0"/>
        <w:spacing w:line="1" w:lineRule="exact"/>
        <w:sectPr>
          <w:footerReference w:type="default" r:id="rId5"/>
          <w:footerReference w:type="first" r:id="rId6"/>
          <w:footnotePr>
            <w:pos w:val="pageBottom"/>
            <w:numFmt w:val="decimal"/>
            <w:numRestart w:val="continuous"/>
          </w:footnotePr>
          <w:pgSz w:w="11900" w:h="16840"/>
          <w:pgMar w:top="1180" w:left="867" w:right="1008" w:bottom="905" w:header="0" w:footer="3" w:gutter="0"/>
          <w:pgNumType w:start="2"/>
          <w:cols w:space="720"/>
          <w:noEndnote/>
          <w:titlePg/>
          <w:rtlGutter w:val="0"/>
          <w:docGrid w:linePitch="360"/>
        </w:sectPr>
      </w:pPr>
      <w:r>
        <mc:AlternateContent>
          <mc:Choice Requires="wps">
            <w:drawing>
              <wp:anchor distT="0" distB="1977390" distL="0" distR="0" simplePos="0" relativeHeight="125829380" behindDoc="0" locked="0" layoutInCell="1" allowOverlap="1">
                <wp:simplePos x="0" y="0"/>
                <wp:positionH relativeFrom="page">
                  <wp:posOffset>800100</wp:posOffset>
                </wp:positionH>
                <wp:positionV relativeFrom="paragraph">
                  <wp:posOffset>0</wp:posOffset>
                </wp:positionV>
                <wp:extent cx="139065" cy="186690"/>
                <wp:wrapTopAndBottom/>
                <wp:docPr id="7" name="Shape 7"/>
                <a:graphic xmlns:a="http://schemas.openxmlformats.org/drawingml/2006/main">
                  <a:graphicData uri="http://schemas.microsoft.com/office/word/2010/wordprocessingShape">
                    <wps:wsp>
                      <wps:cNvSpPr txBox="1"/>
                      <wps:spPr>
                        <a:xfrm>
                          <a:ext cx="139065" cy="1866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w:t>
                            </w:r>
                          </w:p>
                        </w:txbxContent>
                      </wps:txbx>
                      <wps:bodyPr wrap="none" lIns="0" tIns="0" rIns="0" bIns="0">
                        <a:noAutoFit/>
                      </wps:bodyPr>
                    </wps:wsp>
                  </a:graphicData>
                </a:graphic>
              </wp:anchor>
            </w:drawing>
          </mc:Choice>
          <mc:Fallback>
            <w:pict>
              <v:shape id="_x0000_s1033" type="#_x0000_t202" style="position:absolute;margin-left:63.pt;margin-top:0;width:10.949999999999999pt;height:14.699999999999999pt;z-index:-125829373;mso-wrap-distance-left:0;mso-wrap-distance-right:0;mso-wrap-distance-bottom:155.6999999999999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w:t>
                      </w:r>
                    </w:p>
                  </w:txbxContent>
                </v:textbox>
                <w10:wrap type="topAndBottom" anchorx="page"/>
              </v:shape>
            </w:pict>
          </mc:Fallback>
        </mc:AlternateContent>
      </w:r>
      <w:r>
        <mc:AlternateContent>
          <mc:Choice Requires="wps">
            <w:drawing>
              <wp:anchor distT="645795" distB="1169670" distL="0" distR="0" simplePos="0" relativeHeight="125829382" behindDoc="0" locked="0" layoutInCell="1" allowOverlap="1">
                <wp:simplePos x="0" y="0"/>
                <wp:positionH relativeFrom="page">
                  <wp:posOffset>800100</wp:posOffset>
                </wp:positionH>
                <wp:positionV relativeFrom="paragraph">
                  <wp:posOffset>645795</wp:posOffset>
                </wp:positionV>
                <wp:extent cx="137160" cy="348615"/>
                <wp:wrapTopAndBottom/>
                <wp:docPr id="9" name="Shape 9"/>
                <a:graphic xmlns:a="http://schemas.openxmlformats.org/drawingml/2006/main">
                  <a:graphicData uri="http://schemas.microsoft.com/office/word/2010/wordprocessingShape">
                    <wps:wsp>
                      <wps:cNvSpPr txBox="1"/>
                      <wps:spPr>
                        <a:xfrm>
                          <a:ext cx="137160" cy="34861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w:t>
                            </w:r>
                          </w:p>
                        </w:txbxContent>
                      </wps:txbx>
                      <wps:bodyPr lIns="0" tIns="0" rIns="0" bIns="0">
                        <a:noAutoFit/>
                      </wps:bodyPr>
                    </wps:wsp>
                  </a:graphicData>
                </a:graphic>
              </wp:anchor>
            </w:drawing>
          </mc:Choice>
          <mc:Fallback>
            <w:pict>
              <v:shape id="_x0000_s1035" type="#_x0000_t202" style="position:absolute;margin-left:63.pt;margin-top:50.850000000000001pt;width:10.800000000000001pt;height:27.449999999999999pt;z-index:-125829371;mso-wrap-distance-left:0;mso-wrap-distance-top:50.850000000000001pt;mso-wrap-distance-right:0;mso-wrap-distance-bottom:92.099999999999994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w:t>
                      </w:r>
                    </w:p>
                  </w:txbxContent>
                </v:textbox>
                <w10:wrap type="topAndBottom" anchorx="page"/>
              </v:shape>
            </w:pict>
          </mc:Fallback>
        </mc:AlternateContent>
      </w:r>
      <w:r>
        <mc:AlternateContent>
          <mc:Choice Requires="wps">
            <w:drawing>
              <wp:anchor distT="1137285" distB="840105" distL="0" distR="0" simplePos="0" relativeHeight="125829384" behindDoc="0" locked="0" layoutInCell="1" allowOverlap="1">
                <wp:simplePos x="0" y="0"/>
                <wp:positionH relativeFrom="page">
                  <wp:posOffset>800100</wp:posOffset>
                </wp:positionH>
                <wp:positionV relativeFrom="paragraph">
                  <wp:posOffset>1137285</wp:posOffset>
                </wp:positionV>
                <wp:extent cx="135255" cy="186690"/>
                <wp:wrapTopAndBottom/>
                <wp:docPr id="11" name="Shape 11"/>
                <a:graphic xmlns:a="http://schemas.openxmlformats.org/drawingml/2006/main">
                  <a:graphicData uri="http://schemas.microsoft.com/office/word/2010/wordprocessingShape">
                    <wps:wsp>
                      <wps:cNvSpPr txBox="1"/>
                      <wps:spPr>
                        <a:xfrm>
                          <a:ext cx="135255" cy="1866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w:t>
                            </w:r>
                          </w:p>
                        </w:txbxContent>
                      </wps:txbx>
                      <wps:bodyPr wrap="none" lIns="0" tIns="0" rIns="0" bIns="0">
                        <a:noAutoFit/>
                      </wps:bodyPr>
                    </wps:wsp>
                  </a:graphicData>
                </a:graphic>
              </wp:anchor>
            </w:drawing>
          </mc:Choice>
          <mc:Fallback>
            <w:pict>
              <v:shape id="_x0000_s1037" type="#_x0000_t202" style="position:absolute;margin-left:63.pt;margin-top:89.549999999999997pt;width:10.65pt;height:14.699999999999999pt;z-index:-125829369;mso-wrap-distance-left:0;mso-wrap-distance-top:89.549999999999997pt;mso-wrap-distance-right:0;mso-wrap-distance-bottom:66.150000000000006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w:t>
                      </w:r>
                    </w:p>
                  </w:txbxContent>
                </v:textbox>
                <w10:wrap type="topAndBottom" anchorx="page"/>
              </v:shape>
            </w:pict>
          </mc:Fallback>
        </mc:AlternateContent>
      </w:r>
      <w:r>
        <mc:AlternateContent>
          <mc:Choice Requires="wps">
            <w:drawing>
              <wp:anchor distT="1464945" distB="512445" distL="0" distR="0" simplePos="0" relativeHeight="125829386" behindDoc="0" locked="0" layoutInCell="1" allowOverlap="1">
                <wp:simplePos x="0" y="0"/>
                <wp:positionH relativeFrom="page">
                  <wp:posOffset>802005</wp:posOffset>
                </wp:positionH>
                <wp:positionV relativeFrom="paragraph">
                  <wp:posOffset>1464945</wp:posOffset>
                </wp:positionV>
                <wp:extent cx="131445" cy="186690"/>
                <wp:wrapTopAndBottom/>
                <wp:docPr id="13" name="Shape 13"/>
                <a:graphic xmlns:a="http://schemas.openxmlformats.org/drawingml/2006/main">
                  <a:graphicData uri="http://schemas.microsoft.com/office/word/2010/wordprocessingShape">
                    <wps:wsp>
                      <wps:cNvSpPr txBox="1"/>
                      <wps:spPr>
                        <a:xfrm>
                          <a:ext cx="131445" cy="1866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xbxContent>
                      </wps:txbx>
                      <wps:bodyPr wrap="none" lIns="0" tIns="0" rIns="0" bIns="0">
                        <a:noAutoFit/>
                      </wps:bodyPr>
                    </wps:wsp>
                  </a:graphicData>
                </a:graphic>
              </wp:anchor>
            </w:drawing>
          </mc:Choice>
          <mc:Fallback>
            <w:pict>
              <v:shape id="_x0000_s1039" type="#_x0000_t202" style="position:absolute;margin-left:63.149999999999999pt;margin-top:115.34999999999999pt;width:10.35pt;height:14.699999999999999pt;z-index:-125829367;mso-wrap-distance-left:0;mso-wrap-distance-top:115.34999999999999pt;mso-wrap-distance-right:0;mso-wrap-distance-bottom:40.350000000000001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xbxContent>
                </v:textbox>
                <w10:wrap type="topAndBottom" anchorx="page"/>
              </v:shape>
            </w:pict>
          </mc:Fallback>
        </mc:AlternateContent>
      </w:r>
      <w:r>
        <mc:AlternateContent>
          <mc:Choice Requires="wps">
            <w:drawing>
              <wp:anchor distT="1792605" distB="184785" distL="0" distR="0" simplePos="0" relativeHeight="125829388" behindDoc="0" locked="0" layoutInCell="1" allowOverlap="1">
                <wp:simplePos x="0" y="0"/>
                <wp:positionH relativeFrom="page">
                  <wp:posOffset>796290</wp:posOffset>
                </wp:positionH>
                <wp:positionV relativeFrom="paragraph">
                  <wp:posOffset>1792605</wp:posOffset>
                </wp:positionV>
                <wp:extent cx="137160" cy="186690"/>
                <wp:wrapTopAndBottom/>
                <wp:docPr id="15" name="Shape 15"/>
                <a:graphic xmlns:a="http://schemas.openxmlformats.org/drawingml/2006/main">
                  <a:graphicData uri="http://schemas.microsoft.com/office/word/2010/wordprocessingShape">
                    <wps:wsp>
                      <wps:cNvSpPr txBox="1"/>
                      <wps:spPr>
                        <a:xfrm>
                          <a:ext cx="137160" cy="1866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w:t>
                            </w:r>
                          </w:p>
                        </w:txbxContent>
                      </wps:txbx>
                      <wps:bodyPr wrap="none" lIns="0" tIns="0" rIns="0" bIns="0">
                        <a:noAutoFit/>
                      </wps:bodyPr>
                    </wps:wsp>
                  </a:graphicData>
                </a:graphic>
              </wp:anchor>
            </w:drawing>
          </mc:Choice>
          <mc:Fallback>
            <w:pict>
              <v:shape id="_x0000_s1041" type="#_x0000_t202" style="position:absolute;margin-left:62.700000000000003pt;margin-top:141.15000000000001pt;width:10.800000000000001pt;height:14.699999999999999pt;z-index:-125829365;mso-wrap-distance-left:0;mso-wrap-distance-top:141.15000000000001pt;mso-wrap-distance-right:0;mso-wrap-distance-bottom:14.550000000000001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w:t>
                      </w:r>
                    </w:p>
                  </w:txbxContent>
                </v:textbox>
                <w10:wrap type="topAndBottom" anchorx="page"/>
              </v:shape>
            </w:pict>
          </mc:Fallback>
        </mc:AlternateContent>
      </w:r>
      <w:r>
        <mc:AlternateContent>
          <mc:Choice Requires="wps">
            <w:drawing>
              <wp:anchor distT="0" distB="0" distL="0" distR="0" simplePos="0" relativeHeight="125829390" behindDoc="0" locked="0" layoutInCell="1" allowOverlap="1">
                <wp:simplePos x="0" y="0"/>
                <wp:positionH relativeFrom="page">
                  <wp:posOffset>1015365</wp:posOffset>
                </wp:positionH>
                <wp:positionV relativeFrom="paragraph">
                  <wp:posOffset>0</wp:posOffset>
                </wp:positionV>
                <wp:extent cx="5897880" cy="2164080"/>
                <wp:wrapTopAndBottom/>
                <wp:docPr id="17" name="Shape 17"/>
                <a:graphic xmlns:a="http://schemas.openxmlformats.org/drawingml/2006/main">
                  <a:graphicData uri="http://schemas.microsoft.com/office/word/2010/wordprocessingShape">
                    <wps:wsp>
                      <wps:cNvSpPr txBox="1"/>
                      <wps:spPr>
                        <a:xfrm>
                          <a:ext cx="5897880" cy="216408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 případ, že Nabyvatel licence neukončí užívání předmětné značky/značek podle bodu 3. tohoto článku smlouvy, sjednávají smluvní strany smluvní pokutu ve výši 50 Kč za každý den neoprávněného užívání značky. Nabyvatel licence je povinen smluvní pokutu zaplatit na účet Poskytovatele licence, a to na základě jeho písemné výzvy, do 14 dnů od jejího obdržení.</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Licence nabývá platnosti a účinnosti dnem podpisu licenční smlouvy jejími účastníky.</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Tato smlouvaje sepsána ve dvou vyhotoveních, která mají stejnou platnost. Jedno vyhotovení obdrží Nabyvatel licence, jedno vyhotovení obdrží Poskytovatel licence.</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Otázky této smlouvy přímo neřešené či rozpory budou účastníky smlouvy řešeny v souladu s českým právním řádem, zejména s ustanovením § 2358 a násl. zák. č. 89/2012 Sb. občanského zákoníku. Účastníci této smlouvy svými podpisy stvrzují, že její obsah odpovídá jejich pravé a svobodné vůli a n důkaz toho připojují své podpisy.</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Poskytovatel Licence zašle Licenci a certifikační značky v elektronické podobě na email Nabyvate e licence:</w:t>
                            </w:r>
                          </w:p>
                        </w:txbxContent>
                      </wps:txbx>
                      <wps:bodyPr lIns="0" tIns="0" rIns="0" bIns="0">
                        <a:noAutoFit/>
                      </wps:bodyPr>
                    </wps:wsp>
                  </a:graphicData>
                </a:graphic>
              </wp:anchor>
            </w:drawing>
          </mc:Choice>
          <mc:Fallback>
            <w:pict>
              <v:shape id="_x0000_s1043" type="#_x0000_t202" style="position:absolute;margin-left:79.950000000000003pt;margin-top:0;width:464.39999999999998pt;height:170.40000000000001pt;z-index:-125829363;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 případ, že Nabyvatel licence neukončí užívání předmětné značky/značek podle bodu 3. tohoto článku smlouvy, sjednávají smluvní strany smluvní pokutu ve výši 50 Kč za každý den neoprávněného užívání značky. Nabyvatel licence je povinen smluvní pokutu zaplatit na účet Poskytovatele licence, a to na základě jeho písemné výzvy, do 14 dnů od jejího obdržení.</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Licence nabývá platnosti a účinnosti dnem podpisu licenční smlouvy jejími účastníky.</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Tato smlouvaje sepsána ve dvou vyhotoveních, která mají stejnou platnost. Jedno vyhotovení obdrží Nabyvatel licence, jedno vyhotovení obdrží Poskytovatel licence.</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Otázky této smlouvy přímo neřešené či rozpory budou účastníky smlouvy řešeny v souladu s českým právním řádem, zejména s ustanovením § 2358 a násl. zák. č. 89/2012 Sb. občanského zákoníku. Účastníci této smlouvy svými podpisy stvrzují, že její obsah odpovídá jejich pravé a svobodné vůli a n důkaz toho připojují své podpisy.</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Poskytovatel Licence zašle Licenci a certifikační značky v elektronické podobě na email Nabyvate e licence:</w:t>
                      </w:r>
                    </w:p>
                  </w:txbxContent>
                </v:textbox>
                <w10:wrap type="topAndBottom" anchorx="page"/>
              </v:shape>
            </w:pict>
          </mc:Fallback>
        </mc:AlternateContent>
      </w:r>
    </w:p>
    <w:p>
      <w:pPr>
        <w:widowControl w:val="0"/>
        <w:spacing w:line="64" w:lineRule="exact"/>
        <w:rPr>
          <w:sz w:val="5"/>
          <w:szCs w:val="5"/>
        </w:rPr>
      </w:pPr>
    </w:p>
    <w:p>
      <w:pPr>
        <w:widowControl w:val="0"/>
        <w:spacing w:line="1" w:lineRule="exact"/>
        <w:sectPr>
          <w:footnotePr>
            <w:pos w:val="pageBottom"/>
            <w:numFmt w:val="decimal"/>
            <w:numRestart w:val="continuous"/>
          </w:footnotePr>
          <w:type w:val="continuous"/>
          <w:pgSz w:w="11900" w:h="16840"/>
          <w:pgMar w:top="1205" w:left="0" w:right="0" w:bottom="6189" w:header="0" w:footer="3" w:gutter="0"/>
          <w:cols w:space="720"/>
          <w:noEndnote/>
          <w:rtlGutter w:val="0"/>
          <w:docGrid w:linePitch="360"/>
        </w:sectPr>
      </w:pPr>
    </w:p>
    <w:p>
      <w:pPr>
        <w:pStyle w:val="Style13"/>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205" w:left="1570" w:right="997" w:bottom="6189" w:header="0" w:footer="3" w:gutter="0"/>
          <w:cols w:space="720"/>
          <w:noEndnote/>
          <w:rtlGutter w:val="0"/>
          <w:docGrid w:linePitch="360"/>
        </w:sectPr>
      </w:pPr>
      <w:r>
        <w:rPr>
          <w:color w:val="BD2A3A"/>
          <w:spacing w:val="0"/>
          <w:w w:val="100"/>
          <w:position w:val="0"/>
          <w:shd w:val="clear" w:color="auto" w:fill="auto"/>
          <w:lang w:val="cs-CZ" w:eastAsia="cs-CZ" w:bidi="cs-CZ"/>
        </w:rPr>
        <w:t>Uveďte e-mail Nabyvatele licence: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8" w:after="68"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05" w:left="0" w:right="0" w:bottom="1205" w:header="0" w:footer="3" w:gutter="0"/>
          <w:cols w:space="720"/>
          <w:noEndnote/>
          <w:rtlGutter w:val="0"/>
          <w:docGrid w:linePitch="360"/>
        </w:sectPr>
      </w:pPr>
    </w:p>
    <w:p>
      <w:pPr>
        <w:pStyle w:val="Style25"/>
        <w:keepNext/>
        <w:keepLines/>
        <w:widowControl w:val="0"/>
        <w:shd w:val="clear" w:color="auto" w:fill="auto"/>
        <w:tabs>
          <w:tab w:pos="2883" w:val="left"/>
        </w:tabs>
        <w:bidi w:val="0"/>
        <w:spacing w:before="0" w:after="0" w:line="240" w:lineRule="auto"/>
        <w:ind w:left="0" w:right="0" w:firstLine="0"/>
        <w:jc w:val="left"/>
      </w:pPr>
      <w:bookmarkStart w:id="8" w:name="bookmark8"/>
      <w:bookmarkStart w:id="9" w:name="bookmark9"/>
      <w:r>
        <w:rPr>
          <w:spacing w:val="0"/>
          <w:position w:val="0"/>
          <w:shd w:val="clear" w:color="auto" w:fill="auto"/>
          <w:lang w:val="cs-CZ" w:eastAsia="cs-CZ" w:bidi="cs-CZ"/>
        </w:rPr>
        <w:t>V...^.\te£...dne:</w:t>
        <w:tab/>
      </w:r>
      <w:r>
        <w:rPr>
          <w:color w:val="000000"/>
          <w:spacing w:val="0"/>
          <w:position w:val="0"/>
          <w:shd w:val="clear" w:color="auto" w:fill="auto"/>
          <w:lang w:val="cs-CZ" w:eastAsia="cs-CZ" w:bidi="cs-CZ"/>
        </w:rPr>
        <w:t>" 9. 04. 2021</w:t>
      </w:r>
      <w:bookmarkEnd w:id="8"/>
      <w:bookmarkEnd w:id="9"/>
    </w:p>
    <w:p>
      <w:pPr>
        <w:spacing w:lineRule="exact" w:line="1"/>
        <w:rPr>
          <w:sz w:val="2"/>
          <w:szCs w:val="2"/>
        </w:rPr>
      </w:pPr>
      <w:r>
        <w:br w:type="column"/>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certifikačního orgánu a výkonný ředitel</w:t>
      </w:r>
    </w:p>
    <w:p>
      <w:pPr>
        <w:pStyle w:val="Style13"/>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205" w:left="1570" w:right="1024" w:bottom="1205" w:header="0" w:footer="3" w:gutter="0"/>
          <w:cols w:num="2" w:space="720" w:equalWidth="0">
            <w:col w:w="4140" w:space="1536"/>
            <w:col w:w="3630"/>
          </w:cols>
          <w:noEndnote/>
          <w:rtlGutter w:val="0"/>
          <w:docGrid w:linePitch="360"/>
        </w:sectPr>
      </w:pPr>
      <w:r>
        <w:rPr>
          <w:color w:val="000000"/>
          <w:spacing w:val="0"/>
          <w:w w:val="100"/>
          <w:position w:val="0"/>
          <w:shd w:val="clear" w:color="auto" w:fill="auto"/>
          <w:lang w:val="cs-CZ" w:eastAsia="cs-CZ" w:bidi="cs-CZ"/>
        </w:rPr>
        <w:t>V Praze dne: 24.02.2021</w:t>
      </w:r>
    </w:p>
    <w:p>
      <w:pPr>
        <w:pStyle w:val="Style2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poskytuje</w:t>
      </w:r>
    </w:p>
    <w:p>
      <w:pPr>
        <w:pStyle w:val="Style30"/>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LICENCI</w:t>
      </w:r>
      <w:bookmarkEnd w:id="10"/>
      <w:bookmarkEnd w:id="11"/>
    </w:p>
    <w:p>
      <w:pPr>
        <w:pStyle w:val="Style13"/>
        <w:keepNext w:val="0"/>
        <w:keepLines w:val="0"/>
        <w:widowControl w:val="0"/>
        <w:shd w:val="clear" w:color="auto" w:fill="auto"/>
        <w:bidi w:val="0"/>
        <w:spacing w:before="0" w:after="28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pro označování dokumentů, štítků, propagačních médií, všeobecných firemních dokumentů</w:t>
        <w:br/>
      </w:r>
      <w:r>
        <w:rPr>
          <w:color w:val="000000"/>
          <w:spacing w:val="0"/>
          <w:w w:val="100"/>
          <w:position w:val="0"/>
          <w:sz w:val="24"/>
          <w:szCs w:val="24"/>
          <w:shd w:val="clear" w:color="auto" w:fill="auto"/>
          <w:lang w:val="cs-CZ" w:eastAsia="cs-CZ" w:bidi="cs-CZ"/>
        </w:rPr>
        <w:t>z produkce firmy</w:t>
      </w:r>
    </w:p>
    <w:p>
      <w:pPr>
        <w:pStyle w:val="Style13"/>
        <w:keepNext w:val="0"/>
        <w:keepLines w:val="0"/>
        <w:widowControl w:val="0"/>
        <w:shd w:val="clear" w:color="auto" w:fill="auto"/>
        <w:bidi w:val="0"/>
        <w:spacing w:before="0" w:after="2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Krajská správa a údržba silnic Vysočiny, příspěvková organizace</w:t>
        <w:br/>
        <w:t>Kosovská 1122/16, 586 01 Jihlava, Česká republika</w:t>
      </w:r>
    </w:p>
    <w:p>
      <w:pPr>
        <w:pStyle w:val="Style13"/>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certifikační značkou IQNet a CQS</w:t>
      </w:r>
    </w:p>
    <w:p>
      <w:pPr>
        <w:pStyle w:val="Style13"/>
        <w:keepNext w:val="0"/>
        <w:keepLines w:val="0"/>
        <w:widowControl w:val="0"/>
        <w:shd w:val="clear" w:color="auto" w:fill="auto"/>
        <w:bidi w:val="0"/>
        <w:spacing w:before="0" w:after="84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 provedení:</w:t>
      </w:r>
    </w:p>
    <w:p>
      <w:pPr>
        <w:widowControl w:val="0"/>
        <w:jc w:val="center"/>
        <w:rPr>
          <w:sz w:val="2"/>
          <w:szCs w:val="2"/>
        </w:rPr>
      </w:pPr>
      <w:r>
        <w:drawing>
          <wp:inline>
            <wp:extent cx="2383790" cy="628015"/>
            <wp:docPr id="19" name="Picutre 19"/>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stretch/>
                  </pic:blipFill>
                  <pic:spPr>
                    <a:xfrm>
                      <a:ext cx="2383790" cy="628015"/>
                    </a:xfrm>
                    <a:prstGeom prst="rect"/>
                  </pic:spPr>
                </pic:pic>
              </a:graphicData>
            </a:graphic>
          </wp:inline>
        </w:drawing>
      </w:r>
    </w:p>
    <w:p>
      <w:pPr>
        <w:widowControl w:val="0"/>
        <w:spacing w:after="1339" w:line="1" w:lineRule="exact"/>
      </w:pPr>
    </w:p>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Vedoucí certifikačního orgánu CQS a výkonný ředitel</w:t>
      </w:r>
    </w:p>
    <w:p>
      <w:pPr>
        <w:pStyle w:val="Style13"/>
        <w:keepNext w:val="0"/>
        <w:keepLines w:val="0"/>
        <w:widowControl w:val="0"/>
        <w:shd w:val="clear" w:color="auto" w:fill="auto"/>
        <w:bidi w:val="0"/>
        <w:spacing w:before="0" w:after="780" w:line="240" w:lineRule="auto"/>
        <w:ind w:left="0" w:right="0" w:firstLine="0"/>
        <w:jc w:val="center"/>
      </w:pPr>
      <w:r>
        <w:rPr>
          <w:b/>
          <w:bCs/>
          <w:color w:val="000000"/>
          <w:spacing w:val="0"/>
          <w:w w:val="100"/>
          <w:position w:val="0"/>
          <w:shd w:val="clear" w:color="auto" w:fill="auto"/>
          <w:lang w:val="cs-CZ" w:eastAsia="cs-CZ" w:bidi="cs-CZ"/>
        </w:rPr>
        <w:t>CQS z.s.</w:t>
      </w:r>
    </w:p>
    <w:p>
      <w:pPr>
        <w:pStyle w:val="Style13"/>
        <w:keepNext w:val="0"/>
        <w:keepLines w:val="0"/>
        <w:widowControl w:val="0"/>
        <w:shd w:val="clear" w:color="auto" w:fill="auto"/>
        <w:bidi w:val="0"/>
        <w:spacing w:before="0" w:after="28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Tento licenční list je nedílnou součástí licenční smlouvy!</w:t>
      </w:r>
    </w:p>
    <w:sectPr>
      <w:footerReference w:type="default" r:id="rId9"/>
      <w:footnotePr>
        <w:pos w:val="pageBottom"/>
        <w:numFmt w:val="decimal"/>
        <w:numRestart w:val="continuous"/>
      </w:footnotePr>
      <w:pgSz w:w="11900" w:h="16840"/>
      <w:pgMar w:top="3861" w:left="2506" w:right="2638" w:bottom="2758" w:header="3433"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567690</wp:posOffset>
              </wp:positionH>
              <wp:positionV relativeFrom="page">
                <wp:posOffset>10182860</wp:posOffset>
              </wp:positionV>
              <wp:extent cx="5749290" cy="91440"/>
              <wp:wrapNone/>
              <wp:docPr id="3" name="Shape 3"/>
              <a:graphic xmlns:a="http://schemas.openxmlformats.org/drawingml/2006/main">
                <a:graphicData uri="http://schemas.microsoft.com/office/word/2010/wordprocessingShape">
                  <wps:wsp>
                    <wps:cNvSpPr txBox="1"/>
                    <wps:spPr>
                      <a:xfrm>
                        <a:ext cx="5749290" cy="91440"/>
                      </a:xfrm>
                      <a:prstGeom prst="rect"/>
                      <a:noFill/>
                    </wps:spPr>
                    <wps:txbx>
                      <w:txbxContent>
                        <w:p>
                          <w:pPr>
                            <w:pStyle w:val="Style17"/>
                            <w:keepNext w:val="0"/>
                            <w:keepLines w:val="0"/>
                            <w:widowControl w:val="0"/>
                            <w:shd w:val="clear" w:color="auto" w:fill="auto"/>
                            <w:tabs>
                              <w:tab w:pos="4617" w:val="right"/>
                              <w:tab w:pos="9054"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K.SUSVLICENCE.doc/08.18</w:t>
                            <w:tab/>
                          </w:r>
                          <w:fldSimple w:instr=" PAGE \* MERGEFORMAT ">
                            <w:r>
                              <w:rPr>
                                <w:color w:val="000000"/>
                                <w:spacing w:val="0"/>
                                <w:w w:val="100"/>
                                <w:position w:val="0"/>
                                <w:sz w:val="16"/>
                                <w:szCs w:val="16"/>
                                <w:shd w:val="clear" w:color="auto" w:fill="auto"/>
                                <w:lang w:val="cs-CZ" w:eastAsia="cs-CZ" w:bidi="cs-CZ"/>
                              </w:rPr>
                              <w:t>#</w:t>
                            </w:r>
                          </w:fldSimple>
                          <w:r>
                            <w:rPr>
                              <w:color w:val="000000"/>
                              <w:spacing w:val="0"/>
                              <w:w w:val="100"/>
                              <w:position w:val="0"/>
                              <w:sz w:val="16"/>
                              <w:szCs w:val="16"/>
                              <w:shd w:val="clear" w:color="auto" w:fill="auto"/>
                              <w:lang w:val="cs-CZ" w:eastAsia="cs-CZ" w:bidi="cs-CZ"/>
                            </w:rPr>
                            <w:t>/3</w:t>
                            <w:tab/>
                            <w:t>CQS D-14-06</w:t>
                          </w:r>
                        </w:p>
                      </w:txbxContent>
                    </wps:txbx>
                    <wps:bodyPr lIns="0" tIns="0" rIns="0" bIns="0">
                      <a:spAutoFit/>
                    </wps:bodyPr>
                  </wps:wsp>
                </a:graphicData>
              </a:graphic>
            </wp:anchor>
          </w:drawing>
        </mc:Choice>
        <mc:Fallback>
          <w:pict>
            <v:shape id="_x0000_s1029" type="#_x0000_t202" style="position:absolute;margin-left:44.700000000000003pt;margin-top:801.79999999999995pt;width:452.69999999999999pt;height:7.2000000000000002pt;z-index:-188744063;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4617" w:val="right"/>
                        <w:tab w:pos="9054"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K.SUSVLICENCE.doc/08.18</w:t>
                      <w:tab/>
                    </w:r>
                    <w:fldSimple w:instr=" PAGE \* MERGEFORMAT ">
                      <w:r>
                        <w:rPr>
                          <w:color w:val="000000"/>
                          <w:spacing w:val="0"/>
                          <w:w w:val="100"/>
                          <w:position w:val="0"/>
                          <w:sz w:val="16"/>
                          <w:szCs w:val="16"/>
                          <w:shd w:val="clear" w:color="auto" w:fill="auto"/>
                          <w:lang w:val="cs-CZ" w:eastAsia="cs-CZ" w:bidi="cs-CZ"/>
                        </w:rPr>
                        <w:t>#</w:t>
                      </w:r>
                    </w:fldSimple>
                    <w:r>
                      <w:rPr>
                        <w:color w:val="000000"/>
                        <w:spacing w:val="0"/>
                        <w:w w:val="100"/>
                        <w:position w:val="0"/>
                        <w:sz w:val="16"/>
                        <w:szCs w:val="16"/>
                        <w:shd w:val="clear" w:color="auto" w:fill="auto"/>
                        <w:lang w:val="cs-CZ" w:eastAsia="cs-CZ" w:bidi="cs-CZ"/>
                      </w:rPr>
                      <w:t>/3</w:t>
                      <w:tab/>
                      <w:t>CQS D-14-06</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577215</wp:posOffset>
              </wp:positionH>
              <wp:positionV relativeFrom="page">
                <wp:posOffset>10139045</wp:posOffset>
              </wp:positionV>
              <wp:extent cx="5747385" cy="93345"/>
              <wp:wrapNone/>
              <wp:docPr id="5" name="Shape 5"/>
              <a:graphic xmlns:a="http://schemas.openxmlformats.org/drawingml/2006/main">
                <a:graphicData uri="http://schemas.microsoft.com/office/word/2010/wordprocessingShape">
                  <wps:wsp>
                    <wps:cNvSpPr txBox="1"/>
                    <wps:spPr>
                      <a:xfrm>
                        <a:ext cx="5747385" cy="93345"/>
                      </a:xfrm>
                      <a:prstGeom prst="rect"/>
                      <a:noFill/>
                    </wps:spPr>
                    <wps:txbx>
                      <w:txbxContent>
                        <w:p>
                          <w:pPr>
                            <w:pStyle w:val="Style17"/>
                            <w:keepNext w:val="0"/>
                            <w:keepLines w:val="0"/>
                            <w:widowControl w:val="0"/>
                            <w:shd w:val="clear" w:color="auto" w:fill="auto"/>
                            <w:tabs>
                              <w:tab w:pos="0" w:val="left"/>
                              <w:tab w:pos="9051"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KSUSV_LICENCE.doc/08.18</w:t>
                            <w:tab/>
                          </w:r>
                          <w:fldSimple w:instr=" PAGE \* MERGEFORMAT ">
                            <w:r>
                              <w:rPr>
                                <w:color w:val="000000"/>
                                <w:spacing w:val="0"/>
                                <w:w w:val="100"/>
                                <w:position w:val="0"/>
                                <w:sz w:val="16"/>
                                <w:szCs w:val="16"/>
                                <w:shd w:val="clear" w:color="auto" w:fill="auto"/>
                                <w:lang w:val="cs-CZ" w:eastAsia="cs-CZ" w:bidi="cs-CZ"/>
                              </w:rPr>
                              <w:t>#</w:t>
                            </w:r>
                          </w:fldSimple>
                          <w:r>
                            <w:rPr>
                              <w:color w:val="000000"/>
                              <w:spacing w:val="0"/>
                              <w:w w:val="100"/>
                              <w:position w:val="0"/>
                              <w:sz w:val="16"/>
                              <w:szCs w:val="16"/>
                              <w:shd w:val="clear" w:color="auto" w:fill="auto"/>
                              <w:lang w:val="cs-CZ" w:eastAsia="cs-CZ" w:bidi="cs-CZ"/>
                            </w:rPr>
                            <w:t>/3</w:t>
                            <w:tab/>
                            <w:t>CQS D-14-06</w:t>
                          </w:r>
                        </w:p>
                      </w:txbxContent>
                    </wps:txbx>
                    <wps:bodyPr lIns="0" tIns="0" rIns="0" bIns="0">
                      <a:spAutoFit/>
                    </wps:bodyPr>
                  </wps:wsp>
                </a:graphicData>
              </a:graphic>
            </wp:anchor>
          </w:drawing>
        </mc:Choice>
        <mc:Fallback>
          <w:pict>
            <v:shape id="_x0000_s1031" type="#_x0000_t202" style="position:absolute;margin-left:45.450000000000003pt;margin-top:798.35000000000002pt;width:452.55000000000001pt;height:7.3499999999999996pt;z-index:-188744061;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0" w:val="left"/>
                        <w:tab w:pos="9051"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KSUSV_LICENCE.doc/08.18</w:t>
                      <w:tab/>
                    </w:r>
                    <w:fldSimple w:instr=" PAGE \* MERGEFORMAT ">
                      <w:r>
                        <w:rPr>
                          <w:color w:val="000000"/>
                          <w:spacing w:val="0"/>
                          <w:w w:val="100"/>
                          <w:position w:val="0"/>
                          <w:sz w:val="16"/>
                          <w:szCs w:val="16"/>
                          <w:shd w:val="clear" w:color="auto" w:fill="auto"/>
                          <w:lang w:val="cs-CZ" w:eastAsia="cs-CZ" w:bidi="cs-CZ"/>
                        </w:rPr>
                        <w:t>#</w:t>
                      </w:r>
                    </w:fldSimple>
                    <w:r>
                      <w:rPr>
                        <w:color w:val="000000"/>
                        <w:spacing w:val="0"/>
                        <w:w w:val="100"/>
                        <w:position w:val="0"/>
                        <w:sz w:val="16"/>
                        <w:szCs w:val="16"/>
                        <w:shd w:val="clear" w:color="auto" w:fill="auto"/>
                        <w:lang w:val="cs-CZ" w:eastAsia="cs-CZ" w:bidi="cs-CZ"/>
                      </w:rPr>
                      <w:t>/3</w:t>
                      <w:tab/>
                      <w:t>CQS D-14-06</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572135</wp:posOffset>
              </wp:positionH>
              <wp:positionV relativeFrom="page">
                <wp:posOffset>10170795</wp:posOffset>
              </wp:positionV>
              <wp:extent cx="5747385" cy="99060"/>
              <wp:wrapNone/>
              <wp:docPr id="20" name="Shape 20"/>
              <a:graphic xmlns:a="http://schemas.openxmlformats.org/drawingml/2006/main">
                <a:graphicData uri="http://schemas.microsoft.com/office/word/2010/wordprocessingShape">
                  <wps:wsp>
                    <wps:cNvSpPr txBox="1"/>
                    <wps:spPr>
                      <a:xfrm>
                        <a:ext cx="5747385" cy="99060"/>
                      </a:xfrm>
                      <a:prstGeom prst="rect"/>
                      <a:noFill/>
                    </wps:spPr>
                    <wps:txbx>
                      <w:txbxContent>
                        <w:p>
                          <w:pPr>
                            <w:pStyle w:val="Style17"/>
                            <w:keepNext w:val="0"/>
                            <w:keepLines w:val="0"/>
                            <w:widowControl w:val="0"/>
                            <w:shd w:val="clear" w:color="auto" w:fill="auto"/>
                            <w:tabs>
                              <w:tab w:pos="4614" w:val="right"/>
                              <w:tab w:pos="9051"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KSUSV_LICENCE.doc/08.18</w:t>
                            <w:tab/>
                          </w:r>
                          <w:fldSimple w:instr=" PAGE \* MERGEFORMAT ">
                            <w:r>
                              <w:rPr>
                                <w:color w:val="000000"/>
                                <w:spacing w:val="0"/>
                                <w:w w:val="100"/>
                                <w:position w:val="0"/>
                                <w:sz w:val="16"/>
                                <w:szCs w:val="16"/>
                                <w:shd w:val="clear" w:color="auto" w:fill="auto"/>
                                <w:lang w:val="cs-CZ" w:eastAsia="cs-CZ" w:bidi="cs-CZ"/>
                              </w:rPr>
                              <w:t>#</w:t>
                            </w:r>
                          </w:fldSimple>
                          <w:r>
                            <w:rPr>
                              <w:color w:val="000000"/>
                              <w:spacing w:val="0"/>
                              <w:w w:val="100"/>
                              <w:position w:val="0"/>
                              <w:sz w:val="16"/>
                              <w:szCs w:val="16"/>
                              <w:shd w:val="clear" w:color="auto" w:fill="auto"/>
                              <w:lang w:val="cs-CZ" w:eastAsia="cs-CZ" w:bidi="cs-CZ"/>
                            </w:rPr>
                            <w:t>/3</w:t>
                            <w:tab/>
                            <w:t>CQS D-14-06</w:t>
                          </w:r>
                        </w:p>
                      </w:txbxContent>
                    </wps:txbx>
                    <wps:bodyPr lIns="0" tIns="0" rIns="0" bIns="0">
                      <a:spAutoFit/>
                    </wps:bodyPr>
                  </wps:wsp>
                </a:graphicData>
              </a:graphic>
            </wp:anchor>
          </w:drawing>
        </mc:Choice>
        <mc:Fallback>
          <w:pict>
            <v:shape id="_x0000_s1046" type="#_x0000_t202" style="position:absolute;margin-left:45.049999999999997pt;margin-top:800.85000000000002pt;width:452.55000000000001pt;height:7.7999999999999998pt;z-index:-188744059;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4614" w:val="right"/>
                        <w:tab w:pos="9051"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KSUSV_LICENCE.doc/08.18</w:t>
                      <w:tab/>
                    </w:r>
                    <w:fldSimple w:instr=" PAGE \* MERGEFORMAT ">
                      <w:r>
                        <w:rPr>
                          <w:color w:val="000000"/>
                          <w:spacing w:val="0"/>
                          <w:w w:val="100"/>
                          <w:position w:val="0"/>
                          <w:sz w:val="16"/>
                          <w:szCs w:val="16"/>
                          <w:shd w:val="clear" w:color="auto" w:fill="auto"/>
                          <w:lang w:val="cs-CZ" w:eastAsia="cs-CZ" w:bidi="cs-CZ"/>
                        </w:rPr>
                        <w:t>#</w:t>
                      </w:r>
                    </w:fldSimple>
                    <w:r>
                      <w:rPr>
                        <w:color w:val="000000"/>
                        <w:spacing w:val="0"/>
                        <w:w w:val="100"/>
                        <w:position w:val="0"/>
                        <w:sz w:val="16"/>
                        <w:szCs w:val="16"/>
                        <w:shd w:val="clear" w:color="auto" w:fill="auto"/>
                        <w:lang w:val="cs-CZ" w:eastAsia="cs-CZ" w:bidi="cs-CZ"/>
                      </w:rPr>
                      <w:t>/3</w:t>
                      <w:tab/>
                      <w:t>CQS D-14-06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upperRoman"/>
      <w:lvlText w:val="%1."/>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14">
    <w:name w:val="Základní text_"/>
    <w:basedOn w:val="DefaultParagraphFont"/>
    <w:link w:val="Style13"/>
    <w:rPr>
      <w:rFonts w:ascii="Times New Roman" w:eastAsia="Times New Roman" w:hAnsi="Times New Roman" w:cs="Times New Roman"/>
      <w:b w:val="0"/>
      <w:bCs w:val="0"/>
      <w:i w:val="0"/>
      <w:iCs w:val="0"/>
      <w:smallCaps w:val="0"/>
      <w:strike w:val="0"/>
      <w:sz w:val="22"/>
      <w:szCs w:val="22"/>
      <w:u w:val="none"/>
    </w:rPr>
  </w:style>
  <w:style w:type="character" w:customStyle="1" w:styleId="CharStyle16">
    <w:name w:val="Nadpis #2_"/>
    <w:basedOn w:val="DefaultParagraphFont"/>
    <w:link w:val="Style15"/>
    <w:rPr>
      <w:rFonts w:ascii="Times New Roman" w:eastAsia="Times New Roman" w:hAnsi="Times New Roman" w:cs="Times New Roman"/>
      <w:b/>
      <w:bCs/>
      <w:i w:val="0"/>
      <w:iCs w:val="0"/>
      <w:smallCaps w:val="0"/>
      <w:strike w:val="0"/>
      <w:sz w:val="28"/>
      <w:szCs w:val="28"/>
      <w:u w:val="none"/>
    </w:rPr>
  </w:style>
  <w:style w:type="character" w:customStyle="1" w:styleId="CharStyle18">
    <w:name w:val="Záhlaví nebo zápatí (2)_"/>
    <w:basedOn w:val="DefaultParagraphFont"/>
    <w:link w:val="Style17"/>
    <w:rPr>
      <w:rFonts w:ascii="Times New Roman" w:eastAsia="Times New Roman" w:hAnsi="Times New Roman" w:cs="Times New Roman"/>
      <w:b w:val="0"/>
      <w:bCs w:val="0"/>
      <w:i w:val="0"/>
      <w:iCs w:val="0"/>
      <w:smallCaps w:val="0"/>
      <w:strike w:val="0"/>
      <w:sz w:val="20"/>
      <w:szCs w:val="20"/>
      <w:u w:val="none"/>
    </w:rPr>
  </w:style>
  <w:style w:type="character" w:customStyle="1" w:styleId="CharStyle23">
    <w:name w:val="Nadpis #4_"/>
    <w:basedOn w:val="DefaultParagraphFont"/>
    <w:link w:val="Style22"/>
    <w:rPr>
      <w:rFonts w:ascii="Times New Roman" w:eastAsia="Times New Roman" w:hAnsi="Times New Roman" w:cs="Times New Roman"/>
      <w:b/>
      <w:bCs/>
      <w:i/>
      <w:iCs/>
      <w:smallCaps w:val="0"/>
      <w:strike w:val="0"/>
      <w:sz w:val="22"/>
      <w:szCs w:val="22"/>
      <w:u w:val="none"/>
    </w:rPr>
  </w:style>
  <w:style w:type="character" w:customStyle="1" w:styleId="CharStyle26">
    <w:name w:val="Nadpis #3_"/>
    <w:basedOn w:val="DefaultParagraphFont"/>
    <w:link w:val="Style25"/>
    <w:rPr>
      <w:rFonts w:ascii="Arial" w:eastAsia="Arial" w:hAnsi="Arial" w:cs="Arial"/>
      <w:b w:val="0"/>
      <w:bCs w:val="0"/>
      <w:i w:val="0"/>
      <w:iCs w:val="0"/>
      <w:smallCaps w:val="0"/>
      <w:strike w:val="0"/>
      <w:color w:val="1A346B"/>
      <w:w w:val="60"/>
      <w:sz w:val="26"/>
      <w:szCs w:val="26"/>
      <w:u w:val="none"/>
    </w:rPr>
  </w:style>
  <w:style w:type="character" w:customStyle="1" w:styleId="CharStyle29">
    <w:name w:val="Základní text (2)_"/>
    <w:basedOn w:val="DefaultParagraphFont"/>
    <w:link w:val="Style28"/>
    <w:rPr>
      <w:rFonts w:ascii="Times New Roman" w:eastAsia="Times New Roman" w:hAnsi="Times New Roman" w:cs="Times New Roman"/>
      <w:b w:val="0"/>
      <w:bCs w:val="0"/>
      <w:i w:val="0"/>
      <w:iCs w:val="0"/>
      <w:smallCaps w:val="0"/>
      <w:strike w:val="0"/>
      <w:sz w:val="28"/>
      <w:szCs w:val="28"/>
      <w:u w:val="none"/>
    </w:rPr>
  </w:style>
  <w:style w:type="character" w:customStyle="1" w:styleId="CharStyle31">
    <w:name w:val="Nadpis #1_"/>
    <w:basedOn w:val="DefaultParagraphFont"/>
    <w:link w:val="Style30"/>
    <w:rPr>
      <w:rFonts w:ascii="Times New Roman" w:eastAsia="Times New Roman" w:hAnsi="Times New Roman" w:cs="Times New Roman"/>
      <w:b/>
      <w:bCs/>
      <w:i w:val="0"/>
      <w:iCs w:val="0"/>
      <w:smallCaps w:val="0"/>
      <w:strike w:val="0"/>
      <w:sz w:val="70"/>
      <w:szCs w:val="70"/>
      <w:u w:val="none"/>
    </w:rPr>
  </w:style>
  <w:style w:type="paragraph" w:customStyle="1" w:styleId="Style2">
    <w:name w:val="Jiné"/>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13">
    <w:name w:val="Základní text"/>
    <w:basedOn w:val="Normal"/>
    <w:link w:val="CharStyle14"/>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15">
    <w:name w:val="Nadpis #2"/>
    <w:basedOn w:val="Normal"/>
    <w:link w:val="CharStyle16"/>
    <w:pPr>
      <w:widowControl w:val="0"/>
      <w:shd w:val="clear" w:color="auto" w:fill="FFFFFF"/>
      <w:spacing w:after="280"/>
      <w:jc w:val="center"/>
      <w:outlineLvl w:val="1"/>
    </w:pPr>
    <w:rPr>
      <w:rFonts w:ascii="Times New Roman" w:eastAsia="Times New Roman" w:hAnsi="Times New Roman" w:cs="Times New Roman"/>
      <w:b/>
      <w:bCs/>
      <w:i w:val="0"/>
      <w:iCs w:val="0"/>
      <w:smallCaps w:val="0"/>
      <w:strike w:val="0"/>
      <w:sz w:val="28"/>
      <w:szCs w:val="28"/>
      <w:u w:val="none"/>
    </w:rPr>
  </w:style>
  <w:style w:type="paragraph" w:customStyle="1" w:styleId="Style17">
    <w:name w:val="Záhlaví nebo zápatí (2)"/>
    <w:basedOn w:val="Normal"/>
    <w:link w:val="CharStyle1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2">
    <w:name w:val="Nadpis #4"/>
    <w:basedOn w:val="Normal"/>
    <w:link w:val="CharStyle23"/>
    <w:pPr>
      <w:widowControl w:val="0"/>
      <w:shd w:val="clear" w:color="auto" w:fill="FFFFFF"/>
      <w:outlineLvl w:val="3"/>
    </w:pPr>
    <w:rPr>
      <w:rFonts w:ascii="Times New Roman" w:eastAsia="Times New Roman" w:hAnsi="Times New Roman" w:cs="Times New Roman"/>
      <w:b/>
      <w:bCs/>
      <w:i/>
      <w:iCs/>
      <w:smallCaps w:val="0"/>
      <w:strike w:val="0"/>
      <w:sz w:val="22"/>
      <w:szCs w:val="22"/>
      <w:u w:val="none"/>
    </w:rPr>
  </w:style>
  <w:style w:type="paragraph" w:customStyle="1" w:styleId="Style25">
    <w:name w:val="Nadpis #3"/>
    <w:basedOn w:val="Normal"/>
    <w:link w:val="CharStyle26"/>
    <w:pPr>
      <w:widowControl w:val="0"/>
      <w:shd w:val="clear" w:color="auto" w:fill="FFFFFF"/>
      <w:outlineLvl w:val="2"/>
    </w:pPr>
    <w:rPr>
      <w:rFonts w:ascii="Arial" w:eastAsia="Arial" w:hAnsi="Arial" w:cs="Arial"/>
      <w:b w:val="0"/>
      <w:bCs w:val="0"/>
      <w:i w:val="0"/>
      <w:iCs w:val="0"/>
      <w:smallCaps w:val="0"/>
      <w:strike w:val="0"/>
      <w:color w:val="1A346B"/>
      <w:w w:val="60"/>
      <w:sz w:val="26"/>
      <w:szCs w:val="26"/>
      <w:u w:val="none"/>
    </w:rPr>
  </w:style>
  <w:style w:type="paragraph" w:customStyle="1" w:styleId="Style28">
    <w:name w:val="Základní text (2)"/>
    <w:basedOn w:val="Normal"/>
    <w:link w:val="CharStyle29"/>
    <w:pPr>
      <w:widowControl w:val="0"/>
      <w:shd w:val="clear" w:color="auto" w:fill="FFFFFF"/>
      <w:spacing w:after="280"/>
      <w:jc w:val="center"/>
    </w:pPr>
    <w:rPr>
      <w:rFonts w:ascii="Times New Roman" w:eastAsia="Times New Roman" w:hAnsi="Times New Roman" w:cs="Times New Roman"/>
      <w:b w:val="0"/>
      <w:bCs w:val="0"/>
      <w:i w:val="0"/>
      <w:iCs w:val="0"/>
      <w:smallCaps w:val="0"/>
      <w:strike w:val="0"/>
      <w:sz w:val="28"/>
      <w:szCs w:val="28"/>
      <w:u w:val="none"/>
    </w:rPr>
  </w:style>
  <w:style w:type="paragraph" w:customStyle="1" w:styleId="Style30">
    <w:name w:val="Nadpis #1"/>
    <w:basedOn w:val="Normal"/>
    <w:link w:val="CharStyle31"/>
    <w:pPr>
      <w:widowControl w:val="0"/>
      <w:shd w:val="clear" w:color="auto" w:fill="FFFFFF"/>
      <w:spacing w:after="280"/>
      <w:jc w:val="center"/>
      <w:outlineLvl w:val="0"/>
    </w:pPr>
    <w:rPr>
      <w:rFonts w:ascii="Times New Roman" w:eastAsia="Times New Roman" w:hAnsi="Times New Roman" w:cs="Times New Roman"/>
      <w:b/>
      <w:bCs/>
      <w:i w:val="0"/>
      <w:iCs w:val="0"/>
      <w:smallCaps w:val="0"/>
      <w:strike w:val="0"/>
      <w:sz w:val="70"/>
      <w:szCs w:val="7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footer" Target="footer3.xml"/></Relationships>
</file>