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05" w:rsidRPr="00552874" w:rsidRDefault="002E2505" w:rsidP="002E2505">
      <w:pPr>
        <w:pStyle w:val="Nadpis6"/>
        <w:keepNext w:val="0"/>
        <w:tabs>
          <w:tab w:val="left" w:pos="0"/>
        </w:tabs>
        <w:jc w:val="center"/>
        <w:rPr>
          <w:sz w:val="32"/>
          <w:szCs w:val="3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874">
        <w:rPr>
          <w:sz w:val="32"/>
          <w:szCs w:val="3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NÁJEMNÍ SMLOUVA</w:t>
      </w:r>
    </w:p>
    <w:p w:rsidR="002E2505" w:rsidRPr="002574B2" w:rsidRDefault="002E2505" w:rsidP="002E2505">
      <w:pPr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smlouva </w:t>
      </w:r>
      <w:r w:rsidRPr="002574B2">
        <w:rPr>
          <w:snapToGrid w:val="0"/>
          <w:sz w:val="22"/>
          <w:szCs w:val="22"/>
        </w:rPr>
        <w:t>o nájmu prostor</w:t>
      </w:r>
      <w:r>
        <w:rPr>
          <w:snapToGrid w:val="0"/>
          <w:sz w:val="22"/>
          <w:szCs w:val="22"/>
        </w:rPr>
        <w:t xml:space="preserve">u sloužícího k podnikání </w:t>
      </w:r>
    </w:p>
    <w:p w:rsidR="002E2505" w:rsidRPr="002971F3" w:rsidRDefault="002E2505" w:rsidP="002E2505">
      <w:pPr>
        <w:pStyle w:val="Nadpis3"/>
        <w:keepNext w:val="0"/>
        <w:tabs>
          <w:tab w:val="left" w:pos="0"/>
        </w:tabs>
        <w:rPr>
          <w:sz w:val="22"/>
          <w:szCs w:val="22"/>
          <w:u w:val="single"/>
        </w:rPr>
      </w:pPr>
      <w:r w:rsidRPr="002971F3">
        <w:rPr>
          <w:sz w:val="22"/>
          <w:szCs w:val="22"/>
          <w:u w:val="single"/>
        </w:rPr>
        <w:t>Účastníci:</w:t>
      </w:r>
    </w:p>
    <w:p w:rsidR="002E2505" w:rsidRPr="002971F3" w:rsidRDefault="002E2505" w:rsidP="002E2505">
      <w:pPr>
        <w:rPr>
          <w:sz w:val="22"/>
          <w:szCs w:val="22"/>
        </w:rPr>
      </w:pPr>
    </w:p>
    <w:p w:rsidR="002E2505" w:rsidRPr="009C27BE" w:rsidRDefault="002E2505" w:rsidP="002E2505">
      <w:pPr>
        <w:tabs>
          <w:tab w:val="left" w:pos="3969"/>
        </w:tabs>
        <w:rPr>
          <w:b/>
          <w:sz w:val="22"/>
          <w:szCs w:val="22"/>
        </w:rPr>
      </w:pPr>
      <w:r w:rsidRPr="009C27BE">
        <w:rPr>
          <w:b/>
          <w:sz w:val="22"/>
          <w:szCs w:val="22"/>
        </w:rPr>
        <w:t xml:space="preserve">Město Rakovník </w:t>
      </w:r>
    </w:p>
    <w:p w:rsidR="002E2505" w:rsidRPr="002574B2" w:rsidRDefault="00582851" w:rsidP="002E2505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2E2505" w:rsidRPr="002574B2">
        <w:rPr>
          <w:sz w:val="22"/>
          <w:szCs w:val="22"/>
        </w:rPr>
        <w:t>Husovo nám. 27, 269 18 Rakovník</w:t>
      </w:r>
    </w:p>
    <w:p w:rsidR="002E2505" w:rsidRPr="002574B2" w:rsidRDefault="002E2505" w:rsidP="002E2505">
      <w:pPr>
        <w:rPr>
          <w:sz w:val="22"/>
          <w:szCs w:val="22"/>
        </w:rPr>
      </w:pPr>
      <w:r w:rsidRPr="002574B2">
        <w:rPr>
          <w:sz w:val="22"/>
          <w:szCs w:val="22"/>
        </w:rPr>
        <w:t xml:space="preserve">zastoupené </w:t>
      </w:r>
      <w:r>
        <w:rPr>
          <w:sz w:val="22"/>
          <w:szCs w:val="22"/>
        </w:rPr>
        <w:t xml:space="preserve">JUDr. Pavlem </w:t>
      </w:r>
      <w:proofErr w:type="spellStart"/>
      <w:r>
        <w:rPr>
          <w:sz w:val="22"/>
          <w:szCs w:val="22"/>
        </w:rPr>
        <w:t>Jenšovským</w:t>
      </w:r>
      <w:proofErr w:type="spellEnd"/>
      <w:r>
        <w:rPr>
          <w:sz w:val="22"/>
          <w:szCs w:val="22"/>
        </w:rPr>
        <w:t>,</w:t>
      </w:r>
      <w:r w:rsidRPr="002574B2">
        <w:rPr>
          <w:sz w:val="22"/>
          <w:szCs w:val="22"/>
        </w:rPr>
        <w:t xml:space="preserve"> starostou</w:t>
      </w:r>
    </w:p>
    <w:p w:rsidR="002E2505" w:rsidRPr="002574B2" w:rsidRDefault="002E2505" w:rsidP="002E2505">
      <w:pPr>
        <w:rPr>
          <w:sz w:val="22"/>
          <w:szCs w:val="22"/>
        </w:rPr>
      </w:pPr>
      <w:r w:rsidRPr="002574B2">
        <w:rPr>
          <w:sz w:val="22"/>
          <w:szCs w:val="22"/>
        </w:rPr>
        <w:t>IČ 00244309, DIČ CZ00244309</w:t>
      </w:r>
    </w:p>
    <w:p w:rsidR="002E2505" w:rsidRPr="002574B2" w:rsidRDefault="002E2505" w:rsidP="002E2505">
      <w:pPr>
        <w:tabs>
          <w:tab w:val="left" w:pos="0"/>
        </w:tabs>
        <w:spacing w:after="60"/>
        <w:jc w:val="both"/>
        <w:rPr>
          <w:sz w:val="22"/>
          <w:szCs w:val="22"/>
        </w:rPr>
      </w:pPr>
      <w:r w:rsidRPr="002574B2">
        <w:rPr>
          <w:sz w:val="22"/>
          <w:szCs w:val="22"/>
        </w:rPr>
        <w:t>bankovní spojení: ČSOB a. s., pobočka Rakovník</w:t>
      </w:r>
      <w:r>
        <w:rPr>
          <w:sz w:val="22"/>
          <w:szCs w:val="22"/>
        </w:rPr>
        <w:t>,</w:t>
      </w:r>
      <w:r w:rsidRPr="002574B2">
        <w:rPr>
          <w:sz w:val="22"/>
          <w:szCs w:val="22"/>
        </w:rPr>
        <w:t xml:space="preserve"> č. </w:t>
      </w:r>
      <w:proofErr w:type="spellStart"/>
      <w:r w:rsidRPr="002574B2">
        <w:rPr>
          <w:sz w:val="22"/>
          <w:szCs w:val="22"/>
        </w:rPr>
        <w:t>ú.</w:t>
      </w:r>
      <w:proofErr w:type="spellEnd"/>
      <w:r w:rsidRPr="002574B2">
        <w:rPr>
          <w:sz w:val="22"/>
          <w:szCs w:val="22"/>
        </w:rPr>
        <w:t xml:space="preserve"> 51005100/0300</w:t>
      </w:r>
    </w:p>
    <w:p w:rsidR="002E2505" w:rsidRPr="002574B2" w:rsidRDefault="002E2505" w:rsidP="002E2505">
      <w:pPr>
        <w:tabs>
          <w:tab w:val="left" w:pos="3969"/>
        </w:tabs>
        <w:spacing w:after="60"/>
        <w:rPr>
          <w:sz w:val="22"/>
          <w:szCs w:val="22"/>
        </w:rPr>
      </w:pPr>
      <w:r w:rsidRPr="002574B2">
        <w:rPr>
          <w:sz w:val="22"/>
          <w:szCs w:val="22"/>
        </w:rPr>
        <w:t xml:space="preserve">(dále jen </w:t>
      </w:r>
      <w:r w:rsidRPr="002574B2">
        <w:rPr>
          <w:b/>
          <w:sz w:val="22"/>
          <w:szCs w:val="22"/>
        </w:rPr>
        <w:t>„</w:t>
      </w:r>
      <w:r w:rsidRPr="00FB5D95">
        <w:rPr>
          <w:b/>
          <w:spacing w:val="100"/>
          <w:sz w:val="22"/>
          <w:szCs w:val="22"/>
        </w:rPr>
        <w:t>pronajímatel</w:t>
      </w:r>
      <w:r w:rsidRPr="002574B2">
        <w:rPr>
          <w:b/>
          <w:sz w:val="22"/>
          <w:szCs w:val="22"/>
        </w:rPr>
        <w:t>“</w:t>
      </w:r>
      <w:r w:rsidRPr="002574B2">
        <w:rPr>
          <w:sz w:val="22"/>
          <w:szCs w:val="22"/>
        </w:rPr>
        <w:t>)</w:t>
      </w:r>
    </w:p>
    <w:p w:rsidR="002E2505" w:rsidRPr="002574B2" w:rsidRDefault="002E2505" w:rsidP="002E2505">
      <w:pPr>
        <w:tabs>
          <w:tab w:val="left" w:pos="3969"/>
        </w:tabs>
        <w:spacing w:after="60"/>
        <w:rPr>
          <w:sz w:val="22"/>
          <w:szCs w:val="22"/>
        </w:rPr>
      </w:pPr>
      <w:r w:rsidRPr="002574B2">
        <w:rPr>
          <w:sz w:val="22"/>
          <w:szCs w:val="22"/>
        </w:rPr>
        <w:t>a</w:t>
      </w:r>
    </w:p>
    <w:p w:rsidR="002E2505" w:rsidRPr="002574B2" w:rsidRDefault="00582851" w:rsidP="002E2505">
      <w:pPr>
        <w:tabs>
          <w:tab w:val="left" w:pos="3969"/>
        </w:tabs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Antonín </w:t>
      </w:r>
      <w:proofErr w:type="spellStart"/>
      <w:r>
        <w:rPr>
          <w:b/>
          <w:snapToGrid w:val="0"/>
          <w:sz w:val="22"/>
          <w:szCs w:val="22"/>
        </w:rPr>
        <w:t>Dalla</w:t>
      </w:r>
      <w:proofErr w:type="spellEnd"/>
      <w:r>
        <w:rPr>
          <w:b/>
          <w:snapToGrid w:val="0"/>
          <w:sz w:val="22"/>
          <w:szCs w:val="22"/>
        </w:rPr>
        <w:t xml:space="preserve"> </w:t>
      </w:r>
      <w:proofErr w:type="spellStart"/>
      <w:r>
        <w:rPr>
          <w:b/>
          <w:snapToGrid w:val="0"/>
          <w:sz w:val="22"/>
          <w:szCs w:val="22"/>
        </w:rPr>
        <w:t>Valle</w:t>
      </w:r>
      <w:proofErr w:type="spellEnd"/>
    </w:p>
    <w:p w:rsidR="002E2505" w:rsidRPr="002574B2" w:rsidRDefault="001849C1" w:rsidP="002E2505">
      <w:pPr>
        <w:tabs>
          <w:tab w:val="left" w:pos="3969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sídlem </w:t>
      </w:r>
      <w:r w:rsidR="00D61AFB">
        <w:rPr>
          <w:snapToGrid w:val="0"/>
          <w:sz w:val="22"/>
          <w:szCs w:val="22"/>
        </w:rPr>
        <w:t>Palackého 79, 269 01 Rakovník</w:t>
      </w:r>
    </w:p>
    <w:p w:rsidR="002E2505" w:rsidRDefault="002E2505" w:rsidP="002E2505">
      <w:pPr>
        <w:tabs>
          <w:tab w:val="left" w:pos="3969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IČ</w:t>
      </w:r>
      <w:r w:rsidR="00582851">
        <w:rPr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 xml:space="preserve"> </w:t>
      </w:r>
      <w:r w:rsidR="00582851">
        <w:rPr>
          <w:snapToGrid w:val="0"/>
          <w:sz w:val="22"/>
          <w:szCs w:val="22"/>
        </w:rPr>
        <w:t>10200436</w:t>
      </w:r>
    </w:p>
    <w:p w:rsidR="002E2505" w:rsidRPr="002574B2" w:rsidRDefault="00582851" w:rsidP="002E2505">
      <w:pPr>
        <w:tabs>
          <w:tab w:val="left" w:pos="3969"/>
        </w:tabs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 </w:t>
      </w:r>
      <w:r w:rsidR="002E2505" w:rsidRPr="002574B2">
        <w:rPr>
          <w:snapToGrid w:val="0"/>
          <w:sz w:val="22"/>
          <w:szCs w:val="22"/>
        </w:rPr>
        <w:t xml:space="preserve">(dále jen </w:t>
      </w:r>
      <w:r w:rsidR="002E2505" w:rsidRPr="002574B2">
        <w:rPr>
          <w:b/>
          <w:snapToGrid w:val="0"/>
          <w:sz w:val="22"/>
          <w:szCs w:val="22"/>
        </w:rPr>
        <w:t>„</w:t>
      </w:r>
      <w:r w:rsidR="002E2505" w:rsidRPr="00FB5D95">
        <w:rPr>
          <w:b/>
          <w:snapToGrid w:val="0"/>
          <w:spacing w:val="100"/>
          <w:sz w:val="22"/>
          <w:szCs w:val="22"/>
        </w:rPr>
        <w:t>nájemce</w:t>
      </w:r>
      <w:r w:rsidR="002E2505" w:rsidRPr="002574B2">
        <w:rPr>
          <w:b/>
          <w:snapToGrid w:val="0"/>
          <w:sz w:val="22"/>
          <w:szCs w:val="22"/>
        </w:rPr>
        <w:t>“</w:t>
      </w:r>
      <w:r w:rsidR="002E2505" w:rsidRPr="002574B2">
        <w:rPr>
          <w:snapToGrid w:val="0"/>
          <w:sz w:val="22"/>
          <w:szCs w:val="22"/>
        </w:rPr>
        <w:t>)</w:t>
      </w:r>
    </w:p>
    <w:p w:rsidR="002E2505" w:rsidRPr="002574B2" w:rsidRDefault="002E2505" w:rsidP="002E2505">
      <w:pPr>
        <w:tabs>
          <w:tab w:val="left" w:pos="3969"/>
        </w:tabs>
        <w:jc w:val="both"/>
        <w:rPr>
          <w:b/>
          <w:snapToGrid w:val="0"/>
          <w:sz w:val="22"/>
          <w:szCs w:val="22"/>
        </w:rPr>
      </w:pPr>
    </w:p>
    <w:p w:rsidR="002E2505" w:rsidRDefault="002E2505" w:rsidP="002E2505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uzavřeli dnešního dne, měsíce a roku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2302 a násl. zák. č. 89/2012 Sb., občanský zákoník, v platném znění, tuto: </w:t>
      </w:r>
    </w:p>
    <w:p w:rsidR="002E2505" w:rsidRPr="00552874" w:rsidRDefault="002E2505" w:rsidP="002E2505">
      <w:pPr>
        <w:spacing w:after="60"/>
        <w:jc w:val="center"/>
        <w:rPr>
          <w:b/>
          <w:smallCaps/>
          <w:snapToGrid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2874">
        <w:rPr>
          <w:b/>
          <w:smallCaps/>
          <w:snapToGrid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nájemní smlouvu</w:t>
      </w:r>
    </w:p>
    <w:p w:rsidR="002E2505" w:rsidRPr="0010193D" w:rsidRDefault="002E2505" w:rsidP="002E2505">
      <w:pPr>
        <w:jc w:val="center"/>
        <w:rPr>
          <w:b/>
          <w:snapToGrid w:val="0"/>
        </w:rPr>
      </w:pPr>
      <w:r w:rsidRPr="0010193D">
        <w:rPr>
          <w:b/>
          <w:snapToGrid w:val="0"/>
        </w:rPr>
        <w:t xml:space="preserve">smlouva o nájmu prostoru sloužícího k podnikání </w:t>
      </w:r>
    </w:p>
    <w:p w:rsidR="002E2505" w:rsidRPr="002574B2" w:rsidRDefault="002E2505" w:rsidP="002E2505">
      <w:pPr>
        <w:jc w:val="center"/>
        <w:rPr>
          <w:snapToGrid w:val="0"/>
          <w:sz w:val="22"/>
          <w:szCs w:val="22"/>
        </w:rPr>
      </w:pPr>
    </w:p>
    <w:p w:rsidR="002E2505" w:rsidRPr="002574B2" w:rsidRDefault="002E2505" w:rsidP="002E2505">
      <w:pPr>
        <w:jc w:val="center"/>
        <w:rPr>
          <w:b/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I.</w:t>
      </w:r>
    </w:p>
    <w:p w:rsidR="002E2505" w:rsidRPr="002574B2" w:rsidRDefault="002E2505" w:rsidP="002E2505">
      <w:pPr>
        <w:pStyle w:val="Nadpis4"/>
        <w:keepNext w:val="0"/>
        <w:spacing w:after="60"/>
        <w:jc w:val="center"/>
        <w:rPr>
          <w:szCs w:val="22"/>
        </w:rPr>
      </w:pPr>
      <w:r w:rsidRPr="002574B2">
        <w:rPr>
          <w:szCs w:val="22"/>
        </w:rPr>
        <w:t>Předmět a účel nájmu</w:t>
      </w:r>
    </w:p>
    <w:p w:rsidR="002E2505" w:rsidRPr="002574B2" w:rsidRDefault="002E2505" w:rsidP="002E2505">
      <w:pPr>
        <w:numPr>
          <w:ilvl w:val="0"/>
          <w:numId w:val="2"/>
        </w:numPr>
        <w:spacing w:after="60"/>
        <w:ind w:left="357" w:hanging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Pronajímatel je výlučným vlastníkem </w:t>
      </w:r>
      <w:r>
        <w:rPr>
          <w:snapToGrid w:val="0"/>
          <w:sz w:val="22"/>
          <w:szCs w:val="22"/>
        </w:rPr>
        <w:t xml:space="preserve">budovy čp. </w:t>
      </w:r>
      <w:r w:rsidR="006B3C31">
        <w:rPr>
          <w:snapToGrid w:val="0"/>
          <w:sz w:val="22"/>
          <w:szCs w:val="22"/>
        </w:rPr>
        <w:t>2183</w:t>
      </w:r>
      <w:r>
        <w:rPr>
          <w:snapToGrid w:val="0"/>
          <w:sz w:val="22"/>
          <w:szCs w:val="22"/>
        </w:rPr>
        <w:t xml:space="preserve">, která je součástí st. p. č. </w:t>
      </w:r>
      <w:r w:rsidR="006B3C31">
        <w:rPr>
          <w:snapToGrid w:val="0"/>
          <w:sz w:val="22"/>
          <w:szCs w:val="22"/>
        </w:rPr>
        <w:t>3923</w:t>
      </w:r>
      <w:r>
        <w:rPr>
          <w:snapToGrid w:val="0"/>
          <w:sz w:val="22"/>
          <w:szCs w:val="22"/>
        </w:rPr>
        <w:t xml:space="preserve"> a p. p. č. </w:t>
      </w:r>
      <w:r w:rsidR="006B3C31">
        <w:rPr>
          <w:snapToGrid w:val="0"/>
          <w:sz w:val="22"/>
          <w:szCs w:val="22"/>
        </w:rPr>
        <w:t>2315/1</w:t>
      </w:r>
      <w:r>
        <w:rPr>
          <w:snapToGrid w:val="0"/>
          <w:sz w:val="22"/>
          <w:szCs w:val="22"/>
        </w:rPr>
        <w:t xml:space="preserve"> vše </w:t>
      </w:r>
      <w:r w:rsidRPr="002574B2">
        <w:rPr>
          <w:snapToGrid w:val="0"/>
          <w:sz w:val="22"/>
          <w:szCs w:val="22"/>
        </w:rPr>
        <w:t xml:space="preserve">zapsané u Katastrálního úřadu pro Středočeský kraj, Katastrální pracoviště Rakovník, </w:t>
      </w:r>
      <w:r w:rsidR="006B3C31" w:rsidRPr="002574B2">
        <w:rPr>
          <w:snapToGrid w:val="0"/>
          <w:sz w:val="22"/>
          <w:szCs w:val="22"/>
        </w:rPr>
        <w:t>LV 10001</w:t>
      </w:r>
      <w:r w:rsidR="006B3C31">
        <w:rPr>
          <w:snapToGrid w:val="0"/>
          <w:sz w:val="22"/>
          <w:szCs w:val="22"/>
        </w:rPr>
        <w:t xml:space="preserve">, pro obec a k. </w:t>
      </w:r>
      <w:proofErr w:type="spellStart"/>
      <w:r w:rsidR="006B3C31">
        <w:rPr>
          <w:snapToGrid w:val="0"/>
          <w:sz w:val="22"/>
          <w:szCs w:val="22"/>
        </w:rPr>
        <w:t>ú.</w:t>
      </w:r>
      <w:proofErr w:type="spellEnd"/>
      <w:r w:rsidR="006B3C31">
        <w:rPr>
          <w:snapToGrid w:val="0"/>
          <w:sz w:val="22"/>
          <w:szCs w:val="22"/>
        </w:rPr>
        <w:t xml:space="preserve"> Rakovník.</w:t>
      </w:r>
    </w:p>
    <w:p w:rsidR="002E2505" w:rsidRPr="006B3C31" w:rsidRDefault="002E2505" w:rsidP="006B3C31">
      <w:pPr>
        <w:numPr>
          <w:ilvl w:val="0"/>
          <w:numId w:val="2"/>
        </w:numPr>
        <w:ind w:left="357" w:hanging="357"/>
        <w:contextualSpacing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Pronajímatel t</w:t>
      </w:r>
      <w:r w:rsidR="006B3C31">
        <w:rPr>
          <w:snapToGrid w:val="0"/>
          <w:sz w:val="22"/>
          <w:szCs w:val="22"/>
        </w:rPr>
        <w:t xml:space="preserve">outo smlouvou pronajímá nájemci </w:t>
      </w:r>
      <w:r w:rsidR="006B3C31" w:rsidRPr="006B3C31">
        <w:rPr>
          <w:snapToGrid w:val="0"/>
          <w:sz w:val="22"/>
          <w:szCs w:val="22"/>
        </w:rPr>
        <w:t>budovu čp. 2183</w:t>
      </w:r>
      <w:r w:rsidR="006B3C31">
        <w:rPr>
          <w:snapToGrid w:val="0"/>
          <w:sz w:val="22"/>
          <w:szCs w:val="22"/>
        </w:rPr>
        <w:t xml:space="preserve"> a část p. p. č. 2315/1 o výměře 2 000 m</w:t>
      </w:r>
      <w:r w:rsidR="006B3C31">
        <w:rPr>
          <w:snapToGrid w:val="0"/>
          <w:sz w:val="22"/>
          <w:szCs w:val="22"/>
          <w:vertAlign w:val="superscript"/>
        </w:rPr>
        <w:t>2</w:t>
      </w:r>
      <w:r w:rsidR="006B3C31">
        <w:rPr>
          <w:snapToGrid w:val="0"/>
          <w:sz w:val="22"/>
          <w:szCs w:val="22"/>
        </w:rPr>
        <w:t>,</w:t>
      </w:r>
      <w:r w:rsidR="006B3C31" w:rsidRPr="006B3C31">
        <w:rPr>
          <w:snapToGrid w:val="0"/>
          <w:sz w:val="22"/>
          <w:szCs w:val="22"/>
        </w:rPr>
        <w:t xml:space="preserve"> včetně všech součástí a příslušenství,</w:t>
      </w:r>
      <w:r w:rsidRPr="006B3C31">
        <w:rPr>
          <w:snapToGrid w:val="0"/>
          <w:sz w:val="22"/>
          <w:szCs w:val="22"/>
        </w:rPr>
        <w:t xml:space="preserve"> za účelem pro</w:t>
      </w:r>
      <w:r w:rsidR="006B3C31" w:rsidRPr="006B3C31">
        <w:rPr>
          <w:snapToGrid w:val="0"/>
          <w:sz w:val="22"/>
          <w:szCs w:val="22"/>
        </w:rPr>
        <w:t>vozování pohřební služby a zajiš</w:t>
      </w:r>
      <w:r w:rsidR="006B3C31">
        <w:rPr>
          <w:snapToGrid w:val="0"/>
          <w:sz w:val="22"/>
          <w:szCs w:val="22"/>
        </w:rPr>
        <w:t>ťování smutečních obřadů.</w:t>
      </w:r>
    </w:p>
    <w:p w:rsidR="002E2505" w:rsidRPr="002574B2" w:rsidRDefault="002E2505" w:rsidP="002E2505">
      <w:pPr>
        <w:jc w:val="center"/>
        <w:rPr>
          <w:b/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II.</w:t>
      </w:r>
    </w:p>
    <w:p w:rsidR="002E2505" w:rsidRPr="002574B2" w:rsidRDefault="002E2505" w:rsidP="002E2505">
      <w:pPr>
        <w:pStyle w:val="Nadpis4"/>
        <w:keepNext w:val="0"/>
        <w:spacing w:after="60"/>
        <w:jc w:val="center"/>
        <w:rPr>
          <w:szCs w:val="22"/>
        </w:rPr>
      </w:pPr>
      <w:r w:rsidRPr="002574B2">
        <w:rPr>
          <w:szCs w:val="22"/>
        </w:rPr>
        <w:t>Výše náj</w:t>
      </w:r>
      <w:r>
        <w:rPr>
          <w:szCs w:val="22"/>
        </w:rPr>
        <w:t>e</w:t>
      </w:r>
      <w:r w:rsidRPr="002574B2">
        <w:rPr>
          <w:szCs w:val="22"/>
        </w:rPr>
        <w:t>m</w:t>
      </w:r>
      <w:r>
        <w:rPr>
          <w:szCs w:val="22"/>
        </w:rPr>
        <w:t>ného</w:t>
      </w:r>
      <w:r w:rsidRPr="002574B2">
        <w:rPr>
          <w:szCs w:val="22"/>
        </w:rPr>
        <w:t>, splatnost a způsob úhrady</w:t>
      </w:r>
    </w:p>
    <w:p w:rsidR="002E2505" w:rsidRDefault="002E2505" w:rsidP="002E2505">
      <w:pPr>
        <w:numPr>
          <w:ilvl w:val="0"/>
          <w:numId w:val="3"/>
        </w:numPr>
        <w:tabs>
          <w:tab w:val="clear" w:pos="720"/>
        </w:tabs>
        <w:spacing w:after="60"/>
        <w:ind w:left="360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Nájemné se stanovuje na základě usnesení rady města Rakovníka č. </w:t>
      </w:r>
      <w:r w:rsidR="00D61AFB">
        <w:rPr>
          <w:snapToGrid w:val="0"/>
          <w:sz w:val="22"/>
          <w:szCs w:val="22"/>
        </w:rPr>
        <w:t>48</w:t>
      </w:r>
      <w:r w:rsidR="006B3C31">
        <w:rPr>
          <w:snapToGrid w:val="0"/>
          <w:sz w:val="22"/>
          <w:szCs w:val="22"/>
        </w:rPr>
        <w:t>/1</w:t>
      </w:r>
      <w:r w:rsidR="00D61AFB">
        <w:rPr>
          <w:snapToGrid w:val="0"/>
          <w:sz w:val="22"/>
          <w:szCs w:val="22"/>
        </w:rPr>
        <w:t>7</w:t>
      </w:r>
      <w:r w:rsidRPr="002574B2">
        <w:rPr>
          <w:snapToGrid w:val="0"/>
          <w:sz w:val="22"/>
          <w:szCs w:val="22"/>
        </w:rPr>
        <w:t xml:space="preserve"> ze dne </w:t>
      </w:r>
      <w:r w:rsidR="00D61AFB">
        <w:rPr>
          <w:snapToGrid w:val="0"/>
          <w:sz w:val="22"/>
          <w:szCs w:val="22"/>
        </w:rPr>
        <w:t>25. 1. 2017</w:t>
      </w:r>
      <w:r>
        <w:rPr>
          <w:snapToGrid w:val="0"/>
          <w:sz w:val="22"/>
          <w:szCs w:val="22"/>
        </w:rPr>
        <w:t xml:space="preserve"> </w:t>
      </w:r>
      <w:r w:rsidRPr="002574B2">
        <w:rPr>
          <w:snapToGrid w:val="0"/>
          <w:sz w:val="22"/>
          <w:szCs w:val="22"/>
        </w:rPr>
        <w:t>částkou</w:t>
      </w:r>
      <w:r>
        <w:rPr>
          <w:snapToGrid w:val="0"/>
          <w:sz w:val="22"/>
          <w:szCs w:val="22"/>
        </w:rPr>
        <w:t xml:space="preserve"> ve</w:t>
      </w:r>
      <w:r w:rsidRPr="002574B2">
        <w:rPr>
          <w:snapToGrid w:val="0"/>
          <w:sz w:val="22"/>
          <w:szCs w:val="22"/>
        </w:rPr>
        <w:t xml:space="preserve"> </w:t>
      </w:r>
      <w:r w:rsidRPr="00471B40">
        <w:rPr>
          <w:snapToGrid w:val="0"/>
          <w:sz w:val="22"/>
          <w:szCs w:val="22"/>
        </w:rPr>
        <w:t xml:space="preserve">výši </w:t>
      </w:r>
      <w:r w:rsidR="00D61AFB">
        <w:rPr>
          <w:b/>
          <w:snapToGrid w:val="0"/>
          <w:sz w:val="22"/>
          <w:szCs w:val="22"/>
        </w:rPr>
        <w:t>50</w:t>
      </w:r>
      <w:r w:rsidR="006B3C31">
        <w:rPr>
          <w:b/>
          <w:snapToGrid w:val="0"/>
          <w:sz w:val="22"/>
          <w:szCs w:val="22"/>
        </w:rPr>
        <w:t>0 000</w:t>
      </w:r>
      <w:r w:rsidRPr="00471B40">
        <w:rPr>
          <w:b/>
          <w:snapToGrid w:val="0"/>
          <w:sz w:val="22"/>
          <w:szCs w:val="22"/>
        </w:rPr>
        <w:t xml:space="preserve">,- </w:t>
      </w:r>
      <w:r w:rsidRPr="00471B40">
        <w:rPr>
          <w:b/>
          <w:sz w:val="22"/>
          <w:szCs w:val="22"/>
        </w:rPr>
        <w:t>Kč/rok</w:t>
      </w:r>
      <w:r w:rsidRPr="00471B40">
        <w:rPr>
          <w:sz w:val="22"/>
          <w:szCs w:val="22"/>
        </w:rPr>
        <w:t>.</w:t>
      </w:r>
    </w:p>
    <w:p w:rsidR="002E2505" w:rsidRDefault="002E2505" w:rsidP="002E2505">
      <w:pPr>
        <w:numPr>
          <w:ilvl w:val="0"/>
          <w:numId w:val="3"/>
        </w:numPr>
        <w:tabs>
          <w:tab w:val="clear" w:pos="720"/>
        </w:tabs>
        <w:spacing w:after="60"/>
        <w:ind w:left="360"/>
        <w:jc w:val="both"/>
        <w:rPr>
          <w:snapToGrid w:val="0"/>
          <w:sz w:val="22"/>
          <w:szCs w:val="22"/>
        </w:rPr>
      </w:pPr>
      <w:r w:rsidRPr="00253D2F">
        <w:rPr>
          <w:snapToGrid w:val="0"/>
          <w:sz w:val="22"/>
          <w:szCs w:val="22"/>
        </w:rPr>
        <w:t xml:space="preserve">Nájemné je splatné měsíčně ve výši 1/12 ročního nájemného, vždy do posledního dne příslušného kalendářního měsíce na účet pronajímatele č. </w:t>
      </w:r>
      <w:r w:rsidR="006B3C31" w:rsidRPr="006B3C31">
        <w:rPr>
          <w:b/>
          <w:snapToGrid w:val="0"/>
          <w:sz w:val="22"/>
          <w:szCs w:val="22"/>
        </w:rPr>
        <w:t>271926278/0300</w:t>
      </w:r>
      <w:r w:rsidRPr="006B3C31">
        <w:rPr>
          <w:b/>
          <w:snapToGrid w:val="0"/>
          <w:sz w:val="22"/>
          <w:szCs w:val="22"/>
        </w:rPr>
        <w:t>,</w:t>
      </w:r>
      <w:r w:rsidRPr="00253D2F">
        <w:rPr>
          <w:b/>
          <w:snapToGrid w:val="0"/>
          <w:sz w:val="22"/>
          <w:szCs w:val="22"/>
        </w:rPr>
        <w:t xml:space="preserve"> variabilní symbol 9730000</w:t>
      </w:r>
      <w:r w:rsidR="00D61AFB">
        <w:rPr>
          <w:b/>
          <w:snapToGrid w:val="0"/>
          <w:sz w:val="22"/>
          <w:szCs w:val="22"/>
        </w:rPr>
        <w:t>203</w:t>
      </w:r>
      <w:r>
        <w:rPr>
          <w:snapToGrid w:val="0"/>
          <w:sz w:val="22"/>
          <w:szCs w:val="22"/>
        </w:rPr>
        <w:t xml:space="preserve">, </w:t>
      </w:r>
      <w:r w:rsidRPr="00253D2F">
        <w:rPr>
          <w:snapToGrid w:val="0"/>
          <w:sz w:val="22"/>
          <w:szCs w:val="22"/>
        </w:rPr>
        <w:t>vedený u</w:t>
      </w:r>
      <w:r>
        <w:rPr>
          <w:snapToGrid w:val="0"/>
          <w:sz w:val="22"/>
          <w:szCs w:val="22"/>
        </w:rPr>
        <w:t> </w:t>
      </w:r>
      <w:r w:rsidR="006B3C31">
        <w:rPr>
          <w:snapToGrid w:val="0"/>
          <w:sz w:val="22"/>
          <w:szCs w:val="22"/>
        </w:rPr>
        <w:t>ČSOB, a.s., pobočka Rakovník.</w:t>
      </w:r>
    </w:p>
    <w:p w:rsidR="002E2505" w:rsidRPr="002574B2" w:rsidRDefault="002E2505" w:rsidP="002E2505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V ceně nájemného nejsou zahrnuty režijní náklady spojené s provozem a údržbou, které </w:t>
      </w:r>
      <w:r w:rsidR="006B3C31">
        <w:rPr>
          <w:snapToGrid w:val="0"/>
          <w:sz w:val="22"/>
          <w:szCs w:val="22"/>
        </w:rPr>
        <w:t xml:space="preserve">si </w:t>
      </w:r>
      <w:r w:rsidRPr="002574B2">
        <w:rPr>
          <w:snapToGrid w:val="0"/>
          <w:sz w:val="22"/>
          <w:szCs w:val="22"/>
        </w:rPr>
        <w:t xml:space="preserve">hradí nájemce. </w:t>
      </w:r>
    </w:p>
    <w:p w:rsidR="002E2505" w:rsidRPr="002574B2" w:rsidRDefault="002E2505" w:rsidP="002E2505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Pronajímatel bude každoročně zvyšovat nájemné v souladu s růstem míry inflace vyjádřené přírůstkem průměrného indexu spotřebitelských cen, a to vždy o výši míry inflace za uplynulý rok oficiálně vyhlášené Českým statistickým úřadem. Nový výpočet nájemného bude nájemci písemně oznámen nejpozději do 30. 4. běžného kalendářního roku s účinností od 1. 1. běžného kalendářního roku, tj. zpětně a od tohoto oznámení je nájemce povinen řádně hradit valorizované nájemné. Valorizaci nájemného – rozdíl mezi dosavadním nájemným uhrazeným od 1. 1. běžného kalendářního roku a nájemným zvýšeným podle míry inflace s účinností od 1. 1. běžného kalendářního roku uhradí nájemce do termínu uvedeného v oznámení o valorizaci. Takto stanovené (valorizované) nájemné je výchozí částkou pro valorizaci v následujícím roce.</w:t>
      </w:r>
    </w:p>
    <w:p w:rsidR="002E2505" w:rsidRPr="00216F40" w:rsidRDefault="002E2505" w:rsidP="002E2505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ind w:left="360"/>
        <w:jc w:val="both"/>
        <w:rPr>
          <w:snapToGrid w:val="0"/>
          <w:sz w:val="22"/>
          <w:szCs w:val="22"/>
        </w:rPr>
      </w:pPr>
      <w:r w:rsidRPr="00216F40">
        <w:rPr>
          <w:sz w:val="22"/>
          <w:szCs w:val="22"/>
        </w:rPr>
        <w:t>Neuhradí-li nájemce včas splatné nájemné, má pronajímatel právo vedle zákonného úroku z prodlení požadovat i smluvní pokutu ve výši 0,</w:t>
      </w:r>
      <w:r>
        <w:rPr>
          <w:sz w:val="22"/>
          <w:szCs w:val="22"/>
        </w:rPr>
        <w:t>0</w:t>
      </w:r>
      <w:r w:rsidRPr="00216F40">
        <w:rPr>
          <w:sz w:val="22"/>
          <w:szCs w:val="22"/>
        </w:rPr>
        <w:t xml:space="preserve">5 % z dlužné částky za každý den prodlení. Smluvní pokuta je splatná dnem doručení písemné výzvy pronajímatele k její úhradě. </w:t>
      </w:r>
    </w:p>
    <w:p w:rsidR="002E2505" w:rsidRDefault="002E2505" w:rsidP="002E2505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ind w:left="360"/>
        <w:jc w:val="both"/>
        <w:rPr>
          <w:snapToGrid w:val="0"/>
          <w:sz w:val="22"/>
          <w:szCs w:val="22"/>
        </w:rPr>
      </w:pPr>
      <w:r w:rsidRPr="00216F40">
        <w:rPr>
          <w:snapToGrid w:val="0"/>
          <w:sz w:val="22"/>
          <w:szCs w:val="22"/>
        </w:rPr>
        <w:t>Pronájem nebytových prostor je plnění osvobozené od daně, bez nároku na odpočet daně dle § 56</w:t>
      </w:r>
      <w:r>
        <w:rPr>
          <w:snapToGrid w:val="0"/>
          <w:sz w:val="22"/>
          <w:szCs w:val="22"/>
        </w:rPr>
        <w:t>a</w:t>
      </w:r>
      <w:r w:rsidRPr="00216F40">
        <w:rPr>
          <w:snapToGrid w:val="0"/>
          <w:sz w:val="22"/>
          <w:szCs w:val="22"/>
        </w:rPr>
        <w:t xml:space="preserve"> zákona </w:t>
      </w:r>
      <w:r>
        <w:rPr>
          <w:snapToGrid w:val="0"/>
          <w:sz w:val="22"/>
          <w:szCs w:val="22"/>
        </w:rPr>
        <w:t xml:space="preserve">č. </w:t>
      </w:r>
      <w:r w:rsidRPr="00216F40">
        <w:rPr>
          <w:snapToGrid w:val="0"/>
          <w:sz w:val="22"/>
          <w:szCs w:val="22"/>
        </w:rPr>
        <w:t>235/2004 Sb., o dani z přidané hodnoty, ve znění pozdějších předpisů. Den uskutečnění plnění je stanoven na</w:t>
      </w:r>
      <w:r>
        <w:rPr>
          <w:snapToGrid w:val="0"/>
          <w:sz w:val="22"/>
          <w:szCs w:val="22"/>
        </w:rPr>
        <w:t xml:space="preserve"> 5. daného kalendářního měsíce.</w:t>
      </w:r>
    </w:p>
    <w:p w:rsidR="002E2505" w:rsidRPr="002574B2" w:rsidRDefault="002E2505" w:rsidP="002E2505">
      <w:pPr>
        <w:jc w:val="center"/>
        <w:rPr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lastRenderedPageBreak/>
        <w:t>III.</w:t>
      </w:r>
    </w:p>
    <w:p w:rsidR="002E2505" w:rsidRPr="002574B2" w:rsidRDefault="002E2505" w:rsidP="002E2505">
      <w:pPr>
        <w:pStyle w:val="Nadpis4"/>
        <w:keepNext w:val="0"/>
        <w:spacing w:after="60"/>
        <w:jc w:val="center"/>
        <w:rPr>
          <w:szCs w:val="22"/>
        </w:rPr>
      </w:pPr>
      <w:r>
        <w:rPr>
          <w:szCs w:val="22"/>
        </w:rPr>
        <w:t>Podmínky užívání</w:t>
      </w:r>
    </w:p>
    <w:p w:rsidR="002E2505" w:rsidRDefault="002E2505" w:rsidP="006B3C31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Nájemce se zavazuje užívat prostory pouze k účelu, stanovenému touto smlouvou.</w:t>
      </w:r>
    </w:p>
    <w:p w:rsidR="0087294F" w:rsidRPr="006B3C31" w:rsidRDefault="0087294F" w:rsidP="006B3C31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Nájemce se zavazuje účtovat fyzickým osobám a dalším subjektům za </w:t>
      </w:r>
      <w:r w:rsidR="00A04B4C">
        <w:rPr>
          <w:snapToGrid w:val="0"/>
          <w:sz w:val="22"/>
          <w:szCs w:val="22"/>
        </w:rPr>
        <w:t>podnájem „smuteční</w:t>
      </w:r>
      <w:r>
        <w:rPr>
          <w:snapToGrid w:val="0"/>
          <w:sz w:val="22"/>
          <w:szCs w:val="22"/>
        </w:rPr>
        <w:t xml:space="preserve"> obřadní síně“, při konání smutečního obřadu cenu ve výši 2 800,- Kč bez DPH. Touto cenou se rozumí pouze cena za podnájem bez živého zpěvu a hudby. Tato garantované cena může být nájemcem jednostranně navýšena nejdříve po uplynutí 12 měsíců od uzavření smlouvy, a to maximálně o výši míry inflace, vyjádření přírůstkem průměrného indexu spotřebitelských cen za </w:t>
      </w:r>
      <w:r w:rsidR="00A04B4C">
        <w:rPr>
          <w:snapToGrid w:val="0"/>
          <w:sz w:val="22"/>
          <w:szCs w:val="22"/>
        </w:rPr>
        <w:t>uplynulý rok oficiálně vyhlášené</w:t>
      </w:r>
      <w:r>
        <w:rPr>
          <w:snapToGrid w:val="0"/>
          <w:sz w:val="22"/>
          <w:szCs w:val="22"/>
        </w:rPr>
        <w:t xml:space="preserve"> Českým statistickým úřadem. Nájemce je povinen případnou valorizaci</w:t>
      </w:r>
      <w:r w:rsidR="00A04B4C">
        <w:rPr>
          <w:snapToGrid w:val="0"/>
          <w:sz w:val="22"/>
          <w:szCs w:val="22"/>
        </w:rPr>
        <w:t xml:space="preserve"> ceny oznámit písemně pronajímateli. Jakékoliv další navýšení této ceny musí být vždy schváleno pronajímatelem, bez jehož souhlasu není nájemce oprávněn navýšit tuto garantovanou cenu.</w:t>
      </w:r>
    </w:p>
    <w:p w:rsidR="002E2505" w:rsidRPr="00006817" w:rsidRDefault="002E2505" w:rsidP="002E2505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Nájemce je povinen hradit </w:t>
      </w:r>
      <w:r w:rsidRPr="002574B2">
        <w:rPr>
          <w:sz w:val="22"/>
          <w:szCs w:val="22"/>
        </w:rPr>
        <w:t>veškeré náklady na revize nutné k využívání nebytových prostor</w:t>
      </w:r>
      <w:r w:rsidRPr="00006817">
        <w:rPr>
          <w:sz w:val="22"/>
          <w:szCs w:val="22"/>
        </w:rPr>
        <w:t xml:space="preserve">. Kopie revizních zpráv budou nájemcem prokazatelně předány na </w:t>
      </w:r>
      <w:proofErr w:type="spellStart"/>
      <w:r w:rsidRPr="00006817">
        <w:rPr>
          <w:sz w:val="22"/>
          <w:szCs w:val="22"/>
        </w:rPr>
        <w:t>MěÚ</w:t>
      </w:r>
      <w:proofErr w:type="spellEnd"/>
      <w:r w:rsidRPr="00006817">
        <w:rPr>
          <w:sz w:val="22"/>
          <w:szCs w:val="22"/>
        </w:rPr>
        <w:t xml:space="preserve"> - odbor správy majetku nejpozději do 14 dnů od obdržení příslušné revizní zprávy.  </w:t>
      </w:r>
    </w:p>
    <w:p w:rsidR="002E2505" w:rsidRPr="000A150C" w:rsidRDefault="002E2505" w:rsidP="002E2505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 w:rsidRPr="00CB453E">
        <w:rPr>
          <w:sz w:val="22"/>
          <w:szCs w:val="22"/>
        </w:rPr>
        <w:t xml:space="preserve">Nájemce </w:t>
      </w:r>
      <w:r w:rsidR="0087294F">
        <w:rPr>
          <w:sz w:val="22"/>
          <w:szCs w:val="22"/>
        </w:rPr>
        <w:t>nesmí dát pronajaté nemovitosti do užívání třetí osobě a to ani z části.</w:t>
      </w:r>
    </w:p>
    <w:p w:rsidR="002E2505" w:rsidRDefault="002E2505" w:rsidP="002E2505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Nájemce nesmí pronajatými</w:t>
      </w:r>
      <w:r>
        <w:rPr>
          <w:snapToGrid w:val="0"/>
          <w:sz w:val="22"/>
          <w:szCs w:val="22"/>
        </w:rPr>
        <w:t xml:space="preserve"> prostory</w:t>
      </w:r>
      <w:r w:rsidRPr="002574B2">
        <w:rPr>
          <w:snapToGrid w:val="0"/>
          <w:sz w:val="22"/>
          <w:szCs w:val="22"/>
        </w:rPr>
        <w:t xml:space="preserve"> ručit.</w:t>
      </w:r>
    </w:p>
    <w:p w:rsidR="0087294F" w:rsidRPr="0087294F" w:rsidRDefault="0087294F" w:rsidP="0087294F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Nájemce je povinen udržovat pronajatou část pozemkové parcely ve stavu odpovídajícím povaze a okolí (zejména sekání trávy, stříhání keřů, údržba čistoty apod.). Vše bude zajišťovat na své náklady nájemce.</w:t>
      </w:r>
    </w:p>
    <w:p w:rsidR="002E2505" w:rsidRPr="002574B2" w:rsidRDefault="002E2505" w:rsidP="002E2505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Za organizaci a zajištění požární ochrany, bezpečnosti a ochrany zdraví při práci, ochrany životního prostředí a hygieny v souladu s platnými předpisy odpovídá v</w:t>
      </w:r>
      <w:r>
        <w:rPr>
          <w:snapToGrid w:val="0"/>
          <w:sz w:val="22"/>
          <w:szCs w:val="22"/>
        </w:rPr>
        <w:t xml:space="preserve"> pronajatých </w:t>
      </w:r>
      <w:r w:rsidRPr="002574B2">
        <w:rPr>
          <w:snapToGrid w:val="0"/>
          <w:sz w:val="22"/>
          <w:szCs w:val="22"/>
        </w:rPr>
        <w:t>prostorech nájemce. Pronajímatel je oprávněn kontrolovat dodržování platných předpisů v pronajatých prostorech.</w:t>
      </w:r>
    </w:p>
    <w:p w:rsidR="002E2505" w:rsidRPr="002574B2" w:rsidRDefault="002E2505" w:rsidP="002E2505">
      <w:pPr>
        <w:numPr>
          <w:ilvl w:val="0"/>
          <w:numId w:val="1"/>
        </w:numPr>
        <w:spacing w:after="60"/>
        <w:ind w:left="357"/>
        <w:jc w:val="both"/>
        <w:rPr>
          <w:snapToGrid w:val="0"/>
          <w:sz w:val="22"/>
          <w:szCs w:val="22"/>
        </w:rPr>
      </w:pPr>
      <w:r w:rsidRPr="002574B2">
        <w:rPr>
          <w:sz w:val="22"/>
          <w:szCs w:val="22"/>
        </w:rPr>
        <w:t>Nájemce je povinen umožnit pronajímateli na jeho žádost vstup do pronajatých prostor zejména za účelem kontroly dodržování podmínek této smlouvy, provádění nutných oprav nebo provádění kontroly instalovaných inženýrských sítí.</w:t>
      </w:r>
    </w:p>
    <w:p w:rsidR="002E2505" w:rsidRDefault="002E2505" w:rsidP="002E2505">
      <w:pPr>
        <w:numPr>
          <w:ilvl w:val="0"/>
          <w:numId w:val="1"/>
        </w:numPr>
        <w:spacing w:after="60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Nájemce prohlašuje, že je mu dobře znám stav pronajatých prostor, že jsou ve stavu způsobilém k řádnému užívání podle této smlouvy a že je takto přejímá. O faktickém předání a převzetí pronajatých prostor na počátku nájmu bude smluvními stranami sepsán protokol (zápis) o předání a převzetí.</w:t>
      </w:r>
    </w:p>
    <w:p w:rsidR="002E2505" w:rsidRDefault="002E2505" w:rsidP="002E2505">
      <w:pPr>
        <w:jc w:val="center"/>
        <w:rPr>
          <w:b/>
          <w:snapToGrid w:val="0"/>
          <w:sz w:val="22"/>
          <w:szCs w:val="22"/>
        </w:rPr>
      </w:pPr>
    </w:p>
    <w:p w:rsidR="002E2505" w:rsidRPr="002574B2" w:rsidRDefault="002E2505" w:rsidP="002E2505">
      <w:pPr>
        <w:jc w:val="center"/>
        <w:rPr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I</w:t>
      </w:r>
      <w:r>
        <w:rPr>
          <w:b/>
          <w:snapToGrid w:val="0"/>
          <w:sz w:val="22"/>
          <w:szCs w:val="22"/>
        </w:rPr>
        <w:t>V</w:t>
      </w:r>
      <w:r w:rsidRPr="002574B2">
        <w:rPr>
          <w:b/>
          <w:snapToGrid w:val="0"/>
          <w:sz w:val="22"/>
          <w:szCs w:val="22"/>
        </w:rPr>
        <w:t>.</w:t>
      </w:r>
    </w:p>
    <w:p w:rsidR="002E2505" w:rsidRPr="002574B2" w:rsidRDefault="002E2505" w:rsidP="002E2505">
      <w:pPr>
        <w:pStyle w:val="Nadpis4"/>
        <w:keepNext w:val="0"/>
        <w:spacing w:after="60"/>
        <w:jc w:val="center"/>
        <w:rPr>
          <w:szCs w:val="22"/>
        </w:rPr>
      </w:pPr>
      <w:r>
        <w:rPr>
          <w:szCs w:val="22"/>
        </w:rPr>
        <w:t>Drobné opravy a běžná údržba</w:t>
      </w:r>
    </w:p>
    <w:p w:rsidR="002E2505" w:rsidRPr="00095DE1" w:rsidRDefault="002E2505" w:rsidP="002E2505">
      <w:pPr>
        <w:numPr>
          <w:ilvl w:val="0"/>
          <w:numId w:val="12"/>
        </w:numPr>
        <w:spacing w:after="60"/>
        <w:ind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>Za drobné opravy se považují opravy nebytového prostoru a jeho vnitřního vybavení, pokud je toto vybavení jeho součástí a je ve vlastnictví pronajímatele, a to podle věcného vymezení nebo podle výše nákladu.</w:t>
      </w:r>
    </w:p>
    <w:p w:rsidR="002E2505" w:rsidRPr="00095DE1" w:rsidRDefault="002E2505" w:rsidP="002E2505">
      <w:pPr>
        <w:numPr>
          <w:ilvl w:val="0"/>
          <w:numId w:val="12"/>
        </w:numPr>
        <w:spacing w:after="60"/>
        <w:ind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>Podle věcného vymezení se za drobné opravy považují tyto opravy a výměny:</w:t>
      </w:r>
    </w:p>
    <w:p w:rsidR="002E2505" w:rsidRPr="00095DE1" w:rsidRDefault="002E2505" w:rsidP="002E2505">
      <w:pPr>
        <w:numPr>
          <w:ilvl w:val="1"/>
          <w:numId w:val="12"/>
        </w:numPr>
        <w:tabs>
          <w:tab w:val="clear" w:pos="1440"/>
          <w:tab w:val="num" w:pos="709"/>
        </w:tabs>
        <w:ind w:left="709"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>opravy jednotlivých vrchních částí podlah, opravy podlahových krytin a výměny prahů a lišt,</w:t>
      </w:r>
    </w:p>
    <w:p w:rsidR="002E2505" w:rsidRPr="00095DE1" w:rsidRDefault="002E2505" w:rsidP="002E2505">
      <w:pPr>
        <w:numPr>
          <w:ilvl w:val="1"/>
          <w:numId w:val="12"/>
        </w:numPr>
        <w:tabs>
          <w:tab w:val="clear" w:pos="1440"/>
          <w:tab w:val="num" w:pos="709"/>
        </w:tabs>
        <w:ind w:left="709"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 xml:space="preserve">opravy jednotlivých částí </w:t>
      </w:r>
      <w:r w:rsidR="00B56B8E">
        <w:rPr>
          <w:sz w:val="22"/>
          <w:szCs w:val="22"/>
        </w:rPr>
        <w:t>dveří a oken a jejich součástí, kování a klik, výměny zámků včetně elektronického otevírání vstupních dveří a opravy kování, klik, rolet a žaluzií u oken zasahujících do vnitřního prostoru,</w:t>
      </w:r>
    </w:p>
    <w:p w:rsidR="002E2505" w:rsidRPr="00095DE1" w:rsidRDefault="005B5332" w:rsidP="002E2505">
      <w:pPr>
        <w:numPr>
          <w:ilvl w:val="1"/>
          <w:numId w:val="12"/>
        </w:numPr>
        <w:tabs>
          <w:tab w:val="clear" w:pos="1440"/>
          <w:tab w:val="num" w:pos="709"/>
        </w:tabs>
        <w:ind w:left="709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opravy a </w:t>
      </w:r>
      <w:r w:rsidR="002E2505" w:rsidRPr="00095DE1">
        <w:rPr>
          <w:sz w:val="22"/>
          <w:szCs w:val="22"/>
        </w:rPr>
        <w:t>výměny elektrických koncových zařízení a rozvodných zařízení, zejména vypínačů, zásuvek, jističů, zvonků, domácích telefonů, zásuvek rozvodů datových sítí, signálů analogového i digitálního televizního vysílání a výměny zdrojů světla v osvětlovacích tělesech,</w:t>
      </w:r>
      <w:r>
        <w:rPr>
          <w:sz w:val="22"/>
          <w:szCs w:val="22"/>
        </w:rPr>
        <w:t xml:space="preserve"> opravy zařízení pro příjem satelitního televizního vysílání, opravy audiovizuálních zařízení sloužících k otevírání vchodových dveří, opravy řídících jednotek a spínačů ventilace, klimatizace a centrálního vysavače, opravy elektronických systémů zabezpečení a automatických hlásičů pohybu,</w:t>
      </w:r>
    </w:p>
    <w:p w:rsidR="002E2505" w:rsidRPr="00095DE1" w:rsidRDefault="002E2505" w:rsidP="002E2505">
      <w:pPr>
        <w:numPr>
          <w:ilvl w:val="1"/>
          <w:numId w:val="12"/>
        </w:numPr>
        <w:tabs>
          <w:tab w:val="clear" w:pos="1440"/>
          <w:tab w:val="num" w:pos="709"/>
        </w:tabs>
        <w:ind w:left="709"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>výměny uzavíracích ventilů u rozvodu plynu s výjimkou hlavního uzávěru pro nebytový prostor,</w:t>
      </w:r>
    </w:p>
    <w:p w:rsidR="002E2505" w:rsidRPr="00095DE1" w:rsidRDefault="002E2505" w:rsidP="002E2505">
      <w:pPr>
        <w:numPr>
          <w:ilvl w:val="1"/>
          <w:numId w:val="12"/>
        </w:numPr>
        <w:tabs>
          <w:tab w:val="clear" w:pos="1440"/>
          <w:tab w:val="num" w:pos="709"/>
        </w:tabs>
        <w:ind w:left="709"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 xml:space="preserve">opravy </w:t>
      </w:r>
      <w:r w:rsidR="005B5332">
        <w:rPr>
          <w:sz w:val="22"/>
          <w:szCs w:val="22"/>
        </w:rPr>
        <w:t xml:space="preserve">a výměny </w:t>
      </w:r>
      <w:r w:rsidRPr="00095DE1">
        <w:rPr>
          <w:sz w:val="22"/>
          <w:szCs w:val="22"/>
        </w:rPr>
        <w:t>uzavíracích armatur na rozvodech vody</w:t>
      </w:r>
      <w:r w:rsidR="005B5332">
        <w:rPr>
          <w:sz w:val="22"/>
          <w:szCs w:val="22"/>
        </w:rPr>
        <w:t xml:space="preserve"> s výjimkou hlavního uzávěru</w:t>
      </w:r>
      <w:r w:rsidRPr="00095DE1">
        <w:rPr>
          <w:sz w:val="22"/>
          <w:szCs w:val="22"/>
        </w:rPr>
        <w:t>, výměny sifonů a lapačů tuku,</w:t>
      </w:r>
    </w:p>
    <w:p w:rsidR="002E2505" w:rsidRDefault="005B5332" w:rsidP="002E2505">
      <w:pPr>
        <w:numPr>
          <w:ilvl w:val="1"/>
          <w:numId w:val="12"/>
        </w:numPr>
        <w:tabs>
          <w:tab w:val="clear" w:pos="1440"/>
          <w:tab w:val="num" w:pos="709"/>
        </w:tabs>
        <w:spacing w:after="60"/>
        <w:ind w:left="709" w:hanging="357"/>
        <w:jc w:val="both"/>
        <w:rPr>
          <w:sz w:val="22"/>
          <w:szCs w:val="22"/>
        </w:rPr>
      </w:pPr>
      <w:r>
        <w:rPr>
          <w:sz w:val="22"/>
          <w:szCs w:val="22"/>
        </w:rPr>
        <w:t>opravy a certifikace měřidel podle zákona o metrologii nebo zařízení pro rozdělování nákladů na vytápění a opravy a certifikace vodoměrů teplé a studené vody, opravy hlásičů požáru a hlásičů kouře, opravy regulátorů prostorové teploty u systémů vytápění umožňujících individuální regulaci teploty,</w:t>
      </w:r>
    </w:p>
    <w:p w:rsidR="001D4DE7" w:rsidRDefault="001D4DE7" w:rsidP="002E2505">
      <w:pPr>
        <w:numPr>
          <w:ilvl w:val="1"/>
          <w:numId w:val="12"/>
        </w:numPr>
        <w:tabs>
          <w:tab w:val="clear" w:pos="1440"/>
          <w:tab w:val="num" w:pos="709"/>
        </w:tabs>
        <w:spacing w:after="60"/>
        <w:ind w:left="709" w:hanging="357"/>
        <w:jc w:val="both"/>
        <w:rPr>
          <w:sz w:val="22"/>
          <w:szCs w:val="22"/>
        </w:rPr>
      </w:pPr>
      <w:r>
        <w:rPr>
          <w:sz w:val="22"/>
          <w:szCs w:val="22"/>
        </w:rPr>
        <w:t>opravy vodovodních výtoků, zápachových uzávěrek, odsavačů par, digestoří, mísicích baterií, sprch</w:t>
      </w:r>
      <w:r w:rsidR="00F60A10">
        <w:rPr>
          <w:sz w:val="22"/>
          <w:szCs w:val="22"/>
        </w:rPr>
        <w:t>, ohřívačů vody, bidetů, umyvadel, van, výlevek, dřezů, splachovačů, kuchyňských sporáků, pečících trub, vařičů, infrazářičů, kuchyňských linek, vestavěných a přistavěných skříní,</w:t>
      </w:r>
      <w:r>
        <w:rPr>
          <w:sz w:val="22"/>
          <w:szCs w:val="22"/>
        </w:rPr>
        <w:t xml:space="preserve"> </w:t>
      </w:r>
    </w:p>
    <w:p w:rsidR="009546A9" w:rsidRDefault="009546A9" w:rsidP="002E2505">
      <w:pPr>
        <w:numPr>
          <w:ilvl w:val="1"/>
          <w:numId w:val="12"/>
        </w:numPr>
        <w:tabs>
          <w:tab w:val="clear" w:pos="1440"/>
          <w:tab w:val="num" w:pos="709"/>
        </w:tabs>
        <w:spacing w:after="60"/>
        <w:ind w:left="709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opravy kamen na pevná paliva, plyn a elektřinu, kouřovodů, kotlů etážového topení na elektřinu, kapalná a plynná paliva, kouřovodů a uzavíracích a regulačních armatur a ovládacích termostatů etážového topení, nepovažují se však za ně opravy radiátorů a rozvodů ústředního topení</w:t>
      </w:r>
    </w:p>
    <w:p w:rsidR="009546A9" w:rsidRDefault="009546A9" w:rsidP="002E2505">
      <w:pPr>
        <w:numPr>
          <w:ilvl w:val="1"/>
          <w:numId w:val="12"/>
        </w:numPr>
        <w:tabs>
          <w:tab w:val="clear" w:pos="1440"/>
          <w:tab w:val="num" w:pos="709"/>
        </w:tabs>
        <w:spacing w:after="60"/>
        <w:ind w:left="709" w:hanging="357"/>
        <w:jc w:val="both"/>
        <w:rPr>
          <w:sz w:val="22"/>
          <w:szCs w:val="22"/>
        </w:rPr>
      </w:pPr>
      <w:r>
        <w:rPr>
          <w:sz w:val="22"/>
          <w:szCs w:val="22"/>
        </w:rPr>
        <w:t>výměny drobných součástí předmětů uvedených v písmenu g)</w:t>
      </w:r>
      <w:r w:rsidR="00F60A10">
        <w:rPr>
          <w:sz w:val="22"/>
          <w:szCs w:val="22"/>
        </w:rPr>
        <w:t xml:space="preserve"> a h).</w:t>
      </w:r>
    </w:p>
    <w:p w:rsidR="009546A9" w:rsidRPr="00095DE1" w:rsidRDefault="009546A9" w:rsidP="009546A9">
      <w:pPr>
        <w:spacing w:after="60"/>
        <w:ind w:left="709"/>
        <w:jc w:val="both"/>
        <w:rPr>
          <w:sz w:val="22"/>
          <w:szCs w:val="22"/>
        </w:rPr>
      </w:pPr>
    </w:p>
    <w:p w:rsidR="002E2505" w:rsidRPr="00095DE1" w:rsidRDefault="002E2505" w:rsidP="002E2505">
      <w:pPr>
        <w:numPr>
          <w:ilvl w:val="0"/>
          <w:numId w:val="12"/>
        </w:numPr>
        <w:spacing w:after="60"/>
        <w:ind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>Podle výše nákladu se za drobné opravy považují další opravy nebytového prostoru a jeho vybavení a</w:t>
      </w:r>
      <w:r>
        <w:rPr>
          <w:sz w:val="22"/>
          <w:szCs w:val="22"/>
        </w:rPr>
        <w:t> </w:t>
      </w:r>
      <w:r w:rsidRPr="00095DE1">
        <w:rPr>
          <w:sz w:val="22"/>
          <w:szCs w:val="22"/>
        </w:rPr>
        <w:t xml:space="preserve">výměny jednotlivých předmětů </w:t>
      </w:r>
      <w:r w:rsidR="00F60A10">
        <w:rPr>
          <w:sz w:val="22"/>
          <w:szCs w:val="22"/>
        </w:rPr>
        <w:t xml:space="preserve">nebo jejich součástí, </w:t>
      </w:r>
      <w:r w:rsidRPr="00216F40">
        <w:rPr>
          <w:sz w:val="22"/>
          <w:szCs w:val="22"/>
        </w:rPr>
        <w:t>které nejsou uvedeny v odstavc</w:t>
      </w:r>
      <w:r w:rsidR="00F60A10">
        <w:rPr>
          <w:sz w:val="22"/>
          <w:szCs w:val="22"/>
        </w:rPr>
        <w:t>i</w:t>
      </w:r>
      <w:r w:rsidRPr="00216F40">
        <w:rPr>
          <w:sz w:val="22"/>
          <w:szCs w:val="22"/>
        </w:rPr>
        <w:t xml:space="preserve"> 2 tohoto článku, jestliže náklad na jednu opravu nepřesáhne částku 1</w:t>
      </w:r>
      <w:r w:rsidR="00187438">
        <w:rPr>
          <w:sz w:val="22"/>
          <w:szCs w:val="22"/>
        </w:rPr>
        <w:t xml:space="preserve"> </w:t>
      </w:r>
      <w:r w:rsidRPr="00216F40">
        <w:rPr>
          <w:sz w:val="22"/>
          <w:szCs w:val="22"/>
        </w:rPr>
        <w:t>000 Kč. Provádí</w:t>
      </w:r>
      <w:r w:rsidRPr="00095DE1">
        <w:rPr>
          <w:sz w:val="22"/>
          <w:szCs w:val="22"/>
        </w:rPr>
        <w:t xml:space="preserve">-li se na téže věci několik oprav, které spolu souvisejí a časově na sebe navazují, je rozhodující součet nákladů na související opravy. Náklady na dopravu a jiné náklady spojené s opravou se do nákladů </w:t>
      </w:r>
      <w:r w:rsidR="00F60A10">
        <w:rPr>
          <w:sz w:val="22"/>
          <w:szCs w:val="22"/>
        </w:rPr>
        <w:t>na tuto opravu nezapočítávají a hradí je nájemce.</w:t>
      </w:r>
    </w:p>
    <w:p w:rsidR="002E2505" w:rsidRPr="00095DE1" w:rsidRDefault="002E2505" w:rsidP="002E2505">
      <w:pPr>
        <w:numPr>
          <w:ilvl w:val="0"/>
          <w:numId w:val="12"/>
        </w:numPr>
        <w:spacing w:after="60"/>
        <w:ind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 xml:space="preserve">Součet nákladů za drobné opravy uvedené v odstavcích 2 a </w:t>
      </w:r>
      <w:r w:rsidR="00F60A10">
        <w:rPr>
          <w:sz w:val="22"/>
          <w:szCs w:val="22"/>
        </w:rPr>
        <w:t>3</w:t>
      </w:r>
      <w:r w:rsidRPr="00095DE1">
        <w:rPr>
          <w:sz w:val="22"/>
          <w:szCs w:val="22"/>
        </w:rPr>
        <w:t xml:space="preserve"> tohoto článku </w:t>
      </w:r>
      <w:r>
        <w:rPr>
          <w:sz w:val="22"/>
          <w:szCs w:val="22"/>
        </w:rPr>
        <w:t xml:space="preserve">nesmí přesáhnout částku </w:t>
      </w:r>
      <w:r w:rsidRPr="00216F40">
        <w:rPr>
          <w:sz w:val="22"/>
          <w:szCs w:val="22"/>
        </w:rPr>
        <w:t>100 Kč/m</w:t>
      </w:r>
      <w:r w:rsidRPr="00216F40">
        <w:rPr>
          <w:sz w:val="22"/>
          <w:szCs w:val="22"/>
          <w:vertAlign w:val="superscript"/>
        </w:rPr>
        <w:t>2</w:t>
      </w:r>
      <w:r w:rsidRPr="00216F40">
        <w:rPr>
          <w:sz w:val="22"/>
          <w:szCs w:val="22"/>
        </w:rPr>
        <w:t xml:space="preserve"> podlahové</w:t>
      </w:r>
      <w:r w:rsidRPr="00095DE1">
        <w:rPr>
          <w:sz w:val="22"/>
          <w:szCs w:val="22"/>
        </w:rPr>
        <w:t xml:space="preserve"> plochy nebytov</w:t>
      </w:r>
      <w:r w:rsidR="00F60A10">
        <w:rPr>
          <w:sz w:val="22"/>
          <w:szCs w:val="22"/>
        </w:rPr>
        <w:t>ého prostoru za kalendářní rok</w:t>
      </w:r>
      <w:r w:rsidRPr="00095DE1">
        <w:rPr>
          <w:sz w:val="22"/>
          <w:szCs w:val="22"/>
        </w:rPr>
        <w:t>.</w:t>
      </w:r>
    </w:p>
    <w:p w:rsidR="002E2505" w:rsidRPr="00095DE1" w:rsidRDefault="002E2505" w:rsidP="002E2505">
      <w:pPr>
        <w:numPr>
          <w:ilvl w:val="0"/>
          <w:numId w:val="12"/>
        </w:numPr>
        <w:spacing w:after="60"/>
        <w:ind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>Podlahovou plochou nebytového prostoru se pro účely ustanovení tohoto článku rozumí součet podlahových ploch nebytového prostoru a jeho příslušenství, a to i mimo tento prostor, pokud jsou užívány výhradně nájemcem; podlahová plocha sklepů, které nejsou místnostmi, a podlahová plocha balkonů, lodžií a teras se započítává pouze jednou polovinou.</w:t>
      </w:r>
    </w:p>
    <w:p w:rsidR="002E2505" w:rsidRPr="00095DE1" w:rsidRDefault="002E2505" w:rsidP="002E2505">
      <w:pPr>
        <w:numPr>
          <w:ilvl w:val="0"/>
          <w:numId w:val="12"/>
        </w:numPr>
        <w:spacing w:after="60"/>
        <w:ind w:hanging="357"/>
        <w:jc w:val="both"/>
        <w:rPr>
          <w:sz w:val="22"/>
          <w:szCs w:val="22"/>
        </w:rPr>
      </w:pPr>
      <w:r w:rsidRPr="00095DE1">
        <w:rPr>
          <w:sz w:val="22"/>
          <w:szCs w:val="22"/>
        </w:rPr>
        <w:t xml:space="preserve">Náklady spojené s běžnou údržbou nebytového prostoru jsou náklady na udržování a čištění nebytového prostoru, které se provádějí obvykle při delším užívání prostoru. Jsou jimi zejména pravidelné prohlídky a čištění předmětů uvedených v odst. </w:t>
      </w:r>
      <w:r w:rsidR="00F60A10">
        <w:rPr>
          <w:sz w:val="22"/>
          <w:szCs w:val="22"/>
        </w:rPr>
        <w:t>2</w:t>
      </w:r>
      <w:r w:rsidRPr="00095DE1">
        <w:rPr>
          <w:sz w:val="22"/>
          <w:szCs w:val="22"/>
        </w:rPr>
        <w:t xml:space="preserve"> tohoto článku (</w:t>
      </w:r>
      <w:proofErr w:type="spellStart"/>
      <w:r w:rsidRPr="00095DE1">
        <w:rPr>
          <w:sz w:val="22"/>
          <w:szCs w:val="22"/>
        </w:rPr>
        <w:t>plynospotřebičů</w:t>
      </w:r>
      <w:proofErr w:type="spellEnd"/>
      <w:r w:rsidRPr="00095DE1">
        <w:rPr>
          <w:sz w:val="22"/>
          <w:szCs w:val="22"/>
        </w:rPr>
        <w:t xml:space="preserve"> apod.), malování včetně opravy omítek, tapetování a čištění podlah včetně podlahových krytin, obkladů stěn, čištění zanesených odpadů až ke sv</w:t>
      </w:r>
      <w:r w:rsidR="00187438">
        <w:rPr>
          <w:sz w:val="22"/>
          <w:szCs w:val="22"/>
        </w:rPr>
        <w:t xml:space="preserve">islým rozvodům. Dále se běžnou údržbou rozumí udržování zařízení nebytového prostoru ve funkčním stavu, </w:t>
      </w:r>
      <w:proofErr w:type="spellStart"/>
      <w:r w:rsidR="00187438">
        <w:rPr>
          <w:sz w:val="22"/>
          <w:szCs w:val="22"/>
        </w:rPr>
        <w:t>konrola</w:t>
      </w:r>
      <w:proofErr w:type="spellEnd"/>
      <w:r w:rsidR="00187438">
        <w:rPr>
          <w:sz w:val="22"/>
          <w:szCs w:val="22"/>
        </w:rPr>
        <w:t xml:space="preserve"> funkčnosti termostatických hlavic s elektronickým řízením, kontrola funkčnosti hlásiče kouře včetně výměny zdroje, kontrola a údržba vodovodních baterií s elektronickým řízením.</w:t>
      </w:r>
    </w:p>
    <w:p w:rsidR="002E2505" w:rsidRPr="002574B2" w:rsidRDefault="002E2505" w:rsidP="002E2505">
      <w:pPr>
        <w:jc w:val="both"/>
        <w:rPr>
          <w:b/>
          <w:snapToGrid w:val="0"/>
          <w:sz w:val="22"/>
          <w:szCs w:val="22"/>
        </w:rPr>
      </w:pPr>
    </w:p>
    <w:p w:rsidR="002E2505" w:rsidRPr="002574B2" w:rsidRDefault="002E2505" w:rsidP="002E2505">
      <w:pPr>
        <w:jc w:val="center"/>
        <w:rPr>
          <w:b/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V.</w:t>
      </w:r>
    </w:p>
    <w:p w:rsidR="002E2505" w:rsidRPr="002574B2" w:rsidRDefault="002E2505" w:rsidP="002E2505">
      <w:pPr>
        <w:spacing w:after="60"/>
        <w:jc w:val="center"/>
        <w:rPr>
          <w:b/>
          <w:snapToGrid w:val="0"/>
          <w:sz w:val="22"/>
          <w:szCs w:val="22"/>
          <w:u w:val="single"/>
        </w:rPr>
      </w:pPr>
      <w:r w:rsidRPr="002574B2">
        <w:rPr>
          <w:b/>
          <w:snapToGrid w:val="0"/>
          <w:sz w:val="22"/>
          <w:szCs w:val="22"/>
          <w:u w:val="single"/>
        </w:rPr>
        <w:t>Stavební úpravy</w:t>
      </w:r>
    </w:p>
    <w:p w:rsidR="002E2505" w:rsidRPr="000A6FB2" w:rsidRDefault="002E2505" w:rsidP="002E2505">
      <w:pPr>
        <w:pStyle w:val="Odstavecseseznamem"/>
        <w:numPr>
          <w:ilvl w:val="0"/>
          <w:numId w:val="14"/>
        </w:numPr>
        <w:spacing w:after="60"/>
        <w:ind w:left="357" w:hanging="357"/>
        <w:contextualSpacing w:val="0"/>
        <w:jc w:val="both"/>
      </w:pPr>
      <w:r w:rsidRPr="008B46B1">
        <w:rPr>
          <w:snapToGrid w:val="0"/>
          <w:sz w:val="22"/>
          <w:szCs w:val="22"/>
        </w:rPr>
        <w:t>Veškeré stavební úpravy, rekonstrukce, modernizace a stavební adaptace (dále jen „stavební úpravy“) v pronajatých nebytových prostorech může nájemce provádět jen na základě předchozí písemné dohody</w:t>
      </w:r>
      <w:r w:rsidRPr="00DF74D1">
        <w:rPr>
          <w:snapToGrid w:val="0"/>
          <w:sz w:val="22"/>
          <w:szCs w:val="22"/>
        </w:rPr>
        <w:t xml:space="preserve"> s pronajímatelem, jejímž obsahem bude i ujednání o vypořádání vynaložených nákladů. Bez takového ujednání není dohoda platná a takto neplatná dohoda není ani souhlasem pronajímatele s provedenými stavebními úpravami.</w:t>
      </w:r>
    </w:p>
    <w:p w:rsidR="002E2505" w:rsidRDefault="002E2505" w:rsidP="002E2505">
      <w:pPr>
        <w:jc w:val="both"/>
        <w:rPr>
          <w:b/>
          <w:snapToGrid w:val="0"/>
          <w:sz w:val="22"/>
          <w:szCs w:val="22"/>
        </w:rPr>
      </w:pPr>
    </w:p>
    <w:p w:rsidR="002E2505" w:rsidRPr="002574B2" w:rsidRDefault="002E2505" w:rsidP="002E2505">
      <w:pPr>
        <w:jc w:val="center"/>
        <w:rPr>
          <w:b/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V</w:t>
      </w:r>
      <w:r>
        <w:rPr>
          <w:b/>
          <w:snapToGrid w:val="0"/>
          <w:sz w:val="22"/>
          <w:szCs w:val="22"/>
        </w:rPr>
        <w:t>I</w:t>
      </w:r>
      <w:r w:rsidRPr="002574B2">
        <w:rPr>
          <w:b/>
          <w:snapToGrid w:val="0"/>
          <w:sz w:val="22"/>
          <w:szCs w:val="22"/>
        </w:rPr>
        <w:t>.</w:t>
      </w:r>
    </w:p>
    <w:p w:rsidR="002E2505" w:rsidRPr="002574B2" w:rsidRDefault="002E2505" w:rsidP="002E2505">
      <w:pPr>
        <w:spacing w:after="60"/>
        <w:jc w:val="center"/>
        <w:rPr>
          <w:b/>
          <w:snapToGrid w:val="0"/>
          <w:sz w:val="22"/>
          <w:szCs w:val="22"/>
          <w:u w:val="single"/>
        </w:rPr>
      </w:pPr>
      <w:r w:rsidRPr="002574B2">
        <w:rPr>
          <w:b/>
          <w:snapToGrid w:val="0"/>
          <w:sz w:val="22"/>
          <w:szCs w:val="22"/>
          <w:u w:val="single"/>
        </w:rPr>
        <w:t>Ostatní ujednání</w:t>
      </w:r>
    </w:p>
    <w:p w:rsidR="002E2505" w:rsidRPr="002574B2" w:rsidRDefault="002E2505" w:rsidP="002E2505">
      <w:pPr>
        <w:numPr>
          <w:ilvl w:val="0"/>
          <w:numId w:val="6"/>
        </w:numPr>
        <w:tabs>
          <w:tab w:val="num" w:pos="0"/>
        </w:tabs>
        <w:spacing w:after="60"/>
        <w:ind w:left="357" w:hanging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Nájemce umožní přístup do prostor </w:t>
      </w:r>
      <w:r>
        <w:rPr>
          <w:snapToGrid w:val="0"/>
          <w:sz w:val="22"/>
          <w:szCs w:val="22"/>
        </w:rPr>
        <w:t xml:space="preserve">pověřeným osobám </w:t>
      </w:r>
      <w:r w:rsidRPr="002574B2">
        <w:rPr>
          <w:snapToGrid w:val="0"/>
          <w:sz w:val="22"/>
          <w:szCs w:val="22"/>
        </w:rPr>
        <w:t>pronajímatel</w:t>
      </w:r>
      <w:r>
        <w:rPr>
          <w:snapToGrid w:val="0"/>
          <w:sz w:val="22"/>
          <w:szCs w:val="22"/>
        </w:rPr>
        <w:t>e, kterými jsou zaměstnanci odboru správy majetku</w:t>
      </w:r>
      <w:r w:rsidRPr="002574B2">
        <w:rPr>
          <w:snapToGrid w:val="0"/>
          <w:sz w:val="22"/>
          <w:szCs w:val="22"/>
        </w:rPr>
        <w:t>.</w:t>
      </w:r>
    </w:p>
    <w:p w:rsidR="002E2505" w:rsidRPr="00700D1F" w:rsidRDefault="002E2505" w:rsidP="002E2505">
      <w:pPr>
        <w:numPr>
          <w:ilvl w:val="0"/>
          <w:numId w:val="6"/>
        </w:numPr>
        <w:tabs>
          <w:tab w:val="num" w:pos="0"/>
        </w:tabs>
        <w:spacing w:after="60"/>
        <w:jc w:val="both"/>
        <w:rPr>
          <w:i/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Zaplacením se podle této smlouvy rozumí připsáním příslušné částky na bankovní účet příjemce platby.</w:t>
      </w:r>
    </w:p>
    <w:p w:rsidR="002E2505" w:rsidRPr="00216F40" w:rsidRDefault="002E2505" w:rsidP="002E2505">
      <w:pPr>
        <w:numPr>
          <w:ilvl w:val="0"/>
          <w:numId w:val="6"/>
        </w:numPr>
        <w:jc w:val="both"/>
        <w:rPr>
          <w:sz w:val="22"/>
          <w:szCs w:val="22"/>
        </w:rPr>
      </w:pPr>
      <w:r w:rsidRPr="00216F40">
        <w:rPr>
          <w:sz w:val="22"/>
          <w:szCs w:val="22"/>
        </w:rPr>
        <w:t xml:space="preserve">Smluvní strany výslovně sjednávají, že pro případ nepřevzetí příp. nevyzvednutí doručovaných písemností se za den doručení považuje třetí den po jejich odeslání.  </w:t>
      </w:r>
    </w:p>
    <w:p w:rsidR="002E2505" w:rsidRPr="002574B2" w:rsidRDefault="002E2505" w:rsidP="002E2505">
      <w:pPr>
        <w:spacing w:after="60"/>
        <w:jc w:val="both"/>
        <w:rPr>
          <w:i/>
          <w:snapToGrid w:val="0"/>
          <w:sz w:val="22"/>
          <w:szCs w:val="22"/>
        </w:rPr>
      </w:pPr>
    </w:p>
    <w:p w:rsidR="002E2505" w:rsidRPr="002574B2" w:rsidRDefault="002E2505" w:rsidP="002E2505">
      <w:pPr>
        <w:keepNext/>
        <w:jc w:val="center"/>
        <w:rPr>
          <w:b/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VI</w:t>
      </w:r>
      <w:r>
        <w:rPr>
          <w:b/>
          <w:snapToGrid w:val="0"/>
          <w:sz w:val="22"/>
          <w:szCs w:val="22"/>
        </w:rPr>
        <w:t>I</w:t>
      </w:r>
      <w:r w:rsidRPr="002574B2">
        <w:rPr>
          <w:b/>
          <w:snapToGrid w:val="0"/>
          <w:sz w:val="22"/>
          <w:szCs w:val="22"/>
        </w:rPr>
        <w:t>.</w:t>
      </w:r>
    </w:p>
    <w:p w:rsidR="002E2505" w:rsidRPr="002574B2" w:rsidRDefault="002E2505" w:rsidP="002E2505">
      <w:pPr>
        <w:keepNext/>
        <w:spacing w:after="60"/>
        <w:jc w:val="center"/>
        <w:rPr>
          <w:b/>
          <w:snapToGrid w:val="0"/>
          <w:sz w:val="22"/>
          <w:szCs w:val="22"/>
          <w:u w:val="single"/>
        </w:rPr>
      </w:pPr>
      <w:r w:rsidRPr="002574B2">
        <w:rPr>
          <w:b/>
          <w:snapToGrid w:val="0"/>
          <w:sz w:val="22"/>
          <w:szCs w:val="22"/>
          <w:u w:val="single"/>
        </w:rPr>
        <w:t>Doba nájmu</w:t>
      </w:r>
    </w:p>
    <w:p w:rsidR="00DF69D7" w:rsidRPr="002B05F9" w:rsidRDefault="00DF69D7" w:rsidP="00DF69D7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Nájem se sjednává na dobu </w:t>
      </w:r>
      <w:r w:rsidRPr="002574B2">
        <w:rPr>
          <w:sz w:val="22"/>
          <w:szCs w:val="22"/>
        </w:rPr>
        <w:t xml:space="preserve">neurčitou s možností výpovědi, kterou je oprávněna podat kterákoli smluvní strana i bez udání důvodu. Výpovědní lhůta </w:t>
      </w:r>
      <w:r>
        <w:rPr>
          <w:sz w:val="22"/>
          <w:szCs w:val="22"/>
        </w:rPr>
        <w:t>činí</w:t>
      </w:r>
      <w:r w:rsidRPr="002574B2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2574B2">
        <w:rPr>
          <w:sz w:val="22"/>
          <w:szCs w:val="22"/>
        </w:rPr>
        <w:t xml:space="preserve"> měsíc</w:t>
      </w:r>
      <w:r>
        <w:rPr>
          <w:sz w:val="22"/>
          <w:szCs w:val="22"/>
        </w:rPr>
        <w:t>ů</w:t>
      </w:r>
      <w:r w:rsidRPr="002574B2">
        <w:rPr>
          <w:sz w:val="22"/>
          <w:szCs w:val="22"/>
        </w:rPr>
        <w:t xml:space="preserve"> a počíná běžet </w:t>
      </w:r>
      <w:r>
        <w:rPr>
          <w:sz w:val="22"/>
          <w:szCs w:val="22"/>
        </w:rPr>
        <w:t>n</w:t>
      </w:r>
      <w:r w:rsidRPr="002574B2">
        <w:rPr>
          <w:sz w:val="22"/>
          <w:szCs w:val="22"/>
        </w:rPr>
        <w:t>ásledující</w:t>
      </w:r>
      <w:r>
        <w:rPr>
          <w:sz w:val="22"/>
          <w:szCs w:val="22"/>
        </w:rPr>
        <w:t xml:space="preserve"> den</w:t>
      </w:r>
      <w:r w:rsidRPr="002574B2">
        <w:rPr>
          <w:sz w:val="22"/>
          <w:szCs w:val="22"/>
        </w:rPr>
        <w:t xml:space="preserve"> po doručení písemné výpovědi druhé smluvní straně.  </w:t>
      </w:r>
    </w:p>
    <w:p w:rsidR="00DF69D7" w:rsidRPr="002574B2" w:rsidRDefault="00DF69D7" w:rsidP="00DF69D7">
      <w:pPr>
        <w:pStyle w:val="Zkladntext"/>
        <w:tabs>
          <w:tab w:val="left" w:pos="0"/>
        </w:tabs>
        <w:jc w:val="center"/>
        <w:rPr>
          <w:b/>
          <w:snapToGrid w:val="0"/>
          <w:szCs w:val="22"/>
        </w:rPr>
      </w:pPr>
      <w:r w:rsidRPr="002574B2">
        <w:rPr>
          <w:b/>
          <w:snapToGrid w:val="0"/>
          <w:szCs w:val="22"/>
        </w:rPr>
        <w:t>VII</w:t>
      </w:r>
      <w:r>
        <w:rPr>
          <w:b/>
          <w:snapToGrid w:val="0"/>
          <w:szCs w:val="22"/>
        </w:rPr>
        <w:t>I</w:t>
      </w:r>
      <w:r w:rsidRPr="002574B2">
        <w:rPr>
          <w:b/>
          <w:snapToGrid w:val="0"/>
          <w:szCs w:val="22"/>
        </w:rPr>
        <w:t>.</w:t>
      </w:r>
    </w:p>
    <w:p w:rsidR="00DF69D7" w:rsidRPr="002574B2" w:rsidRDefault="00DF69D7" w:rsidP="00DF69D7">
      <w:pPr>
        <w:widowControl w:val="0"/>
        <w:spacing w:after="60"/>
        <w:jc w:val="center"/>
        <w:rPr>
          <w:b/>
          <w:snapToGrid w:val="0"/>
          <w:sz w:val="22"/>
          <w:szCs w:val="22"/>
          <w:u w:val="single"/>
        </w:rPr>
      </w:pPr>
      <w:r w:rsidRPr="002574B2">
        <w:rPr>
          <w:b/>
          <w:snapToGrid w:val="0"/>
          <w:sz w:val="22"/>
          <w:szCs w:val="22"/>
          <w:u w:val="single"/>
        </w:rPr>
        <w:t>Skončení nájmu</w:t>
      </w:r>
    </w:p>
    <w:p w:rsidR="00DF69D7" w:rsidRPr="002574B2" w:rsidRDefault="00DF69D7" w:rsidP="00DF69D7">
      <w:pPr>
        <w:widowControl w:val="0"/>
        <w:numPr>
          <w:ilvl w:val="0"/>
          <w:numId w:val="7"/>
        </w:numPr>
        <w:ind w:left="426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Nájemní vztah je možné ukončit: </w:t>
      </w:r>
    </w:p>
    <w:p w:rsidR="00DF69D7" w:rsidRPr="002574B2" w:rsidRDefault="00DF69D7" w:rsidP="00DF69D7">
      <w:pPr>
        <w:widowControl w:val="0"/>
        <w:numPr>
          <w:ilvl w:val="0"/>
          <w:numId w:val="18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písemnou dohodou pronajímatele a nájemce k datu uvedenému v dohodě,</w:t>
      </w:r>
    </w:p>
    <w:p w:rsidR="00DF69D7" w:rsidRDefault="00DF69D7" w:rsidP="00DF69D7">
      <w:pPr>
        <w:widowControl w:val="0"/>
        <w:numPr>
          <w:ilvl w:val="0"/>
          <w:numId w:val="18"/>
        </w:numPr>
        <w:spacing w:after="60"/>
        <w:ind w:left="1145" w:hanging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na základě výpovědi, kterou je pronajímatel či nájemce oprávněn podat z jakéhokoli důvodu a i bez uvedení důvodu.</w:t>
      </w:r>
    </w:p>
    <w:p w:rsidR="00187438" w:rsidRPr="002574B2" w:rsidRDefault="00187438" w:rsidP="00187438">
      <w:pPr>
        <w:widowControl w:val="0"/>
        <w:spacing w:after="60"/>
        <w:ind w:left="1145"/>
        <w:jc w:val="both"/>
        <w:rPr>
          <w:snapToGrid w:val="0"/>
          <w:sz w:val="22"/>
          <w:szCs w:val="22"/>
        </w:rPr>
      </w:pPr>
    </w:p>
    <w:p w:rsidR="00DF69D7" w:rsidRPr="002574B2" w:rsidRDefault="00DF69D7" w:rsidP="00DF69D7">
      <w:pPr>
        <w:widowControl w:val="0"/>
        <w:numPr>
          <w:ilvl w:val="0"/>
          <w:numId w:val="7"/>
        </w:numPr>
        <w:ind w:left="426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lastRenderedPageBreak/>
        <w:t>Nájemní vztah zaniká:</w:t>
      </w:r>
    </w:p>
    <w:p w:rsidR="00DF69D7" w:rsidRPr="002574B2" w:rsidRDefault="00DF69D7" w:rsidP="00DF69D7">
      <w:pPr>
        <w:widowControl w:val="0"/>
        <w:numPr>
          <w:ilvl w:val="0"/>
          <w:numId w:val="8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uplynutím výpovědní lhůty při výpovědi dané pronajímatelem nebo nájemcem,</w:t>
      </w:r>
    </w:p>
    <w:p w:rsidR="00DF69D7" w:rsidRPr="002574B2" w:rsidRDefault="00DF69D7" w:rsidP="00DF69D7">
      <w:pPr>
        <w:widowControl w:val="0"/>
        <w:numPr>
          <w:ilvl w:val="0"/>
          <w:numId w:val="8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k datu uvedenému v dohodě obou smluvních stran o zániku nájemního vztahu,</w:t>
      </w:r>
    </w:p>
    <w:p w:rsidR="00DF69D7" w:rsidRPr="002574B2" w:rsidRDefault="00DF69D7" w:rsidP="00DF69D7">
      <w:pPr>
        <w:widowControl w:val="0"/>
        <w:numPr>
          <w:ilvl w:val="0"/>
          <w:numId w:val="8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smrtí (zánikem) nájemce,</w:t>
      </w:r>
    </w:p>
    <w:p w:rsidR="00DF69D7" w:rsidRPr="00DF69D7" w:rsidRDefault="00DF69D7" w:rsidP="00DF69D7">
      <w:pPr>
        <w:widowControl w:val="0"/>
        <w:numPr>
          <w:ilvl w:val="0"/>
          <w:numId w:val="8"/>
        </w:numPr>
        <w:rPr>
          <w:snapToGrid w:val="0"/>
          <w:sz w:val="22"/>
          <w:szCs w:val="22"/>
        </w:rPr>
      </w:pPr>
      <w:r w:rsidRPr="002574B2">
        <w:rPr>
          <w:sz w:val="22"/>
          <w:szCs w:val="22"/>
        </w:rPr>
        <w:t>dnem doručení odstoupení od smlouvy dle podmínek čl. I</w:t>
      </w:r>
      <w:r>
        <w:rPr>
          <w:sz w:val="22"/>
          <w:szCs w:val="22"/>
        </w:rPr>
        <w:t>X</w:t>
      </w:r>
      <w:r w:rsidRPr="002574B2">
        <w:rPr>
          <w:sz w:val="22"/>
          <w:szCs w:val="22"/>
        </w:rPr>
        <w:t>. této smlouvy.</w:t>
      </w:r>
    </w:p>
    <w:p w:rsidR="00DF69D7" w:rsidRPr="00273332" w:rsidRDefault="00DF69D7" w:rsidP="00DF69D7">
      <w:pPr>
        <w:widowControl w:val="0"/>
        <w:ind w:left="1146"/>
        <w:rPr>
          <w:snapToGrid w:val="0"/>
          <w:sz w:val="22"/>
          <w:szCs w:val="22"/>
        </w:rPr>
      </w:pPr>
    </w:p>
    <w:p w:rsidR="002E2505" w:rsidRPr="00A17717" w:rsidRDefault="002E2505" w:rsidP="002E2505">
      <w:pPr>
        <w:numPr>
          <w:ilvl w:val="0"/>
          <w:numId w:val="7"/>
        </w:numPr>
        <w:ind w:left="426"/>
        <w:jc w:val="both"/>
        <w:rPr>
          <w:snapToGrid w:val="0"/>
          <w:sz w:val="22"/>
          <w:szCs w:val="22"/>
        </w:rPr>
      </w:pPr>
      <w:r w:rsidRPr="00A17717">
        <w:rPr>
          <w:snapToGrid w:val="0"/>
          <w:sz w:val="22"/>
          <w:szCs w:val="22"/>
        </w:rPr>
        <w:t xml:space="preserve">Smluvní strany se dohodly, že při skončení nájmu nemá nájemce právo na náhradu za převzetí zákaznické základny ve smyslu </w:t>
      </w:r>
      <w:proofErr w:type="spellStart"/>
      <w:r w:rsidRPr="00A17717">
        <w:rPr>
          <w:snapToGrid w:val="0"/>
          <w:sz w:val="22"/>
          <w:szCs w:val="22"/>
        </w:rPr>
        <w:t>ust</w:t>
      </w:r>
      <w:proofErr w:type="spellEnd"/>
      <w:r w:rsidRPr="00A17717">
        <w:rPr>
          <w:snapToGrid w:val="0"/>
          <w:sz w:val="22"/>
          <w:szCs w:val="22"/>
        </w:rPr>
        <w:t>. § 2315 občanského zákoníku.</w:t>
      </w:r>
    </w:p>
    <w:p w:rsidR="002E2505" w:rsidRPr="002574B2" w:rsidRDefault="002E2505" w:rsidP="002E2505">
      <w:pPr>
        <w:pStyle w:val="Zkladntext"/>
        <w:tabs>
          <w:tab w:val="left" w:pos="426"/>
        </w:tabs>
        <w:ind w:left="426" w:hanging="426"/>
        <w:rPr>
          <w:szCs w:val="22"/>
        </w:rPr>
      </w:pPr>
    </w:p>
    <w:p w:rsidR="002E2505" w:rsidRPr="002574B2" w:rsidRDefault="002E2505" w:rsidP="002E2505">
      <w:pPr>
        <w:pStyle w:val="Zkladntext"/>
        <w:keepNext/>
        <w:tabs>
          <w:tab w:val="left" w:pos="0"/>
        </w:tabs>
        <w:jc w:val="center"/>
        <w:rPr>
          <w:b/>
          <w:szCs w:val="22"/>
        </w:rPr>
      </w:pPr>
      <w:r>
        <w:rPr>
          <w:b/>
          <w:szCs w:val="22"/>
        </w:rPr>
        <w:t>IX</w:t>
      </w:r>
      <w:r w:rsidRPr="002574B2">
        <w:rPr>
          <w:b/>
          <w:szCs w:val="22"/>
        </w:rPr>
        <w:t>.</w:t>
      </w:r>
    </w:p>
    <w:p w:rsidR="002E2505" w:rsidRPr="002574B2" w:rsidRDefault="002E2505" w:rsidP="002E2505">
      <w:pPr>
        <w:pStyle w:val="Nadpis4"/>
        <w:spacing w:after="60"/>
        <w:jc w:val="center"/>
        <w:rPr>
          <w:szCs w:val="22"/>
        </w:rPr>
      </w:pPr>
      <w:r w:rsidRPr="002574B2">
        <w:rPr>
          <w:szCs w:val="22"/>
        </w:rPr>
        <w:t>Odstoupení od smlouvy</w:t>
      </w:r>
    </w:p>
    <w:p w:rsidR="00DF69D7" w:rsidRPr="002574B2" w:rsidRDefault="00DF69D7" w:rsidP="00DF69D7">
      <w:pPr>
        <w:widowControl w:val="0"/>
        <w:numPr>
          <w:ilvl w:val="0"/>
          <w:numId w:val="9"/>
        </w:numPr>
        <w:ind w:left="426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Pronajímatel je oprávněn okamžitě odstoupit od smlouvy:</w:t>
      </w:r>
    </w:p>
    <w:p w:rsidR="00DF69D7" w:rsidRPr="002574B2" w:rsidRDefault="00DF69D7" w:rsidP="00DF69D7">
      <w:pPr>
        <w:pStyle w:val="Zkladntextodsazen"/>
        <w:widowControl w:val="0"/>
        <w:numPr>
          <w:ilvl w:val="0"/>
          <w:numId w:val="10"/>
        </w:numPr>
        <w:snapToGrid w:val="0"/>
        <w:jc w:val="both"/>
        <w:rPr>
          <w:sz w:val="22"/>
          <w:szCs w:val="22"/>
        </w:rPr>
      </w:pPr>
      <w:r w:rsidRPr="002574B2">
        <w:rPr>
          <w:sz w:val="22"/>
          <w:szCs w:val="22"/>
        </w:rPr>
        <w:t>při neplnění podmínek stanovených v čl. III. této smlouvy,</w:t>
      </w:r>
    </w:p>
    <w:p w:rsidR="00DF69D7" w:rsidRPr="002574B2" w:rsidRDefault="00DF69D7" w:rsidP="00DF69D7">
      <w:pPr>
        <w:pStyle w:val="Zkladntextodsazen"/>
        <w:widowControl w:val="0"/>
        <w:numPr>
          <w:ilvl w:val="0"/>
          <w:numId w:val="10"/>
        </w:numPr>
        <w:snapToGrid w:val="0"/>
        <w:spacing w:after="60"/>
        <w:ind w:left="1060" w:hanging="357"/>
        <w:jc w:val="both"/>
        <w:rPr>
          <w:sz w:val="22"/>
          <w:szCs w:val="22"/>
        </w:rPr>
      </w:pPr>
      <w:r w:rsidRPr="002574B2">
        <w:rPr>
          <w:sz w:val="22"/>
          <w:szCs w:val="22"/>
        </w:rPr>
        <w:t>při neplacení nájemného v dohodnutém termínu dle čl. II. této smlouvy.</w:t>
      </w:r>
    </w:p>
    <w:p w:rsidR="002E2505" w:rsidRPr="002574B2" w:rsidRDefault="002E2505" w:rsidP="002E2505">
      <w:pPr>
        <w:numPr>
          <w:ilvl w:val="0"/>
          <w:numId w:val="11"/>
        </w:numPr>
        <w:tabs>
          <w:tab w:val="clear" w:pos="1065"/>
        </w:tabs>
        <w:ind w:left="426"/>
        <w:jc w:val="both"/>
        <w:rPr>
          <w:sz w:val="22"/>
          <w:szCs w:val="22"/>
        </w:rPr>
      </w:pPr>
      <w:r w:rsidRPr="002574B2">
        <w:rPr>
          <w:sz w:val="22"/>
          <w:szCs w:val="22"/>
        </w:rPr>
        <w:t xml:space="preserve">Nejpozději v den skončení nájmu, v případě odstoupení pak nejpozději do 15 dnů po doručení oznámení o odstoupení, předá nájemce pronajímateli pronajaté prostory řádně vyklizené. Nájemce je povinen předat prostory ve stavu v jakém je převzal s přihlédnutím k obvyklému opotřebení. O faktickém předání a převzetí pronajatých prostor bude smluvními stranami sepsán protokol o předání a převzetí, ve kterém bude uveden jejich stav. </w:t>
      </w:r>
    </w:p>
    <w:p w:rsidR="002E2505" w:rsidRPr="002574B2" w:rsidRDefault="002E2505" w:rsidP="002E2505">
      <w:pPr>
        <w:jc w:val="both"/>
        <w:rPr>
          <w:sz w:val="22"/>
          <w:szCs w:val="22"/>
        </w:rPr>
      </w:pPr>
    </w:p>
    <w:p w:rsidR="002E2505" w:rsidRPr="002574B2" w:rsidRDefault="002E2505" w:rsidP="002E2505">
      <w:pPr>
        <w:keepNext/>
        <w:jc w:val="center"/>
        <w:rPr>
          <w:b/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X.</w:t>
      </w:r>
    </w:p>
    <w:p w:rsidR="002E2505" w:rsidRPr="002574B2" w:rsidRDefault="002E2505" w:rsidP="002E2505">
      <w:pPr>
        <w:pStyle w:val="Nadpis4"/>
        <w:spacing w:after="60"/>
        <w:jc w:val="center"/>
        <w:rPr>
          <w:szCs w:val="22"/>
        </w:rPr>
      </w:pPr>
      <w:r w:rsidRPr="002574B2">
        <w:rPr>
          <w:szCs w:val="22"/>
        </w:rPr>
        <w:t>Závěrečná ustanovení</w:t>
      </w:r>
    </w:p>
    <w:p w:rsidR="002E2505" w:rsidRPr="002574B2" w:rsidRDefault="002E2505" w:rsidP="002E2505">
      <w:pPr>
        <w:numPr>
          <w:ilvl w:val="0"/>
          <w:numId w:val="5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b/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Záměr pronájmu prostor byl zveřejněn na úřední de</w:t>
      </w:r>
      <w:r>
        <w:rPr>
          <w:snapToGrid w:val="0"/>
          <w:sz w:val="22"/>
          <w:szCs w:val="22"/>
        </w:rPr>
        <w:t xml:space="preserve">sce Městského úřadu Rakovník od </w:t>
      </w:r>
      <w:r w:rsidR="00DF69D7">
        <w:rPr>
          <w:snapToGrid w:val="0"/>
          <w:sz w:val="22"/>
          <w:szCs w:val="22"/>
        </w:rPr>
        <w:t>12</w:t>
      </w:r>
      <w:r>
        <w:rPr>
          <w:snapToGrid w:val="0"/>
          <w:sz w:val="22"/>
          <w:szCs w:val="22"/>
        </w:rPr>
        <w:t xml:space="preserve">. </w:t>
      </w:r>
      <w:r w:rsidR="00DF69D7">
        <w:rPr>
          <w:snapToGrid w:val="0"/>
          <w:sz w:val="22"/>
          <w:szCs w:val="22"/>
        </w:rPr>
        <w:t>10</w:t>
      </w:r>
      <w:r>
        <w:rPr>
          <w:snapToGrid w:val="0"/>
          <w:sz w:val="22"/>
          <w:szCs w:val="22"/>
        </w:rPr>
        <w:t>. 201</w:t>
      </w:r>
      <w:r w:rsidR="00DF69D7">
        <w:rPr>
          <w:snapToGrid w:val="0"/>
          <w:sz w:val="22"/>
          <w:szCs w:val="22"/>
        </w:rPr>
        <w:t>6</w:t>
      </w:r>
      <w:r>
        <w:rPr>
          <w:snapToGrid w:val="0"/>
          <w:sz w:val="22"/>
          <w:szCs w:val="22"/>
        </w:rPr>
        <w:t xml:space="preserve"> do </w:t>
      </w:r>
      <w:r w:rsidR="00DF69D7">
        <w:rPr>
          <w:snapToGrid w:val="0"/>
          <w:sz w:val="22"/>
          <w:szCs w:val="22"/>
        </w:rPr>
        <w:t>12</w:t>
      </w:r>
      <w:r>
        <w:rPr>
          <w:snapToGrid w:val="0"/>
          <w:sz w:val="22"/>
          <w:szCs w:val="22"/>
        </w:rPr>
        <w:t xml:space="preserve">. </w:t>
      </w:r>
      <w:r w:rsidR="00DF69D7">
        <w:rPr>
          <w:snapToGrid w:val="0"/>
          <w:sz w:val="22"/>
          <w:szCs w:val="22"/>
        </w:rPr>
        <w:t>12</w:t>
      </w:r>
      <w:r>
        <w:rPr>
          <w:snapToGrid w:val="0"/>
          <w:sz w:val="22"/>
          <w:szCs w:val="22"/>
        </w:rPr>
        <w:t>. 201</w:t>
      </w:r>
      <w:r w:rsidR="00DF69D7">
        <w:rPr>
          <w:snapToGrid w:val="0"/>
          <w:sz w:val="22"/>
          <w:szCs w:val="22"/>
        </w:rPr>
        <w:t>6</w:t>
      </w:r>
      <w:r>
        <w:rPr>
          <w:snapToGrid w:val="0"/>
          <w:sz w:val="22"/>
          <w:szCs w:val="22"/>
        </w:rPr>
        <w:t xml:space="preserve"> </w:t>
      </w:r>
      <w:r w:rsidRPr="00F91B67">
        <w:rPr>
          <w:sz w:val="22"/>
          <w:szCs w:val="22"/>
        </w:rPr>
        <w:t>v souladu s </w:t>
      </w:r>
      <w:proofErr w:type="spellStart"/>
      <w:r w:rsidRPr="00F91B67">
        <w:rPr>
          <w:sz w:val="22"/>
          <w:szCs w:val="22"/>
        </w:rPr>
        <w:t>ust</w:t>
      </w:r>
      <w:proofErr w:type="spellEnd"/>
      <w:r w:rsidRPr="00F91B67">
        <w:rPr>
          <w:sz w:val="22"/>
          <w:szCs w:val="22"/>
        </w:rPr>
        <w:t xml:space="preserve">. § 39 zák. č. 128/2000 Sb., o obcích, v platném </w:t>
      </w:r>
      <w:r w:rsidRPr="006D58D2">
        <w:rPr>
          <w:sz w:val="22"/>
          <w:szCs w:val="22"/>
        </w:rPr>
        <w:t>znění</w:t>
      </w:r>
      <w:r>
        <w:rPr>
          <w:sz w:val="22"/>
          <w:szCs w:val="22"/>
        </w:rPr>
        <w:t xml:space="preserve"> a v téže době byl zveřejněn způsobem umožňující dálkový přístup na internetové stránce města v rubrice Úřední deska v sekci Prodej, pronájem, směna, výpůjčka atd. majetku.</w:t>
      </w:r>
    </w:p>
    <w:p w:rsidR="00DF69D7" w:rsidRDefault="002E2505" w:rsidP="002E2505">
      <w:pPr>
        <w:numPr>
          <w:ilvl w:val="0"/>
          <w:numId w:val="5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DF69D7">
        <w:rPr>
          <w:snapToGrid w:val="0"/>
          <w:sz w:val="22"/>
          <w:szCs w:val="22"/>
        </w:rPr>
        <w:t xml:space="preserve">Uzavření této smlouvy bylo schváleno usnesením rady města Rakovníka č. </w:t>
      </w:r>
      <w:r w:rsidR="00187438">
        <w:rPr>
          <w:snapToGrid w:val="0"/>
          <w:sz w:val="22"/>
          <w:szCs w:val="22"/>
        </w:rPr>
        <w:t>48</w:t>
      </w:r>
      <w:r w:rsidR="00DF69D7" w:rsidRPr="00DF69D7">
        <w:rPr>
          <w:snapToGrid w:val="0"/>
          <w:sz w:val="22"/>
          <w:szCs w:val="22"/>
        </w:rPr>
        <w:t>/17</w:t>
      </w:r>
      <w:r w:rsidRPr="00DF69D7">
        <w:rPr>
          <w:snapToGrid w:val="0"/>
          <w:sz w:val="22"/>
          <w:szCs w:val="22"/>
        </w:rPr>
        <w:t xml:space="preserve"> ze dne </w:t>
      </w:r>
      <w:r w:rsidR="00187438">
        <w:rPr>
          <w:snapToGrid w:val="0"/>
          <w:sz w:val="22"/>
          <w:szCs w:val="22"/>
        </w:rPr>
        <w:t>25. 1. 2017.</w:t>
      </w:r>
    </w:p>
    <w:p w:rsidR="002E2505" w:rsidRPr="00DF69D7" w:rsidRDefault="002E2505" w:rsidP="002E2505">
      <w:pPr>
        <w:numPr>
          <w:ilvl w:val="0"/>
          <w:numId w:val="5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DF69D7">
        <w:rPr>
          <w:snapToGrid w:val="0"/>
          <w:sz w:val="22"/>
          <w:szCs w:val="22"/>
        </w:rPr>
        <w:t xml:space="preserve">Není-li v této smlouvě stanoveno jinak, řídí se práva a povinnosti smluvních stran občanským zákoníkem. </w:t>
      </w:r>
    </w:p>
    <w:p w:rsidR="002E2505" w:rsidRPr="002574B2" w:rsidRDefault="002E2505" w:rsidP="002E2505">
      <w:pPr>
        <w:numPr>
          <w:ilvl w:val="0"/>
          <w:numId w:val="5"/>
        </w:numPr>
        <w:tabs>
          <w:tab w:val="clear" w:pos="720"/>
          <w:tab w:val="left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Tuto smlouvu lze změnit pouze dohodou stran ve formě písemného dodatku.</w:t>
      </w:r>
    </w:p>
    <w:p w:rsidR="00DF69D7" w:rsidRDefault="002E2505" w:rsidP="00DF69D7">
      <w:pPr>
        <w:numPr>
          <w:ilvl w:val="0"/>
          <w:numId w:val="5"/>
        </w:numPr>
        <w:tabs>
          <w:tab w:val="clear" w:pos="720"/>
          <w:tab w:val="left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Tato smlouva se vyhotovuje ve třech stejnopisech, z nichž každý má platnost originálu. Pronajímatel obdrží dva stejnopisy a nájemce jeden stejnopis.</w:t>
      </w:r>
    </w:p>
    <w:p w:rsidR="00DF69D7" w:rsidRPr="00DF69D7" w:rsidRDefault="00DF69D7" w:rsidP="00DF69D7">
      <w:pPr>
        <w:numPr>
          <w:ilvl w:val="0"/>
          <w:numId w:val="5"/>
        </w:numPr>
        <w:tabs>
          <w:tab w:val="clear" w:pos="720"/>
          <w:tab w:val="left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DF69D7">
        <w:rPr>
          <w:sz w:val="22"/>
          <w:szCs w:val="22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</w:t>
      </w:r>
      <w:r>
        <w:rPr>
          <w:sz w:val="22"/>
          <w:szCs w:val="22"/>
        </w:rPr>
        <w:t xml:space="preserve">13. 9. 2017 po </w:t>
      </w:r>
      <w:r w:rsidRPr="00DF69D7">
        <w:rPr>
          <w:sz w:val="22"/>
          <w:szCs w:val="22"/>
        </w:rPr>
        <w:t>její</w:t>
      </w:r>
      <w:r>
        <w:rPr>
          <w:sz w:val="22"/>
          <w:szCs w:val="22"/>
        </w:rPr>
        <w:t>m předchozím</w:t>
      </w:r>
      <w:r w:rsidRPr="00DF69D7">
        <w:rPr>
          <w:sz w:val="22"/>
          <w:szCs w:val="22"/>
        </w:rPr>
        <w:t xml:space="preserve"> zveřejnění v registru smluv. Zveřejnění této smlouvy v registru smluv zajistí </w:t>
      </w:r>
      <w:r>
        <w:rPr>
          <w:sz w:val="22"/>
          <w:szCs w:val="22"/>
        </w:rPr>
        <w:t>pronajímatel</w:t>
      </w:r>
      <w:r w:rsidRPr="00DF69D7">
        <w:rPr>
          <w:sz w:val="22"/>
          <w:szCs w:val="22"/>
        </w:rPr>
        <w:t>. Smluvní strany prohlašují, že výslovně souhlasí se zveřejněním smlouvy v plném rozsahu.   </w:t>
      </w:r>
    </w:p>
    <w:p w:rsidR="002E2505" w:rsidRPr="002574B2" w:rsidRDefault="002E2505" w:rsidP="002E2505">
      <w:pPr>
        <w:numPr>
          <w:ilvl w:val="0"/>
          <w:numId w:val="5"/>
        </w:numPr>
        <w:tabs>
          <w:tab w:val="clear" w:pos="720"/>
          <w:tab w:val="left" w:pos="540"/>
        </w:tabs>
        <w:spacing w:after="60"/>
        <w:ind w:left="540" w:hanging="540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Smluvní strany prohlašují, že se seznámily s obsahem smlouvy a že tato smlouva byla sepsána dle jejich pravé a svobodné vůle a nikoliv v tísni, či za nápadně nevýhodných podmínek a na důkaz toho připojují své podpisy. </w:t>
      </w:r>
    </w:p>
    <w:p w:rsidR="002E2505" w:rsidRPr="002574B2" w:rsidRDefault="002E2505" w:rsidP="002E2505">
      <w:pPr>
        <w:spacing w:after="60"/>
        <w:jc w:val="both"/>
        <w:rPr>
          <w:snapToGrid w:val="0"/>
          <w:sz w:val="22"/>
          <w:szCs w:val="22"/>
        </w:rPr>
      </w:pPr>
    </w:p>
    <w:p w:rsidR="002E2505" w:rsidRPr="002574B2" w:rsidRDefault="002E2505" w:rsidP="002E2505">
      <w:pPr>
        <w:tabs>
          <w:tab w:val="center" w:pos="1979"/>
          <w:tab w:val="center" w:pos="7938"/>
        </w:tabs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V Rakovníku </w:t>
      </w:r>
      <w:proofErr w:type="gramStart"/>
      <w:r w:rsidRPr="002574B2">
        <w:rPr>
          <w:snapToGrid w:val="0"/>
          <w:sz w:val="22"/>
          <w:szCs w:val="22"/>
        </w:rPr>
        <w:t>dne .................................</w:t>
      </w:r>
      <w:r w:rsidRPr="002574B2">
        <w:rPr>
          <w:snapToGrid w:val="0"/>
          <w:sz w:val="22"/>
          <w:szCs w:val="22"/>
        </w:rPr>
        <w:tab/>
        <w:t>V Rakovníku</w:t>
      </w:r>
      <w:proofErr w:type="gramEnd"/>
      <w:r w:rsidRPr="002574B2">
        <w:rPr>
          <w:snapToGrid w:val="0"/>
          <w:sz w:val="22"/>
          <w:szCs w:val="22"/>
        </w:rPr>
        <w:t xml:space="preserve"> dne ..............................</w:t>
      </w:r>
    </w:p>
    <w:p w:rsidR="002E2505" w:rsidRPr="002574B2" w:rsidRDefault="002E2505" w:rsidP="002E2505">
      <w:pPr>
        <w:jc w:val="both"/>
        <w:rPr>
          <w:snapToGrid w:val="0"/>
          <w:sz w:val="22"/>
          <w:szCs w:val="22"/>
        </w:rPr>
      </w:pPr>
    </w:p>
    <w:p w:rsidR="002E2505" w:rsidRPr="002574B2" w:rsidRDefault="002E2505" w:rsidP="002E2505">
      <w:pPr>
        <w:jc w:val="both"/>
        <w:rPr>
          <w:snapToGrid w:val="0"/>
          <w:sz w:val="22"/>
          <w:szCs w:val="22"/>
        </w:rPr>
      </w:pPr>
    </w:p>
    <w:p w:rsidR="002E2505" w:rsidRPr="002574B2" w:rsidRDefault="002E2505" w:rsidP="002E2505">
      <w:pPr>
        <w:jc w:val="both"/>
        <w:rPr>
          <w:snapToGrid w:val="0"/>
          <w:sz w:val="22"/>
          <w:szCs w:val="22"/>
        </w:rPr>
      </w:pPr>
    </w:p>
    <w:p w:rsidR="002E2505" w:rsidRPr="002574B2" w:rsidRDefault="002E2505" w:rsidP="002E2505">
      <w:pPr>
        <w:jc w:val="both"/>
        <w:rPr>
          <w:snapToGrid w:val="0"/>
          <w:sz w:val="22"/>
          <w:szCs w:val="22"/>
        </w:rPr>
      </w:pPr>
    </w:p>
    <w:p w:rsidR="002E2505" w:rsidRPr="002574B2" w:rsidRDefault="002E2505" w:rsidP="002E2505">
      <w:pPr>
        <w:tabs>
          <w:tab w:val="center" w:pos="1980"/>
          <w:tab w:val="center" w:pos="7938"/>
        </w:tabs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ab/>
        <w:t>………………………………………</w:t>
      </w:r>
      <w:r w:rsidRPr="002574B2">
        <w:rPr>
          <w:snapToGrid w:val="0"/>
          <w:sz w:val="22"/>
          <w:szCs w:val="22"/>
        </w:rPr>
        <w:tab/>
        <w:t>..…………………………………..</w:t>
      </w:r>
    </w:p>
    <w:p w:rsidR="002E2505" w:rsidRPr="002574B2" w:rsidRDefault="002E2505" w:rsidP="002E2505">
      <w:pPr>
        <w:tabs>
          <w:tab w:val="center" w:pos="1980"/>
          <w:tab w:val="center" w:pos="7938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JUDr. Pavel Jenšovský</w:t>
      </w:r>
      <w:r w:rsidRPr="002574B2">
        <w:rPr>
          <w:snapToGrid w:val="0"/>
          <w:sz w:val="22"/>
          <w:szCs w:val="22"/>
        </w:rPr>
        <w:tab/>
      </w:r>
      <w:r w:rsidR="00612BBF">
        <w:rPr>
          <w:snapToGrid w:val="0"/>
          <w:sz w:val="22"/>
          <w:szCs w:val="22"/>
        </w:rPr>
        <w:t xml:space="preserve">Antonín </w:t>
      </w:r>
      <w:proofErr w:type="spellStart"/>
      <w:r w:rsidR="00612BBF">
        <w:rPr>
          <w:snapToGrid w:val="0"/>
          <w:sz w:val="22"/>
          <w:szCs w:val="22"/>
        </w:rPr>
        <w:t>Dalla</w:t>
      </w:r>
      <w:proofErr w:type="spellEnd"/>
      <w:r w:rsidR="00612BBF">
        <w:rPr>
          <w:snapToGrid w:val="0"/>
          <w:sz w:val="22"/>
          <w:szCs w:val="22"/>
        </w:rPr>
        <w:t xml:space="preserve"> </w:t>
      </w:r>
      <w:proofErr w:type="spellStart"/>
      <w:r w:rsidR="00612BBF">
        <w:rPr>
          <w:snapToGrid w:val="0"/>
          <w:sz w:val="22"/>
          <w:szCs w:val="22"/>
        </w:rPr>
        <w:t>Valle</w:t>
      </w:r>
      <w:proofErr w:type="spellEnd"/>
    </w:p>
    <w:p w:rsidR="002E2505" w:rsidRDefault="002E2505" w:rsidP="002E2505">
      <w:pPr>
        <w:tabs>
          <w:tab w:val="center" w:pos="1980"/>
          <w:tab w:val="center" w:pos="7938"/>
        </w:tabs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ab/>
        <w:t>starosta</w:t>
      </w:r>
      <w:r w:rsidRPr="002574B2">
        <w:rPr>
          <w:snapToGrid w:val="0"/>
          <w:sz w:val="22"/>
          <w:szCs w:val="22"/>
        </w:rPr>
        <w:tab/>
      </w:r>
    </w:p>
    <w:p w:rsidR="002E2505" w:rsidRDefault="002E2505" w:rsidP="002E2505">
      <w:pPr>
        <w:tabs>
          <w:tab w:val="center" w:pos="1980"/>
          <w:tab w:val="center" w:pos="7938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Město Rakovník</w:t>
      </w:r>
      <w:r>
        <w:rPr>
          <w:snapToGrid w:val="0"/>
          <w:sz w:val="22"/>
          <w:szCs w:val="22"/>
        </w:rPr>
        <w:tab/>
        <w:t xml:space="preserve"> </w:t>
      </w:r>
    </w:p>
    <w:p w:rsidR="002E2505" w:rsidRDefault="002E2505" w:rsidP="002E2505">
      <w:pPr>
        <w:tabs>
          <w:tab w:val="center" w:pos="1980"/>
          <w:tab w:val="center" w:pos="7938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</w:p>
    <w:p w:rsidR="002E2505" w:rsidRDefault="002E2505" w:rsidP="002E2505">
      <w:pPr>
        <w:rPr>
          <w:snapToGrid w:val="0"/>
          <w:sz w:val="22"/>
          <w:szCs w:val="22"/>
        </w:rPr>
      </w:pPr>
    </w:p>
    <w:p w:rsidR="002E2505" w:rsidRDefault="002E2505" w:rsidP="002E2505">
      <w:pPr>
        <w:rPr>
          <w:snapToGrid w:val="0"/>
          <w:sz w:val="22"/>
          <w:szCs w:val="22"/>
        </w:rPr>
        <w:sectPr w:rsidR="002E2505" w:rsidSect="00552874">
          <w:headerReference w:type="default" r:id="rId9"/>
          <w:footerReference w:type="default" r:id="rId10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  <w:bookmarkStart w:id="0" w:name="_GoBack"/>
      <w:bookmarkEnd w:id="0"/>
    </w:p>
    <w:p w:rsidR="002E2505" w:rsidRDefault="002E2505" w:rsidP="002E2505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lastRenderedPageBreak/>
        <w:t>Příloha č. 1</w:t>
      </w:r>
    </w:p>
    <w:p w:rsidR="005020F6" w:rsidRDefault="00B173D4">
      <w:r>
        <w:rPr>
          <w:b/>
          <w:noProof/>
        </w:rPr>
        <w:drawing>
          <wp:inline distT="0" distB="0" distL="0" distR="0">
            <wp:extent cx="9279172" cy="5923114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72" cy="59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0F6" w:rsidSect="00006638">
      <w:pgSz w:w="16838" w:h="11906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05" w:rsidRDefault="002E2505" w:rsidP="002E2505">
      <w:r>
        <w:separator/>
      </w:r>
    </w:p>
  </w:endnote>
  <w:endnote w:type="continuationSeparator" w:id="0">
    <w:p w:rsidR="002E2505" w:rsidRDefault="002E2505" w:rsidP="002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66517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2874" w:rsidRDefault="002E250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3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743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874" w:rsidRDefault="00016A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05" w:rsidRDefault="002E2505" w:rsidP="002E2505">
      <w:r>
        <w:separator/>
      </w:r>
    </w:p>
  </w:footnote>
  <w:footnote w:type="continuationSeparator" w:id="0">
    <w:p w:rsidR="002E2505" w:rsidRDefault="002E2505" w:rsidP="002E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874" w:rsidRDefault="002E2505" w:rsidP="00552874">
    <w:pPr>
      <w:pStyle w:val="Zhlav"/>
      <w:jc w:val="right"/>
    </w:pPr>
    <w:r>
      <w:t>OSM-K/</w:t>
    </w:r>
    <w:r w:rsidR="00D61AFB">
      <w:t>0024/2017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C19"/>
    <w:multiLevelType w:val="hybridMultilevel"/>
    <w:tmpl w:val="1B68C6B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44942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B66B5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5CB2213"/>
    <w:multiLevelType w:val="hybridMultilevel"/>
    <w:tmpl w:val="BE9E4A22"/>
    <w:lvl w:ilvl="0" w:tplc="F07EBCD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1659"/>
    <w:multiLevelType w:val="hybridMultilevel"/>
    <w:tmpl w:val="CE529812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4753FD"/>
    <w:multiLevelType w:val="hybridMultilevel"/>
    <w:tmpl w:val="CE529812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881C34"/>
    <w:multiLevelType w:val="hybridMultilevel"/>
    <w:tmpl w:val="815E667C"/>
    <w:lvl w:ilvl="0" w:tplc="8D9298C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863347"/>
    <w:multiLevelType w:val="hybridMultilevel"/>
    <w:tmpl w:val="BB509F1E"/>
    <w:lvl w:ilvl="0" w:tplc="6E8EA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07EBCD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26A6334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3663647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95668"/>
    <w:multiLevelType w:val="hybridMultilevel"/>
    <w:tmpl w:val="CF709746"/>
    <w:lvl w:ilvl="0" w:tplc="C6E01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2C3D32"/>
    <w:multiLevelType w:val="hybridMultilevel"/>
    <w:tmpl w:val="BCA22E22"/>
    <w:lvl w:ilvl="0" w:tplc="AD0E78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F40CD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7766B"/>
    <w:multiLevelType w:val="hybridMultilevel"/>
    <w:tmpl w:val="E630662A"/>
    <w:lvl w:ilvl="0" w:tplc="BAFCE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810DA"/>
    <w:multiLevelType w:val="hybridMultilevel"/>
    <w:tmpl w:val="2FF8930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7"/>
  </w:num>
  <w:num w:numId="5">
    <w:abstractNumId w:val="3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05"/>
    <w:rsid w:val="00016AA4"/>
    <w:rsid w:val="00053EA6"/>
    <w:rsid w:val="001849C1"/>
    <w:rsid w:val="00187438"/>
    <w:rsid w:val="001D4DE7"/>
    <w:rsid w:val="002E2505"/>
    <w:rsid w:val="002E3AC2"/>
    <w:rsid w:val="0032694C"/>
    <w:rsid w:val="003A6A47"/>
    <w:rsid w:val="005020F6"/>
    <w:rsid w:val="00582851"/>
    <w:rsid w:val="005B5332"/>
    <w:rsid w:val="00612BBF"/>
    <w:rsid w:val="006B3C31"/>
    <w:rsid w:val="006C0C80"/>
    <w:rsid w:val="006D21DE"/>
    <w:rsid w:val="007E5689"/>
    <w:rsid w:val="0087294F"/>
    <w:rsid w:val="009546A9"/>
    <w:rsid w:val="00A04B4C"/>
    <w:rsid w:val="00B173D4"/>
    <w:rsid w:val="00B56B8E"/>
    <w:rsid w:val="00B91357"/>
    <w:rsid w:val="00D61AFB"/>
    <w:rsid w:val="00DD5E21"/>
    <w:rsid w:val="00DF69D7"/>
    <w:rsid w:val="00EE63C4"/>
    <w:rsid w:val="00F6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2505"/>
    <w:pPr>
      <w:keepNext/>
      <w:ind w:firstLine="1"/>
      <w:jc w:val="both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2E2505"/>
    <w:pPr>
      <w:keepNext/>
      <w:jc w:val="both"/>
      <w:outlineLvl w:val="3"/>
    </w:pPr>
    <w:rPr>
      <w:b/>
      <w:sz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2E2505"/>
    <w:pPr>
      <w:keepNext/>
      <w:jc w:val="both"/>
      <w:outlineLvl w:val="5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E250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E2505"/>
    <w:rPr>
      <w:rFonts w:ascii="Times New Roman" w:eastAsia="Times New Roman" w:hAnsi="Times New Roman" w:cs="Times New Roman"/>
      <w:b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2E2505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E250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E250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E2505"/>
    <w:pPr>
      <w:ind w:left="5670" w:hanging="6"/>
    </w:pPr>
  </w:style>
  <w:style w:type="character" w:customStyle="1" w:styleId="ZkladntextodsazenChar">
    <w:name w:val="Základní text odsazený Char"/>
    <w:basedOn w:val="Standardnpsmoodstavce"/>
    <w:link w:val="Zkladntextodsazen"/>
    <w:rsid w:val="002E25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25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5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25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5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50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2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2505"/>
    <w:pPr>
      <w:keepNext/>
      <w:ind w:firstLine="1"/>
      <w:jc w:val="both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2E2505"/>
    <w:pPr>
      <w:keepNext/>
      <w:jc w:val="both"/>
      <w:outlineLvl w:val="3"/>
    </w:pPr>
    <w:rPr>
      <w:b/>
      <w:sz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2E2505"/>
    <w:pPr>
      <w:keepNext/>
      <w:jc w:val="both"/>
      <w:outlineLvl w:val="5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E250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E2505"/>
    <w:rPr>
      <w:rFonts w:ascii="Times New Roman" w:eastAsia="Times New Roman" w:hAnsi="Times New Roman" w:cs="Times New Roman"/>
      <w:b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2E2505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E250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2E250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E2505"/>
    <w:pPr>
      <w:ind w:left="5670" w:hanging="6"/>
    </w:pPr>
  </w:style>
  <w:style w:type="character" w:customStyle="1" w:styleId="ZkladntextodsazenChar">
    <w:name w:val="Základní text odsazený Char"/>
    <w:basedOn w:val="Standardnpsmoodstavce"/>
    <w:link w:val="Zkladntextodsazen"/>
    <w:rsid w:val="002E25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25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25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25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5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25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5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5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9075-D999-4E1B-B2E3-D93249B1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1913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6</cp:revision>
  <cp:lastPrinted>2017-02-06T10:05:00Z</cp:lastPrinted>
  <dcterms:created xsi:type="dcterms:W3CDTF">2016-12-14T10:30:00Z</dcterms:created>
  <dcterms:modified xsi:type="dcterms:W3CDTF">2017-02-06T10:07:00Z</dcterms:modified>
</cp:coreProperties>
</file>