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2"/>
        <w:gridCol w:w="3463"/>
        <w:gridCol w:w="1303"/>
        <w:gridCol w:w="3449"/>
        <w:gridCol w:w="3266"/>
        <w:gridCol w:w="2045"/>
      </w:tblGrid>
      <w:tr w:rsidR="00AA1BCB" w:rsidRPr="00AA1BCB" w:rsidTr="00AA1BCB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Příloha číslo 1 ke smlouvě o dílo číslo EC - 401/2017</w:t>
            </w:r>
          </w:p>
        </w:tc>
      </w:tr>
      <w:tr w:rsidR="00AA1BCB" w:rsidRPr="00AA1BCB" w:rsidTr="00AA1BCB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I.</w:t>
            </w: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tarif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II.</w:t>
            </w: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paušál Kč/</w:t>
            </w:r>
            <w:proofErr w:type="spellStart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měs</w:t>
            </w:r>
            <w:proofErr w:type="spellEnd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III.</w:t>
            </w: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počet hodin v paušálu</w:t>
            </w:r>
          </w:p>
        </w:tc>
        <w:tc>
          <w:tcPr>
            <w:tcW w:w="2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IV.</w:t>
            </w: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cena 1 hodiny práce nad rámec paušálu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V.</w:t>
            </w: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Cestovní náklady obsažené v paušálu</w:t>
            </w:r>
          </w:p>
        </w:tc>
      </w:tr>
      <w:tr w:rsidR="00AA1BCB" w:rsidRPr="00AA1BCB" w:rsidTr="00AA1BCB">
        <w:trPr>
          <w:trHeight w:val="64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7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A1BCB" w:rsidRPr="00AA1BCB" w:rsidTr="00AA1BCB">
        <w:trPr>
          <w:trHeight w:val="40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112" w:type="pct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20.872,50 Kč s </w:t>
            </w:r>
            <w:proofErr w:type="gramStart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DPH ( 17.250,</w:t>
            </w:r>
            <w:proofErr w:type="gramEnd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- Kč bez DPH)</w:t>
            </w:r>
          </w:p>
        </w:tc>
        <w:tc>
          <w:tcPr>
            <w:tcW w:w="449" w:type="pct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15 hodin</w:t>
            </w: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pracovní době                                                      </w:t>
            </w:r>
          </w:p>
        </w:tc>
        <w:tc>
          <w:tcPr>
            <w:tcW w:w="106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1.391,50 Kč s </w:t>
            </w:r>
            <w:proofErr w:type="gramStart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DPH ( 1.150,</w:t>
            </w:r>
            <w:proofErr w:type="gramEnd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- Kč bez DPH)</w:t>
            </w:r>
          </w:p>
        </w:tc>
        <w:tc>
          <w:tcPr>
            <w:tcW w:w="708" w:type="pct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lang w:eastAsia="cs-CZ"/>
              </w:rPr>
              <w:t xml:space="preserve">první 2 </w:t>
            </w: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cesty v kalendářním měsíci na servisní zásah v jakémkoli pracovišti odběratele *)</w:t>
            </w:r>
          </w:p>
        </w:tc>
      </w:tr>
      <w:tr w:rsidR="00AA1BCB" w:rsidRPr="00AA1BCB" w:rsidTr="00AA1BCB">
        <w:trPr>
          <w:trHeight w:val="40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 pracovní době                                                    </w:t>
            </w:r>
          </w:p>
        </w:tc>
        <w:tc>
          <w:tcPr>
            <w:tcW w:w="106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2.087,25 Kč s DPH (1.725,- Kč bez DPH)</w:t>
            </w:r>
          </w:p>
        </w:tc>
        <w:tc>
          <w:tcPr>
            <w:tcW w:w="708" w:type="pct"/>
            <w:vMerge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40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 dnech pracovního volna a o svátcích        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2.087,25 Kč s DPH (1.725,- Kč bez DPH)</w:t>
            </w:r>
          </w:p>
        </w:tc>
        <w:tc>
          <w:tcPr>
            <w:tcW w:w="708" w:type="pct"/>
            <w:vMerge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7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40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112" w:type="pct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26.620,- Kč s </w:t>
            </w:r>
            <w:proofErr w:type="gramStart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DPH ( 22.000,</w:t>
            </w:r>
            <w:proofErr w:type="gramEnd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- Kč bez DPH)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20 hodin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pracovní době                                                       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1.331,- Kč s </w:t>
            </w:r>
            <w:proofErr w:type="gramStart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DPH ( 1.100,</w:t>
            </w:r>
            <w:proofErr w:type="gramEnd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- Kč bez DPH)</w:t>
            </w:r>
          </w:p>
        </w:tc>
        <w:tc>
          <w:tcPr>
            <w:tcW w:w="70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lang w:eastAsia="cs-CZ"/>
              </w:rPr>
              <w:t xml:space="preserve">první </w:t>
            </w: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3 cesty v kalendářním měsíci na servisní zásah v jakémkoli pracovišti odběratele *)</w:t>
            </w:r>
          </w:p>
        </w:tc>
      </w:tr>
      <w:tr w:rsidR="00AA1BCB" w:rsidRPr="00AA1BCB" w:rsidTr="00AA1BCB">
        <w:trPr>
          <w:trHeight w:val="40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 pracovní době                                                    </w:t>
            </w:r>
          </w:p>
        </w:tc>
        <w:tc>
          <w:tcPr>
            <w:tcW w:w="106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1.996,50 Kč s DPH (1.650,- Kč bez DPH)</w:t>
            </w:r>
          </w:p>
        </w:tc>
        <w:tc>
          <w:tcPr>
            <w:tcW w:w="70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40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 dnech pracovního volna a o svátcích        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1.996,50 Kč s DPH (1.650,- Kč bez DPH)</w:t>
            </w:r>
          </w:p>
        </w:tc>
        <w:tc>
          <w:tcPr>
            <w:tcW w:w="70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40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112" w:type="pct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32.670,- Kč s </w:t>
            </w:r>
            <w:proofErr w:type="gramStart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DPH ( 27.000,</w:t>
            </w:r>
            <w:proofErr w:type="gramEnd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- Kč bez DPH)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30 hodin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pracovní době                                                       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1.089,- Kč s </w:t>
            </w:r>
            <w:proofErr w:type="gramStart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DPH ( 900,</w:t>
            </w:r>
            <w:proofErr w:type="gramEnd"/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- Kč bez DPH)</w:t>
            </w:r>
          </w:p>
        </w:tc>
        <w:tc>
          <w:tcPr>
            <w:tcW w:w="70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lang w:eastAsia="cs-CZ"/>
              </w:rPr>
              <w:t>první</w:t>
            </w:r>
            <w:r w:rsidRPr="00AA1BCB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 xml:space="preserve"> </w:t>
            </w:r>
            <w:r w:rsidRPr="00AA1BCB">
              <w:rPr>
                <w:rFonts w:ascii="Calibri" w:eastAsia="Times New Roman" w:hAnsi="Calibri" w:cs="Times New Roman"/>
                <w:lang w:eastAsia="cs-CZ"/>
              </w:rPr>
              <w:t>4 cesty v kalendářním měsíci na servisní zásah v jakémkoli pracovišti odběratele *)</w:t>
            </w:r>
          </w:p>
        </w:tc>
      </w:tr>
      <w:tr w:rsidR="00AA1BCB" w:rsidRPr="00AA1BCB" w:rsidTr="00AA1BCB">
        <w:trPr>
          <w:trHeight w:val="40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 pracovní době                                                    </w:t>
            </w:r>
          </w:p>
        </w:tc>
        <w:tc>
          <w:tcPr>
            <w:tcW w:w="106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1.633,50 Kč s DPH (1.350,- Kč bez DPH)</w:t>
            </w:r>
          </w:p>
        </w:tc>
        <w:tc>
          <w:tcPr>
            <w:tcW w:w="70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A1BCB" w:rsidRPr="00AA1BCB" w:rsidTr="00AA1BCB">
        <w:trPr>
          <w:trHeight w:val="40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 dnech pracovního volna a o svátcích        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1.633,50 Kč s DPH (1.350,- Kč bez DPH)</w:t>
            </w:r>
          </w:p>
        </w:tc>
        <w:tc>
          <w:tcPr>
            <w:tcW w:w="70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A1BCB" w:rsidRPr="00AA1BCB" w:rsidTr="00AA1BCB">
        <w:trPr>
          <w:trHeight w:val="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31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2" w:type="pct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2D050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NABÍDKOVÁ CENA s DPH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2D050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36 481,50 Kč</w:t>
            </w:r>
          </w:p>
        </w:tc>
        <w:tc>
          <w:tcPr>
            <w:tcW w:w="2972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Tato cena je kalkulována v souladu se zadávací dokumentací za tarif "C", (paušál 30 hodin, z toho je uvažováno 23 hodin prací v pracovní době, 4 hodiny prací v rozmezí 16:30 až 20:00 hodin v pracovní den a 3 hodiny práce v sobotu, kde práce budou provedeny na uvedených </w:t>
            </w: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místech vzdáleně, 2 x Praha, 1 x Karlovy Vary a 1 x Šumperk.</w:t>
            </w:r>
          </w:p>
        </w:tc>
      </w:tr>
      <w:tr w:rsidR="00AA1BCB" w:rsidRPr="00AA1BCB" w:rsidTr="00AA1BCB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vMerge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2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NABÍDKOVÁ CENA bez DPH</w:t>
            </w:r>
          </w:p>
        </w:tc>
        <w:tc>
          <w:tcPr>
            <w:tcW w:w="449" w:type="pct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30 150,00 Kč</w:t>
            </w:r>
          </w:p>
        </w:tc>
        <w:tc>
          <w:tcPr>
            <w:tcW w:w="2972" w:type="pct"/>
            <w:gridSpan w:val="3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31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2" w:type="pct"/>
            <w:gridSpan w:val="3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Poznámka: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1BCB" w:rsidRPr="00AA1BCB" w:rsidTr="00AA1BCB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CB" w:rsidRPr="00AA1BCB" w:rsidRDefault="00AA1BCB" w:rsidP="00AA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1BCB">
              <w:rPr>
                <w:rFonts w:ascii="Calibri" w:eastAsia="Times New Roman" w:hAnsi="Calibri" w:cs="Times New Roman"/>
                <w:color w:val="000000"/>
                <w:lang w:eastAsia="cs-CZ"/>
              </w:rPr>
              <w:t>*) Pokud dojde k vyčerpání počtu výjezdů vybraného tarifu dle sloupce V. v uvedené tabulce, budou se odběrateli účtovat navíc cestovní náklady ve výši 10 Kč/km.</w:t>
            </w:r>
          </w:p>
        </w:tc>
      </w:tr>
    </w:tbl>
    <w:p w:rsidR="006A041D" w:rsidRDefault="006A041D"/>
    <w:sectPr w:rsidR="006A041D" w:rsidSect="00AA1B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CB"/>
    <w:rsid w:val="006A041D"/>
    <w:rsid w:val="00A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Menhartová</dc:creator>
  <cp:lastModifiedBy>Kristýna Menhartová</cp:lastModifiedBy>
  <cp:revision>1</cp:revision>
  <dcterms:created xsi:type="dcterms:W3CDTF">2017-03-08T10:11:00Z</dcterms:created>
  <dcterms:modified xsi:type="dcterms:W3CDTF">2017-03-08T10:13:00Z</dcterms:modified>
</cp:coreProperties>
</file>