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rsidR="00F97199" w:rsidRDefault="00F97199">
      <w:pPr>
        <w:spacing w:after="0" w:line="240" w:lineRule="auto"/>
        <w:rPr>
          <w:rFonts w:ascii="Book Antiqua" w:eastAsia="Book Antiqua" w:hAnsi="Book Antiqua" w:cs="Book Antiqua"/>
          <w:b/>
          <w:sz w:val="20"/>
        </w:rPr>
      </w:pPr>
    </w:p>
    <w:p w:rsidR="00F97199" w:rsidRDefault="00F97199">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rsidR="00F97199" w:rsidRDefault="00F97199">
      <w:pPr>
        <w:spacing w:after="0" w:line="240" w:lineRule="auto"/>
        <w:jc w:val="both"/>
        <w:rPr>
          <w:rFonts w:ascii="Book Antiqua" w:eastAsia="Book Antiqua" w:hAnsi="Book Antiqua" w:cs="Book Antiqua"/>
          <w:sz w:val="20"/>
        </w:rPr>
      </w:pPr>
    </w:p>
    <w:p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rsidR="00E52DE3" w:rsidRDefault="00E52DE3">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ind w:left="720"/>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rsidR="00E52DE3" w:rsidRDefault="00E52DE3">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w:t>
      </w:r>
      <w:r w:rsidR="00B37225">
        <w:rPr>
          <w:rFonts w:ascii="Book Antiqua" w:eastAsia="Book Antiqua" w:hAnsi="Book Antiqua" w:cs="Book Antiqua"/>
          <w:sz w:val="20"/>
        </w:rPr>
        <w:t>,</w:t>
      </w:r>
      <w:r w:rsidR="005F0BC0">
        <w:rPr>
          <w:rFonts w:ascii="Book Antiqua" w:eastAsia="Book Antiqua" w:hAnsi="Book Antiqua" w:cs="Book Antiqua"/>
          <w:sz w:val="20"/>
        </w:rPr>
        <w:t xml:space="preserve"> vyjma Věcného břemene služebnosti oprav a údržby zřizováním provozu, údržby a úprav podzemního vedení telekomunikační sítě (GP 191-525/2001), pro GTS Ctech s.r.o., se sídlem Přemyslovská 2845/43, Praha 3, Žižkov, 130 00, IČ:28492170, společnost OPTILINE a.s., se sídlem Mlýnská 22/4, Praha 6 Bubeneč, 160 00, IČ:26270412, společnost </w:t>
      </w:r>
      <w:proofErr w:type="spellStart"/>
      <w:r w:rsidR="005F0BC0">
        <w:rPr>
          <w:rFonts w:ascii="Book Antiqua" w:eastAsia="Book Antiqua" w:hAnsi="Book Antiqua" w:cs="Book Antiqua"/>
          <w:sz w:val="20"/>
        </w:rPr>
        <w:t>SUPTel</w:t>
      </w:r>
      <w:proofErr w:type="spellEnd"/>
      <w:r w:rsidR="005F0BC0">
        <w:rPr>
          <w:rFonts w:ascii="Book Antiqua" w:eastAsia="Book Antiqua" w:hAnsi="Book Antiqua" w:cs="Book Antiqua"/>
          <w:sz w:val="20"/>
        </w:rPr>
        <w:t xml:space="preserve"> a.s., se sídlem Hřbitovní 1322/15, Plzeň Doubravka, 312 00, IČ:25229397 a společnost Telia </w:t>
      </w:r>
      <w:proofErr w:type="spellStart"/>
      <w:r w:rsidR="005F0BC0">
        <w:rPr>
          <w:rFonts w:ascii="Book Antiqua" w:eastAsia="Book Antiqua" w:hAnsi="Book Antiqua" w:cs="Book Antiqua"/>
          <w:sz w:val="20"/>
        </w:rPr>
        <w:t>Carrier</w:t>
      </w:r>
      <w:proofErr w:type="spellEnd"/>
      <w:r w:rsidR="005F0BC0">
        <w:rPr>
          <w:rFonts w:ascii="Book Antiqua" w:eastAsia="Book Antiqua" w:hAnsi="Book Antiqua" w:cs="Book Antiqua"/>
          <w:sz w:val="20"/>
        </w:rPr>
        <w:t xml:space="preserve"> Czech Republic a.s., se sídlem u nákladového nádraží 3265/10, Praha 3, 130 00, IČ:26207842, dle Smlouvy o zřízení věcného břemene ze dne 17.12.2003, zapsaného v katastru nemovitostí na LV č. 44 pod </w:t>
      </w:r>
      <w:proofErr w:type="gramStart"/>
      <w:r w:rsidR="005F0BC0">
        <w:rPr>
          <w:rFonts w:ascii="Book Antiqua" w:eastAsia="Book Antiqua" w:hAnsi="Book Antiqua" w:cs="Book Antiqua"/>
          <w:sz w:val="20"/>
        </w:rPr>
        <w:t>č.j.</w:t>
      </w:r>
      <w:proofErr w:type="gramEnd"/>
      <w:r w:rsidR="005F0BC0">
        <w:rPr>
          <w:rFonts w:ascii="Book Antiqua" w:eastAsia="Book Antiqua" w:hAnsi="Book Antiqua" w:cs="Book Antiqua"/>
          <w:sz w:val="20"/>
        </w:rPr>
        <w:t xml:space="preserve"> V-144/2004-509. Uvedená závada bude nemovitou věc (parcely č. 78 a č. 96/3) zatěžovat nadále, bez ohledu na zpeněžení nemovité věci v dražbě.</w:t>
      </w:r>
      <w:r w:rsidR="00E77EBD">
        <w:rPr>
          <w:rFonts w:ascii="Book Antiqua" w:eastAsia="Book Antiqua" w:hAnsi="Book Antiqua" w:cs="Book Antiqua"/>
          <w:sz w:val="20"/>
        </w:rPr>
        <w:t xml:space="preserve">  </w:t>
      </w:r>
    </w:p>
    <w:p w:rsidR="00F97199" w:rsidRDefault="00F97199">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rsidR="00E52DE3" w:rsidRDefault="00E52DE3">
      <w:pPr>
        <w:spacing w:after="0" w:line="240" w:lineRule="auto"/>
        <w:jc w:val="center"/>
        <w:rPr>
          <w:rFonts w:ascii="Book Antiqua" w:eastAsia="Book Antiqua" w:hAnsi="Book Antiqua" w:cs="Book Antiqua"/>
          <w:b/>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provede pro navrhovatele </w:t>
      </w:r>
      <w:r w:rsidR="00964352">
        <w:rPr>
          <w:rFonts w:ascii="Book Antiqua" w:eastAsia="Book Antiqua" w:hAnsi="Book Antiqua" w:cs="Book Antiqua"/>
          <w:sz w:val="20"/>
        </w:rPr>
        <w:t xml:space="preserve">dobrovolnou </w:t>
      </w:r>
      <w:r>
        <w:rPr>
          <w:rFonts w:ascii="Book Antiqua" w:eastAsia="Book Antiqua" w:hAnsi="Book Antiqua" w:cs="Book Antiqua"/>
          <w:sz w:val="20"/>
        </w:rPr>
        <w:t xml:space="preserve">dražbu, jejímž účelem je přechod vlastnického práva k předmětu dražby </w:t>
      </w:r>
      <w:r w:rsidR="00660CDF">
        <w:rPr>
          <w:rFonts w:ascii="Book Antiqua" w:eastAsia="Book Antiqua" w:hAnsi="Book Antiqua" w:cs="Book Antiqua"/>
          <w:sz w:val="20"/>
        </w:rPr>
        <w:t>na osobu</w:t>
      </w:r>
      <w:r>
        <w:rPr>
          <w:rFonts w:ascii="Book Antiqua" w:eastAsia="Book Antiqua" w:hAnsi="Book Antiqua" w:cs="Book Antiqua"/>
          <w:sz w:val="20"/>
        </w:rPr>
        <w:t xml:space="preserve">, která v rámci dražby učiní nejvyšší nabídku, přičemž na ni přejde příklepem exekutora </w:t>
      </w:r>
      <w:r w:rsidR="00964352">
        <w:rPr>
          <w:rFonts w:ascii="Book Antiqua" w:eastAsia="Book Antiqua" w:hAnsi="Book Antiqua" w:cs="Book Antiqua"/>
          <w:sz w:val="20"/>
        </w:rPr>
        <w:t xml:space="preserve">a uhrazením nejvyššího podání </w:t>
      </w:r>
      <w:r>
        <w:rPr>
          <w:rFonts w:ascii="Book Antiqua" w:eastAsia="Book Antiqua" w:hAnsi="Book Antiqua" w:cs="Book Antiqua"/>
          <w:sz w:val="20"/>
        </w:rPr>
        <w:t>vlastnické právo</w:t>
      </w:r>
      <w:r w:rsidR="00964352">
        <w:rPr>
          <w:rFonts w:ascii="Book Antiqua" w:eastAsia="Book Antiqua" w:hAnsi="Book Antiqua" w:cs="Book Antiqua"/>
          <w:sz w:val="20"/>
        </w:rPr>
        <w:t xml:space="preserve"> k předmětu dražby</w:t>
      </w:r>
      <w:r>
        <w:rPr>
          <w:rFonts w:ascii="Book Antiqua" w:eastAsia="Book Antiqua" w:hAnsi="Book Antiqua" w:cs="Book Antiqua"/>
          <w:sz w:val="20"/>
        </w:rPr>
        <w:t xml:space="preserve">. </w:t>
      </w:r>
      <w:r w:rsidR="00B00E6B">
        <w:rPr>
          <w:rFonts w:ascii="Book Antiqua" w:eastAsia="Book Antiqua" w:hAnsi="Book Antiqua" w:cs="Book Antiqua"/>
          <w:sz w:val="20"/>
        </w:rPr>
        <w:t xml:space="preserve">Navrhovatel dražby požaduje, aby dražba </w:t>
      </w:r>
      <w:r w:rsidR="00B00E6B" w:rsidRPr="00B00E6B">
        <w:rPr>
          <w:rFonts w:ascii="Book Antiqua" w:eastAsia="Book Antiqua" w:hAnsi="Book Antiqua" w:cs="Book Antiqua"/>
          <w:sz w:val="20"/>
          <w:u w:val="single"/>
        </w:rPr>
        <w:t>byla exekutorem provedena jako dražba elektronická</w:t>
      </w:r>
      <w:r w:rsidR="00B00E6B">
        <w:rPr>
          <w:rFonts w:ascii="Book Antiqua" w:eastAsia="Book Antiqua" w:hAnsi="Book Antiqua" w:cs="Book Antiqua"/>
          <w:sz w:val="20"/>
        </w:rPr>
        <w:t xml:space="preserve">. </w:t>
      </w:r>
    </w:p>
    <w:p w:rsidR="00E52DE3" w:rsidRDefault="00E52DE3">
      <w:pPr>
        <w:spacing w:after="0" w:line="240" w:lineRule="auto"/>
        <w:jc w:val="center"/>
        <w:rPr>
          <w:rFonts w:ascii="Book Antiqua" w:eastAsia="Book Antiqua" w:hAnsi="Book Antiqua" w:cs="Book Antiqua"/>
          <w:sz w:val="20"/>
        </w:rPr>
      </w:pPr>
    </w:p>
    <w:p w:rsidR="00E52DE3" w:rsidRDefault="00E52DE3">
      <w:pPr>
        <w:spacing w:after="0" w:line="240" w:lineRule="auto"/>
        <w:jc w:val="center"/>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rsidR="00E52DE3" w:rsidRPr="007B71E8" w:rsidRDefault="00E52DE3" w:rsidP="007B71E8">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24376A">
        <w:rPr>
          <w:rFonts w:ascii="Book Antiqua" w:eastAsia="Book Antiqua" w:hAnsi="Book Antiqua" w:cs="Book Antiqua"/>
          <w:sz w:val="20"/>
        </w:rPr>
        <w:t>44</w:t>
      </w:r>
      <w:r w:rsidR="00E077FC">
        <w:rPr>
          <w:rFonts w:ascii="Book Antiqua" w:eastAsia="Book Antiqua" w:hAnsi="Book Antiqua" w:cs="Book Antiqua"/>
          <w:sz w:val="20"/>
        </w:rPr>
        <w:t>, vedeného pro k.ú.</w:t>
      </w:r>
      <w:r w:rsidR="00912AA5">
        <w:rPr>
          <w:rFonts w:ascii="Book Antiqua" w:eastAsia="Book Antiqua" w:hAnsi="Book Antiqua" w:cs="Book Antiqua"/>
          <w:sz w:val="20"/>
        </w:rPr>
        <w:t xml:space="preserve"> </w:t>
      </w:r>
      <w:r w:rsidR="0024376A">
        <w:rPr>
          <w:rFonts w:ascii="Book Antiqua" w:eastAsia="Book Antiqua" w:hAnsi="Book Antiqua" w:cs="Book Antiqua"/>
          <w:sz w:val="20"/>
        </w:rPr>
        <w:t>Všechlapy u Zabrušan</w:t>
      </w:r>
      <w:r w:rsidR="00E077FC">
        <w:rPr>
          <w:rFonts w:ascii="Book Antiqua" w:eastAsia="Book Antiqua" w:hAnsi="Book Antiqua" w:cs="Book Antiqua"/>
          <w:sz w:val="20"/>
        </w:rPr>
        <w:t xml:space="preserve">, okres </w:t>
      </w:r>
      <w:r w:rsidR="0024376A">
        <w:rPr>
          <w:rFonts w:ascii="Book Antiqua" w:eastAsia="Book Antiqua" w:hAnsi="Book Antiqua" w:cs="Book Antiqua"/>
          <w:sz w:val="20"/>
        </w:rPr>
        <w:t>Teplice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24376A">
        <w:rPr>
          <w:rFonts w:ascii="Book Antiqua" w:eastAsia="Book Antiqua" w:hAnsi="Book Antiqua" w:cs="Book Antiqua"/>
          <w:sz w:val="20"/>
        </w:rPr>
        <w:t>Zabrušany</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24376A">
        <w:rPr>
          <w:rFonts w:ascii="Book Antiqua" w:eastAsia="Book Antiqua" w:hAnsi="Book Antiqua" w:cs="Book Antiqua"/>
          <w:sz w:val="20"/>
        </w:rPr>
        <w:t>Ústecký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24376A">
        <w:rPr>
          <w:rFonts w:ascii="Book Antiqua" w:eastAsia="Book Antiqua" w:hAnsi="Book Antiqua" w:cs="Book Antiqua"/>
          <w:sz w:val="20"/>
        </w:rPr>
        <w:t>Teplice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rsidR="00E077FC" w:rsidRDefault="00E077FC">
      <w:pPr>
        <w:spacing w:after="0" w:line="240" w:lineRule="auto"/>
        <w:jc w:val="both"/>
        <w:rPr>
          <w:rFonts w:ascii="Book Antiqua" w:eastAsia="Book Antiqua" w:hAnsi="Book Antiqua" w:cs="Book Antiqua"/>
          <w:sz w:val="20"/>
        </w:rPr>
      </w:pPr>
    </w:p>
    <w:p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2B66E2">
        <w:rPr>
          <w:rFonts w:ascii="Book Antiqua" w:eastAsia="Book Antiqua" w:hAnsi="Book Antiqua" w:cs="Book Antiqua"/>
          <w:sz w:val="20"/>
        </w:rPr>
        <w:t>78</w:t>
      </w:r>
      <w:r w:rsidR="00912AA5">
        <w:rPr>
          <w:rFonts w:ascii="Book Antiqua" w:eastAsia="Book Antiqua" w:hAnsi="Book Antiqua" w:cs="Book Antiqua"/>
          <w:sz w:val="20"/>
        </w:rPr>
        <w:t xml:space="preserve">, o výměře </w:t>
      </w:r>
      <w:r w:rsidR="002B66E2">
        <w:rPr>
          <w:rFonts w:ascii="Book Antiqua" w:eastAsia="Book Antiqua" w:hAnsi="Book Antiqua" w:cs="Book Antiqua"/>
          <w:sz w:val="20"/>
        </w:rPr>
        <w:t>4614</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DF204B">
        <w:rPr>
          <w:rFonts w:ascii="Book Antiqua" w:eastAsia="Book Antiqua" w:hAnsi="Book Antiqua" w:cs="Book Antiqua"/>
          <w:sz w:val="20"/>
        </w:rPr>
        <w:t xml:space="preserve">ostatní plocha, </w:t>
      </w:r>
      <w:r w:rsidR="0024376A">
        <w:rPr>
          <w:rFonts w:ascii="Book Antiqua" w:eastAsia="Book Antiqua" w:hAnsi="Book Antiqua" w:cs="Book Antiqua"/>
          <w:sz w:val="20"/>
        </w:rPr>
        <w:t>jiná plocha</w:t>
      </w:r>
    </w:p>
    <w:p w:rsidR="0024376A" w:rsidRDefault="0024376A" w:rsidP="0024376A">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2B66E2">
        <w:rPr>
          <w:rFonts w:ascii="Book Antiqua" w:eastAsia="Book Antiqua" w:hAnsi="Book Antiqua" w:cs="Book Antiqua"/>
          <w:sz w:val="20"/>
        </w:rPr>
        <w:t>79</w:t>
      </w:r>
      <w:r>
        <w:rPr>
          <w:rFonts w:ascii="Book Antiqua" w:eastAsia="Book Antiqua" w:hAnsi="Book Antiqua" w:cs="Book Antiqua"/>
          <w:sz w:val="20"/>
        </w:rPr>
        <w:t xml:space="preserve">, o výměře </w:t>
      </w:r>
      <w:r w:rsidR="002B66E2">
        <w:rPr>
          <w:rFonts w:ascii="Book Antiqua" w:eastAsia="Book Antiqua" w:hAnsi="Book Antiqua" w:cs="Book Antiqua"/>
          <w:sz w:val="20"/>
        </w:rPr>
        <w:t>14028</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2B66E2">
        <w:rPr>
          <w:rFonts w:ascii="Book Antiqua" w:eastAsia="Book Antiqua" w:hAnsi="Book Antiqua" w:cs="Book Antiqua"/>
          <w:sz w:val="20"/>
        </w:rPr>
        <w:t>jiná plocha</w:t>
      </w:r>
    </w:p>
    <w:p w:rsidR="00DF204B" w:rsidRPr="0024376A" w:rsidRDefault="0024376A" w:rsidP="0024376A">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parcela č. </w:t>
      </w:r>
      <w:r w:rsidR="002B66E2">
        <w:rPr>
          <w:rFonts w:ascii="Book Antiqua" w:eastAsia="Book Antiqua" w:hAnsi="Book Antiqua" w:cs="Book Antiqua"/>
          <w:sz w:val="20"/>
        </w:rPr>
        <w:t>81</w:t>
      </w:r>
      <w:r>
        <w:rPr>
          <w:rFonts w:ascii="Book Antiqua" w:eastAsia="Book Antiqua" w:hAnsi="Book Antiqua" w:cs="Book Antiqua"/>
          <w:sz w:val="20"/>
        </w:rPr>
        <w:t xml:space="preserve">, o výměře </w:t>
      </w:r>
      <w:r w:rsidR="002B66E2">
        <w:rPr>
          <w:rFonts w:ascii="Book Antiqua" w:eastAsia="Book Antiqua" w:hAnsi="Book Antiqua" w:cs="Book Antiqua"/>
          <w:sz w:val="20"/>
        </w:rPr>
        <w:t>4856</w:t>
      </w:r>
      <w:r>
        <w:rPr>
          <w:rFonts w:ascii="Book Antiqua" w:eastAsia="Book Antiqua" w:hAnsi="Book Antiqua" w:cs="Book Antiqua"/>
          <w:sz w:val="20"/>
        </w:rPr>
        <w:t xml:space="preserve"> m</w:t>
      </w:r>
      <w:r>
        <w:rPr>
          <w:rFonts w:ascii="Book Antiqua" w:eastAsia="Book Antiqua" w:hAnsi="Book Antiqua" w:cs="Book Antiqua"/>
          <w:sz w:val="20"/>
          <w:vertAlign w:val="superscript"/>
        </w:rPr>
        <w:t>2</w:t>
      </w:r>
      <w:r>
        <w:rPr>
          <w:rFonts w:ascii="Book Antiqua" w:eastAsia="Book Antiqua" w:hAnsi="Book Antiqua" w:cs="Book Antiqua"/>
          <w:sz w:val="20"/>
        </w:rPr>
        <w:t xml:space="preserve">, ostatní plocha, </w:t>
      </w:r>
      <w:r w:rsidR="002B66E2">
        <w:rPr>
          <w:rFonts w:ascii="Book Antiqua" w:eastAsia="Book Antiqua" w:hAnsi="Book Antiqua" w:cs="Book Antiqua"/>
          <w:sz w:val="20"/>
        </w:rPr>
        <w:t>manipulační plocha</w:t>
      </w:r>
    </w:p>
    <w:p w:rsidR="00AC5932" w:rsidRDefault="00AC5932" w:rsidP="00AC5932">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96/1, o výměře 39750 m</w:t>
      </w:r>
      <w:r>
        <w:rPr>
          <w:rFonts w:ascii="Book Antiqua" w:eastAsia="Book Antiqua" w:hAnsi="Book Antiqua" w:cs="Book Antiqua"/>
          <w:sz w:val="20"/>
          <w:vertAlign w:val="superscript"/>
        </w:rPr>
        <w:t>2</w:t>
      </w:r>
      <w:r>
        <w:rPr>
          <w:rFonts w:ascii="Book Antiqua" w:eastAsia="Book Antiqua" w:hAnsi="Book Antiqua" w:cs="Book Antiqua"/>
          <w:sz w:val="20"/>
        </w:rPr>
        <w:t>, ostatní plocha, neplodná půda</w:t>
      </w:r>
    </w:p>
    <w:p w:rsidR="00AC5932" w:rsidRDefault="00AC5932" w:rsidP="00AC5932">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96/3, o výměře 9760 m</w:t>
      </w:r>
      <w:r>
        <w:rPr>
          <w:rFonts w:ascii="Book Antiqua" w:eastAsia="Book Antiqua" w:hAnsi="Book Antiqua" w:cs="Book Antiqua"/>
          <w:sz w:val="20"/>
          <w:vertAlign w:val="superscript"/>
        </w:rPr>
        <w:t>2</w:t>
      </w:r>
      <w:r>
        <w:rPr>
          <w:rFonts w:ascii="Book Antiqua" w:eastAsia="Book Antiqua" w:hAnsi="Book Antiqua" w:cs="Book Antiqua"/>
          <w:sz w:val="20"/>
        </w:rPr>
        <w:t>, ostatní plocha, ostatní komunikace</w:t>
      </w:r>
    </w:p>
    <w:p w:rsidR="00AC5932" w:rsidRDefault="00AC5932" w:rsidP="00AC5932">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96/4, o výměře 1001 m</w:t>
      </w:r>
      <w:r>
        <w:rPr>
          <w:rFonts w:ascii="Book Antiqua" w:eastAsia="Book Antiqua" w:hAnsi="Book Antiqua" w:cs="Book Antiqua"/>
          <w:sz w:val="20"/>
          <w:vertAlign w:val="superscript"/>
        </w:rPr>
        <w:t>2</w:t>
      </w:r>
      <w:r>
        <w:rPr>
          <w:rFonts w:ascii="Book Antiqua" w:eastAsia="Book Antiqua" w:hAnsi="Book Antiqua" w:cs="Book Antiqua"/>
          <w:sz w:val="20"/>
        </w:rPr>
        <w:t>, ostatní plocha, neplodná půda</w:t>
      </w:r>
    </w:p>
    <w:p w:rsidR="00AC5932" w:rsidRDefault="00AC5932" w:rsidP="00AC5932">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lastRenderedPageBreak/>
        <w:t>parcela č. 96/13, o výměře 5087 m</w:t>
      </w:r>
      <w:r>
        <w:rPr>
          <w:rFonts w:ascii="Book Antiqua" w:eastAsia="Book Antiqua" w:hAnsi="Book Antiqua" w:cs="Book Antiqua"/>
          <w:sz w:val="20"/>
          <w:vertAlign w:val="superscript"/>
        </w:rPr>
        <w:t>2</w:t>
      </w:r>
      <w:r>
        <w:rPr>
          <w:rFonts w:ascii="Book Antiqua" w:eastAsia="Book Antiqua" w:hAnsi="Book Antiqua" w:cs="Book Antiqua"/>
          <w:sz w:val="20"/>
        </w:rPr>
        <w:t>, ostatní plocha, neplodná půda</w:t>
      </w:r>
    </w:p>
    <w:p w:rsidR="00AC5932" w:rsidRDefault="00AC5932" w:rsidP="00AC5932">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parcela č. 334/2, o výměře 60 m</w:t>
      </w:r>
      <w:r>
        <w:rPr>
          <w:rFonts w:ascii="Book Antiqua" w:eastAsia="Book Antiqua" w:hAnsi="Book Antiqua" w:cs="Book Antiqua"/>
          <w:sz w:val="20"/>
          <w:vertAlign w:val="superscript"/>
        </w:rPr>
        <w:t>2</w:t>
      </w:r>
      <w:r>
        <w:rPr>
          <w:rFonts w:ascii="Book Antiqua" w:eastAsia="Book Antiqua" w:hAnsi="Book Antiqua" w:cs="Book Antiqua"/>
          <w:sz w:val="20"/>
        </w:rPr>
        <w:t>, ostatní plocha, neplodná půda</w:t>
      </w:r>
    </w:p>
    <w:p w:rsidR="00AC5932" w:rsidRDefault="00AC5932" w:rsidP="00AC5932">
      <w:pPr>
        <w:pStyle w:val="Odstavecseseznamem"/>
        <w:spacing w:after="0" w:line="240" w:lineRule="auto"/>
        <w:jc w:val="both"/>
        <w:rPr>
          <w:rFonts w:ascii="Book Antiqua" w:eastAsia="Book Antiqua" w:hAnsi="Book Antiqua" w:cs="Book Antiqua"/>
          <w:sz w:val="20"/>
        </w:rPr>
      </w:pPr>
    </w:p>
    <w:p w:rsidR="00AC5932" w:rsidRPr="00AC5932" w:rsidRDefault="00AC5932" w:rsidP="00AC5932">
      <w:pPr>
        <w:spacing w:after="0" w:line="240" w:lineRule="auto"/>
        <w:jc w:val="both"/>
        <w:rPr>
          <w:rFonts w:ascii="Book Antiqua" w:eastAsia="Book Antiqua" w:hAnsi="Book Antiqua" w:cs="Book Antiqua"/>
          <w:sz w:val="20"/>
        </w:rPr>
      </w:pPr>
    </w:p>
    <w:p w:rsidR="00D31CFA" w:rsidRDefault="007B71E8" w:rsidP="00AC5932">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w:t>
      </w:r>
      <w:r w:rsidR="005F0BC0">
        <w:rPr>
          <w:rFonts w:ascii="Book Antiqua" w:eastAsia="Book Antiqua" w:hAnsi="Book Antiqua" w:cs="Book Antiqua"/>
          <w:sz w:val="20"/>
        </w:rPr>
        <w:t xml:space="preserve">(na pozemku </w:t>
      </w:r>
      <w:proofErr w:type="spellStart"/>
      <w:r w:rsidR="005F0BC0">
        <w:rPr>
          <w:rFonts w:ascii="Book Antiqua" w:eastAsia="Book Antiqua" w:hAnsi="Book Antiqua" w:cs="Book Antiqua"/>
          <w:sz w:val="20"/>
        </w:rPr>
        <w:t>p.č</w:t>
      </w:r>
      <w:proofErr w:type="spellEnd"/>
      <w:r w:rsidR="005F0BC0">
        <w:rPr>
          <w:rFonts w:ascii="Book Antiqua" w:eastAsia="Book Antiqua" w:hAnsi="Book Antiqua" w:cs="Book Antiqua"/>
          <w:sz w:val="20"/>
        </w:rPr>
        <w:t xml:space="preserve">. 78 se nachází torzo komína a na parcele </w:t>
      </w:r>
      <w:proofErr w:type="spellStart"/>
      <w:r w:rsidR="005F0BC0">
        <w:rPr>
          <w:rFonts w:ascii="Book Antiqua" w:eastAsia="Book Antiqua" w:hAnsi="Book Antiqua" w:cs="Book Antiqua"/>
          <w:sz w:val="20"/>
        </w:rPr>
        <w:t>p.č</w:t>
      </w:r>
      <w:proofErr w:type="spellEnd"/>
      <w:r w:rsidR="005F0BC0">
        <w:rPr>
          <w:rFonts w:ascii="Book Antiqua" w:eastAsia="Book Antiqua" w:hAnsi="Book Antiqua" w:cs="Book Antiqua"/>
          <w:sz w:val="20"/>
        </w:rPr>
        <w:t xml:space="preserve">. 81 torzo objektu budovy, které jsou součástí uvedených pozemků) </w:t>
      </w:r>
      <w:r>
        <w:rPr>
          <w:rFonts w:ascii="Book Antiqua" w:eastAsia="Book Antiqua" w:hAnsi="Book Antiqua" w:cs="Book Antiqua"/>
          <w:sz w:val="20"/>
        </w:rPr>
        <w:t xml:space="preserve">uvedených nemovitých věcí. </w:t>
      </w:r>
    </w:p>
    <w:p w:rsidR="005F0BC0" w:rsidRDefault="005F0BC0" w:rsidP="00AC5932">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4</w:t>
      </w:r>
    </w:p>
    <w:p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rsidR="00E52DE3" w:rsidRDefault="00E52DE3">
      <w:pPr>
        <w:spacing w:after="0" w:line="240" w:lineRule="auto"/>
        <w:jc w:val="center"/>
        <w:rPr>
          <w:rFonts w:ascii="Book Antiqua" w:eastAsia="Book Antiqua" w:hAnsi="Book Antiqua" w:cs="Book Antiqua"/>
          <w:b/>
          <w:sz w:val="20"/>
        </w:rPr>
      </w:pPr>
    </w:p>
    <w:p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bylo </w:t>
      </w:r>
      <w:r>
        <w:rPr>
          <w:rFonts w:ascii="Book Antiqua" w:eastAsia="Book Antiqua" w:hAnsi="Book Antiqua" w:cs="Book Antiqua"/>
          <w:sz w:val="20"/>
        </w:rPr>
        <w:t xml:space="preserve"> v</w:t>
      </w:r>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AC5932">
        <w:rPr>
          <w:rFonts w:ascii="Book Antiqua" w:eastAsia="Book Antiqua" w:hAnsi="Book Antiqua" w:cs="Book Antiqua"/>
          <w:sz w:val="20"/>
        </w:rPr>
        <w:t>1.750</w:t>
      </w:r>
      <w:r w:rsidR="009C2CA5">
        <w:rPr>
          <w:rFonts w:ascii="Book Antiqua" w:eastAsia="Book Antiqua" w:hAnsi="Book Antiqua" w:cs="Book Antiqua"/>
          <w:sz w:val="20"/>
        </w:rPr>
        <w:t>.000</w:t>
      </w:r>
      <w:r w:rsidR="00642DFB">
        <w:rPr>
          <w:rFonts w:ascii="Book Antiqua" w:eastAsia="Book Antiqua" w:hAnsi="Book Antiqua" w:cs="Book Antiqua"/>
          <w:sz w:val="20"/>
        </w:rPr>
        <w:t>,-</w:t>
      </w:r>
      <w:r w:rsidR="00CC150F">
        <w:rPr>
          <w:rFonts w:ascii="Book Antiqua" w:eastAsia="Book Antiqua" w:hAnsi="Book Antiqua" w:cs="Book Antiqua"/>
          <w:sz w:val="20"/>
        </w:rPr>
        <w:t xml:space="preserve"> Kč (slovy: </w:t>
      </w:r>
      <w:proofErr w:type="spellStart"/>
      <w:r w:rsidR="00AC5932">
        <w:rPr>
          <w:rFonts w:ascii="Book Antiqua" w:eastAsia="Book Antiqua" w:hAnsi="Book Antiqua" w:cs="Book Antiqua"/>
          <w:sz w:val="20"/>
        </w:rPr>
        <w:t>jedenmilionsedmsetpadesáttisíc</w:t>
      </w:r>
      <w:proofErr w:type="spellEnd"/>
      <w:r w:rsidR="00642DFB">
        <w:rPr>
          <w:rFonts w:ascii="Book Antiqua" w:eastAsia="Book Antiqua" w:hAnsi="Book Antiqua" w:cs="Book Antiqua"/>
          <w:sz w:val="20"/>
        </w:rPr>
        <w:t xml:space="preserve"> </w:t>
      </w:r>
      <w:r>
        <w:rPr>
          <w:rFonts w:ascii="Book Antiqua" w:eastAsia="Book Antiqua" w:hAnsi="Book Antiqua" w:cs="Book Antiqua"/>
          <w:sz w:val="20"/>
        </w:rPr>
        <w:t>korun českých</w:t>
      </w:r>
      <w:r w:rsidR="008F035B">
        <w:rPr>
          <w:rFonts w:ascii="Book Antiqua" w:eastAsia="Book Antiqua" w:hAnsi="Book Antiqua" w:cs="Book Antiqua"/>
          <w:sz w:val="20"/>
        </w:rPr>
        <w:t>)</w:t>
      </w:r>
      <w:r w:rsidR="00734F7B">
        <w:rPr>
          <w:rFonts w:ascii="Book Antiqua" w:eastAsia="Book Antiqua" w:hAnsi="Book Antiqua" w:cs="Book Antiqua"/>
          <w:sz w:val="20"/>
        </w:rPr>
        <w:t xml:space="preserve">. </w:t>
      </w:r>
      <w:r w:rsidR="00734F7B">
        <w:rPr>
          <w:rFonts w:ascii="Book Antiqua" w:eastAsia="Times New Roman" w:hAnsi="Book Antiqua" w:cs="Book Antiqua"/>
          <w:sz w:val="20"/>
        </w:rPr>
        <w:t xml:space="preserve">Prodej výše </w:t>
      </w:r>
      <w:r w:rsidR="00B37225">
        <w:rPr>
          <w:rFonts w:ascii="Book Antiqua" w:eastAsia="Times New Roman" w:hAnsi="Book Antiqua" w:cs="Book Antiqua"/>
          <w:sz w:val="20"/>
        </w:rPr>
        <w:t>uvedených pozemků</w:t>
      </w:r>
      <w:r w:rsidR="00734F7B">
        <w:rPr>
          <w:rFonts w:ascii="Book Antiqua" w:eastAsia="Times New Roman" w:hAnsi="Book Antiqua" w:cs="Book Antiqua"/>
          <w:sz w:val="20"/>
        </w:rPr>
        <w:t xml:space="preserve"> nepodléhá DPH.</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rsidR="00E52DE3" w:rsidRDefault="00E52DE3">
      <w:pPr>
        <w:spacing w:after="0" w:line="240" w:lineRule="auto"/>
        <w:jc w:val="center"/>
        <w:rPr>
          <w:rFonts w:ascii="Book Antiqua" w:eastAsia="Book Antiqua" w:hAnsi="Book Antiqua" w:cs="Book Antiqua"/>
          <w:b/>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AC5932">
        <w:rPr>
          <w:rFonts w:ascii="Book Antiqua" w:eastAsia="Book Antiqua" w:hAnsi="Book Antiqua" w:cs="Book Antiqua"/>
          <w:sz w:val="20"/>
        </w:rPr>
        <w:t>5</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w:t>
      </w:r>
      <w:r w:rsidR="00AC5932">
        <w:rPr>
          <w:rFonts w:ascii="Book Antiqua" w:eastAsia="Book Antiqua" w:hAnsi="Book Antiqua" w:cs="Book Antiqua"/>
          <w:sz w:val="20"/>
        </w:rPr>
        <w:t>pět</w:t>
      </w:r>
      <w:r w:rsidR="009A5E0B">
        <w:rPr>
          <w:rFonts w:ascii="Book Antiqua" w:eastAsia="Book Antiqua" w:hAnsi="Book Antiqua" w:cs="Book Antiqua"/>
          <w:sz w:val="20"/>
        </w:rPr>
        <w:t xml:space="preserve">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rsidR="00F84C86" w:rsidRDefault="00F84C86" w:rsidP="00F84C86">
      <w:pPr>
        <w:spacing w:after="0" w:line="240" w:lineRule="auto"/>
        <w:jc w:val="both"/>
        <w:rPr>
          <w:rFonts w:ascii="Book Antiqua" w:eastAsia="Book Antiqua" w:hAnsi="Book Antiqua" w:cs="Book Antiqua"/>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rsidR="00F97199" w:rsidRDefault="00F97199" w:rsidP="00F84C86">
      <w:pPr>
        <w:spacing w:after="0" w:line="240" w:lineRule="auto"/>
        <w:jc w:val="both"/>
        <w:rPr>
          <w:rFonts w:ascii="Book Antiqua" w:eastAsia="Book Antiqua" w:hAnsi="Book Antiqua" w:cs="Book Antiqua"/>
          <w:sz w:val="20"/>
        </w:rPr>
      </w:pPr>
    </w:p>
    <w:p w:rsidR="00F97199" w:rsidRDefault="00F97199">
      <w:pPr>
        <w:spacing w:after="0" w:line="240" w:lineRule="auto"/>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rsidR="00E52DE3" w:rsidRDefault="00E52DE3">
      <w:pPr>
        <w:spacing w:after="0" w:line="240" w:lineRule="auto"/>
        <w:jc w:val="center"/>
        <w:rPr>
          <w:rFonts w:ascii="Book Antiqua" w:eastAsia="Book Antiqua" w:hAnsi="Book Antiqua" w:cs="Book Antiqua"/>
          <w:sz w:val="20"/>
        </w:rPr>
      </w:pPr>
    </w:p>
    <w:p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pod VS</w:t>
      </w:r>
      <w:r w:rsidR="005F0BC0">
        <w:rPr>
          <w:rFonts w:ascii="Book Antiqua" w:eastAsia="Book Antiqua" w:hAnsi="Book Antiqua" w:cs="Book Antiqua"/>
          <w:sz w:val="20"/>
        </w:rPr>
        <w:t xml:space="preserve"> 3221, </w:t>
      </w:r>
      <w:r>
        <w:rPr>
          <w:rFonts w:ascii="Book Antiqua" w:eastAsia="Book Antiqua" w:hAnsi="Book Antiqua" w:cs="Book Antiqua"/>
          <w:sz w:val="20"/>
        </w:rPr>
        <w:t xml:space="preserve">vedený u České spořitelny, a.s.,  a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rsidR="00F97199" w:rsidRDefault="00F97199">
      <w:pPr>
        <w:spacing w:after="0" w:line="240" w:lineRule="auto"/>
        <w:jc w:val="center"/>
        <w:rPr>
          <w:rFonts w:ascii="Book Antiqua" w:eastAsia="Book Antiqua" w:hAnsi="Book Antiqua" w:cs="Book Antiqua"/>
          <w:b/>
          <w:sz w:val="20"/>
        </w:rPr>
      </w:pPr>
    </w:p>
    <w:p w:rsidR="00D31CFA" w:rsidRDefault="00D31CFA">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rsidR="00E52DE3" w:rsidRDefault="00E52DE3">
      <w:pPr>
        <w:spacing w:after="0" w:line="240" w:lineRule="auto"/>
        <w:jc w:val="center"/>
        <w:rPr>
          <w:rFonts w:ascii="Book Antiqua" w:eastAsia="Book Antiqua" w:hAnsi="Book Antiqua" w:cs="Book Antiqua"/>
          <w:sz w:val="20"/>
        </w:rPr>
      </w:pPr>
    </w:p>
    <w:p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F808F8">
        <w:rPr>
          <w:rFonts w:ascii="Book Antiqua" w:eastAsia="Book Antiqua" w:hAnsi="Book Antiqua" w:cs="Book Antiqua"/>
          <w:sz w:val="20"/>
        </w:rPr>
        <w:t xml:space="preserve">Tato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rsidR="00F808F8" w:rsidRDefault="00F808F8" w:rsidP="00F808F8">
      <w:pPr>
        <w:spacing w:after="0" w:line="240" w:lineRule="auto"/>
        <w:jc w:val="both"/>
        <w:rPr>
          <w:rFonts w:ascii="Book Antiqua" w:eastAsia="Book Antiqua" w:hAnsi="Book Antiqua" w:cs="Book Antiqua"/>
          <w:sz w:val="20"/>
        </w:rPr>
      </w:pPr>
    </w:p>
    <w:p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5F0BC0">
        <w:rPr>
          <w:rFonts w:ascii="Book Antiqua" w:eastAsia="Book Antiqua" w:hAnsi="Book Antiqua" w:cs="Book Antiqua"/>
          <w:sz w:val="20"/>
        </w:rPr>
        <w:t>7.4.2021</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t xml:space="preserve">V Praze dne </w:t>
      </w:r>
      <w:r w:rsidR="005F0BC0">
        <w:rPr>
          <w:rFonts w:ascii="Book Antiqua" w:eastAsia="Book Antiqua" w:hAnsi="Book Antiqua" w:cs="Book Antiqua"/>
          <w:sz w:val="20"/>
        </w:rPr>
        <w:t>7.4.2021</w:t>
      </w:r>
      <w:r w:rsidR="00972BC2">
        <w:rPr>
          <w:rFonts w:ascii="Book Antiqua" w:eastAsia="Book Antiqua" w:hAnsi="Book Antiqua" w:cs="Book Antiqua"/>
          <w:sz w:val="20"/>
        </w:rPr>
        <w:tab/>
      </w:r>
    </w:p>
    <w:p w:rsidR="00F808F8" w:rsidRDefault="00F808F8" w:rsidP="00F808F8">
      <w:pPr>
        <w:spacing w:after="0" w:line="240" w:lineRule="auto"/>
        <w:jc w:val="both"/>
        <w:rPr>
          <w:rFonts w:ascii="Book Antiqua" w:eastAsia="Book Antiqua" w:hAnsi="Book Antiqua" w:cs="Book Antiqua"/>
          <w:sz w:val="20"/>
        </w:rPr>
      </w:pPr>
      <w:bookmarkStart w:id="0" w:name="_GoBack"/>
      <w:bookmarkEnd w:id="0"/>
    </w:p>
    <w:p w:rsidR="00912AA5" w:rsidRDefault="00912AA5" w:rsidP="00F808F8">
      <w:pPr>
        <w:spacing w:after="0" w:line="240" w:lineRule="auto"/>
        <w:jc w:val="both"/>
        <w:rPr>
          <w:rFonts w:ascii="Book Antiqua" w:eastAsia="Book Antiqua" w:hAnsi="Book Antiqua" w:cs="Book Antiqua"/>
          <w:sz w:val="20"/>
        </w:rPr>
      </w:pPr>
    </w:p>
    <w:p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5F0BC0">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9"/>
    <w:rsid w:val="00012711"/>
    <w:rsid w:val="00021AAC"/>
    <w:rsid w:val="00146D9E"/>
    <w:rsid w:val="00152E24"/>
    <w:rsid w:val="0017707D"/>
    <w:rsid w:val="0024376A"/>
    <w:rsid w:val="0028011D"/>
    <w:rsid w:val="002843D8"/>
    <w:rsid w:val="0029033B"/>
    <w:rsid w:val="002B4E5E"/>
    <w:rsid w:val="002B66E2"/>
    <w:rsid w:val="002F00B2"/>
    <w:rsid w:val="002F6D1B"/>
    <w:rsid w:val="003664FA"/>
    <w:rsid w:val="00403962"/>
    <w:rsid w:val="00497DBC"/>
    <w:rsid w:val="004F21AF"/>
    <w:rsid w:val="005E7132"/>
    <w:rsid w:val="005F0BC0"/>
    <w:rsid w:val="00613B4E"/>
    <w:rsid w:val="00642DFB"/>
    <w:rsid w:val="00660CDF"/>
    <w:rsid w:val="00663A75"/>
    <w:rsid w:val="00674982"/>
    <w:rsid w:val="007041FA"/>
    <w:rsid w:val="00704A6A"/>
    <w:rsid w:val="0072304C"/>
    <w:rsid w:val="00734F7B"/>
    <w:rsid w:val="007A7D6A"/>
    <w:rsid w:val="007B49F0"/>
    <w:rsid w:val="007B71E8"/>
    <w:rsid w:val="008E234A"/>
    <w:rsid w:val="008F035B"/>
    <w:rsid w:val="00912AA5"/>
    <w:rsid w:val="009224BE"/>
    <w:rsid w:val="0092522C"/>
    <w:rsid w:val="00964352"/>
    <w:rsid w:val="00972BC2"/>
    <w:rsid w:val="009A5E0B"/>
    <w:rsid w:val="009C2CA5"/>
    <w:rsid w:val="009E01EE"/>
    <w:rsid w:val="00A54709"/>
    <w:rsid w:val="00A55A67"/>
    <w:rsid w:val="00AC5932"/>
    <w:rsid w:val="00B00E6B"/>
    <w:rsid w:val="00B22AC4"/>
    <w:rsid w:val="00B37225"/>
    <w:rsid w:val="00C23EED"/>
    <w:rsid w:val="00C60478"/>
    <w:rsid w:val="00CB1F34"/>
    <w:rsid w:val="00CC150F"/>
    <w:rsid w:val="00CE4127"/>
    <w:rsid w:val="00D253BE"/>
    <w:rsid w:val="00D31CFA"/>
    <w:rsid w:val="00D4229D"/>
    <w:rsid w:val="00D601E6"/>
    <w:rsid w:val="00DA05D8"/>
    <w:rsid w:val="00DB0F11"/>
    <w:rsid w:val="00DF204B"/>
    <w:rsid w:val="00E077FC"/>
    <w:rsid w:val="00E52DE3"/>
    <w:rsid w:val="00E77EBD"/>
    <w:rsid w:val="00EF13EC"/>
    <w:rsid w:val="00F71C11"/>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904</Words>
  <Characters>5334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Simcakova</cp:lastModifiedBy>
  <cp:revision>4</cp:revision>
  <cp:lastPrinted>2020-03-04T08:12:00Z</cp:lastPrinted>
  <dcterms:created xsi:type="dcterms:W3CDTF">2021-04-07T07:27:00Z</dcterms:created>
  <dcterms:modified xsi:type="dcterms:W3CDTF">2021-04-12T07:16:00Z</dcterms:modified>
</cp:coreProperties>
</file>