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199" w:line="1" w:lineRule="exact"/>
      </w:pPr>
    </w:p>
    <w:tbl>
      <w:tblPr>
        <w:tblOverlap w:val="never"/>
        <w:jc w:val="center"/>
        <w:tblLayout w:type="fixed"/>
      </w:tblPr>
      <w:tblGrid>
        <w:gridCol w:w="1978"/>
        <w:gridCol w:w="7469"/>
      </w:tblGrid>
      <w:tr>
        <w:trPr>
          <w:trHeight w:val="32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left"/>
              <w:rPr>
                <w:sz w:val="32"/>
                <w:szCs w:val="32"/>
              </w:rPr>
            </w:pPr>
            <w:r>
              <w:rPr>
                <w:b/>
                <w:bCs/>
                <w:color w:val="000000"/>
                <w:spacing w:val="0"/>
                <w:w w:val="100"/>
                <w:position w:val="0"/>
                <w:sz w:val="32"/>
                <w:szCs w:val="32"/>
                <w:shd w:val="clear" w:color="auto" w:fill="auto"/>
                <w:lang w:val="cs-CZ" w:eastAsia="cs-CZ" w:bidi="cs-CZ"/>
              </w:rPr>
              <w:t>S M L O U V A O D Í L O</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 ZMR-SL-12-2021-3</w:t>
      </w:r>
    </w:p>
    <w:p>
      <w:pPr>
        <w:widowControl w:val="0"/>
        <w:spacing w:after="499" w:line="1" w:lineRule="exact"/>
      </w:pPr>
    </w:p>
    <w:p>
      <w:pPr>
        <w:widowControl w:val="0"/>
        <w:spacing w:line="1" w:lineRule="exact"/>
      </w:pPr>
    </w:p>
    <w:tbl>
      <w:tblPr>
        <w:tblOverlap w:val="never"/>
        <w:jc w:val="center"/>
        <w:tblLayout w:type="fixed"/>
      </w:tblPr>
      <w:tblGrid>
        <w:gridCol w:w="1978"/>
        <w:gridCol w:w="7469"/>
      </w:tblGrid>
      <w:tr>
        <w:trPr>
          <w:trHeight w:val="119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6"/>
              <w:keepNext w:val="0"/>
              <w:keepLines w:val="0"/>
              <w:widowControl w:val="0"/>
              <w:shd w:val="clear" w:color="auto" w:fill="auto"/>
              <w:bidi w:val="0"/>
              <w:spacing w:before="0" w:line="240" w:lineRule="auto"/>
              <w:ind w:left="2320" w:right="0" w:firstLine="0"/>
              <w:jc w:val="left"/>
            </w:pPr>
            <w:r>
              <w:rPr>
                <w:b/>
                <w:bCs/>
                <w:color w:val="000000"/>
                <w:spacing w:val="0"/>
                <w:w w:val="100"/>
                <w:position w:val="0"/>
                <w:shd w:val="clear" w:color="auto" w:fill="auto"/>
                <w:lang w:val="cs-CZ" w:eastAsia="cs-CZ" w:bidi="cs-CZ"/>
              </w:rPr>
              <w:t>Článek 1</w:t>
            </w:r>
          </w:p>
          <w:p>
            <w:pPr>
              <w:pStyle w:val="Style6"/>
              <w:keepNext w:val="0"/>
              <w:keepLines w:val="0"/>
              <w:widowControl w:val="0"/>
              <w:shd w:val="clear" w:color="auto" w:fill="auto"/>
              <w:bidi w:val="0"/>
              <w:spacing w:before="0" w:line="240" w:lineRule="auto"/>
              <w:ind w:left="2000" w:right="0" w:firstLine="0"/>
              <w:jc w:val="left"/>
            </w:pPr>
            <w:r>
              <w:rPr>
                <w:b/>
                <w:bCs/>
                <w:color w:val="000000"/>
                <w:spacing w:val="0"/>
                <w:w w:val="100"/>
                <w:position w:val="0"/>
                <w:shd w:val="clear" w:color="auto" w:fill="auto"/>
                <w:lang w:val="cs-CZ" w:eastAsia="cs-CZ" w:bidi="cs-CZ"/>
              </w:rPr>
              <w:t>Smluvní strany</w:t>
            </w:r>
          </w:p>
          <w:p>
            <w:pPr>
              <w:pStyle w:val="Style6"/>
              <w:keepNext w:val="0"/>
              <w:keepLines w:val="0"/>
              <w:widowControl w:val="0"/>
              <w:shd w:val="clear" w:color="auto" w:fill="auto"/>
              <w:bidi w:val="0"/>
              <w:spacing w:before="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9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35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Radovanem Necidem, ředitelem organizace</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99" w:line="1" w:lineRule="exact"/>
      </w:pPr>
    </w:p>
    <w:p>
      <w:pPr>
        <w:widowControl w:val="0"/>
        <w:spacing w:line="1" w:lineRule="exact"/>
      </w:pPr>
    </w:p>
    <w:tbl>
      <w:tblPr>
        <w:tblOverlap w:val="never"/>
        <w:jc w:val="center"/>
        <w:tblLayout w:type="fixed"/>
      </w:tblPr>
      <w:tblGrid>
        <w:gridCol w:w="1978"/>
        <w:gridCol w:w="7469"/>
      </w:tblGrid>
      <w:tr>
        <w:trPr>
          <w:trHeight w:val="32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Ing. Radovan Necid, ředitel organizace</w:t>
            </w:r>
          </w:p>
        </w:tc>
      </w:tr>
      <w:tr>
        <w:trPr>
          <w:trHeight w:val="413"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413"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widowControl w:val="0"/>
        <w:spacing w:after="99" w:line="1" w:lineRule="exact"/>
      </w:pPr>
    </w:p>
    <w:p>
      <w:pPr>
        <w:pStyle w:val="Style2"/>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p>
    <w:tbl>
      <w:tblPr>
        <w:tblOverlap w:val="never"/>
        <w:jc w:val="center"/>
        <w:tblLayout w:type="fixed"/>
      </w:tblPr>
      <w:tblGrid>
        <w:gridCol w:w="1978"/>
        <w:gridCol w:w="7469"/>
      </w:tblGrid>
      <w:tr>
        <w:trPr>
          <w:trHeight w:val="32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 I V Y P, spol. s r.o.</w:t>
            </w:r>
          </w:p>
        </w:tc>
      </w:tr>
      <w:tr>
        <w:trPr>
          <w:trHeight w:val="413"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Hlavní 156/80, 624 00 Brno</w:t>
            </w:r>
          </w:p>
        </w:tc>
      </w:tr>
      <w:tr>
        <w:trPr>
          <w:trHeight w:val="35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doc. Ing. Janem Tomkem, CSc. - jednatelem společnosti</w:t>
            </w:r>
          </w:p>
        </w:tc>
      </w:tr>
    </w:tbl>
    <w:p>
      <w:pPr>
        <w:widowControl w:val="0"/>
        <w:spacing w:after="99" w:line="1" w:lineRule="exact"/>
      </w:pPr>
    </w:p>
    <w:p>
      <w:pPr>
        <w:pStyle w:val="Style2"/>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cs-CZ" w:eastAsia="cs-CZ" w:bidi="cs-CZ"/>
        </w:rPr>
        <w:t>zapsán v obchodním rejstříku u Krajského soudu v Brně, spis. zn. C 947 Osoba pověřená jednat jménem zhotovitele ve věcech</w:t>
      </w:r>
    </w:p>
    <w:p>
      <w:pPr>
        <w:pStyle w:val="Style2"/>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cs-CZ" w:eastAsia="cs-CZ" w:bidi="cs-CZ"/>
        </w:rPr>
        <w:t>smluvních:</w:t>
      </w:r>
    </w:p>
    <w:tbl>
      <w:tblPr>
        <w:tblOverlap w:val="never"/>
        <w:jc w:val="center"/>
        <w:tblLayout w:type="fixed"/>
      </w:tblPr>
      <w:tblGrid>
        <w:gridCol w:w="1978"/>
        <w:gridCol w:w="7469"/>
      </w:tblGrid>
      <w:tr>
        <w:trPr>
          <w:trHeight w:val="31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15546101</w:t>
            </w:r>
          </w:p>
        </w:tc>
      </w:tr>
      <w:tr>
        <w:trPr>
          <w:trHeight w:val="31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CZ15546101</w:t>
            </w:r>
          </w:p>
        </w:tc>
      </w:tr>
    </w:tbl>
    <w:p>
      <w:pPr>
        <w:widowControl w:val="0"/>
        <w:spacing w:after="55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2"/>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2586 a násl. zákona č. 89/2012 Sb., občanského zákoníku, v platném znění (dále jen „OZ“). </w:t>
      </w:r>
      <w:r>
        <w:rPr>
          <w:color w:val="000000"/>
          <w:spacing w:val="0"/>
          <w:w w:val="100"/>
          <w:position w:val="0"/>
          <w:shd w:val="clear" w:color="auto" w:fill="auto"/>
          <w:lang w:val="cs-CZ" w:eastAsia="cs-CZ" w:bidi="cs-CZ"/>
        </w:rPr>
        <w:t>Za účelem realizace díla definovaného v této smlouvě o dílo navazující na výběr nejvhodnější nabídky v rámci veřejné zakázky s názvem „</w:t>
      </w:r>
      <w:r>
        <w:rPr>
          <w:b/>
          <w:bCs/>
          <w:color w:val="000000"/>
          <w:spacing w:val="0"/>
          <w:w w:val="100"/>
          <w:position w:val="0"/>
          <w:shd w:val="clear" w:color="auto" w:fill="auto"/>
          <w:lang w:val="cs-CZ" w:eastAsia="cs-CZ" w:bidi="cs-CZ"/>
        </w:rPr>
        <w:t>Hlavní prohlídky mostů v roce 2021</w:t>
      </w:r>
      <w:r>
        <w:rPr>
          <w:color w:val="000000"/>
          <w:spacing w:val="0"/>
          <w:w w:val="100"/>
          <w:position w:val="0"/>
          <w:shd w:val="clear" w:color="auto" w:fill="auto"/>
          <w:lang w:val="cs-CZ" w:eastAsia="cs-CZ" w:bidi="cs-CZ"/>
        </w:rPr>
        <w:t>“, a uzavírají níže uvedeného dne, měsíce a roku tuto</w:t>
      </w:r>
    </w:p>
    <w:p>
      <w:pPr>
        <w:pStyle w:val="Style2"/>
        <w:keepNext w:val="0"/>
        <w:keepLines w:val="0"/>
        <w:widowControl w:val="0"/>
        <w:shd w:val="clear" w:color="auto" w:fill="auto"/>
        <w:bidi w:val="0"/>
        <w:spacing w:before="0" w:after="580" w:line="271" w:lineRule="auto"/>
        <w:ind w:left="0" w:right="0" w:firstLine="0"/>
        <w:jc w:val="center"/>
      </w:pPr>
      <w:r>
        <w:rPr>
          <w:color w:val="000000"/>
          <w:spacing w:val="0"/>
          <w:w w:val="100"/>
          <w:position w:val="0"/>
          <w:shd w:val="clear" w:color="auto" w:fill="auto"/>
          <w:lang w:val="cs-CZ" w:eastAsia="cs-CZ" w:bidi="cs-CZ"/>
        </w:rPr>
        <w:t>Smlouvu o dílo (dále jen „smlouva“).</w:t>
      </w:r>
    </w:p>
    <w:p>
      <w:pPr>
        <w:pStyle w:val="Style16"/>
        <w:keepNext/>
        <w:keepLines/>
        <w:widowControl w:val="0"/>
        <w:shd w:val="clear" w:color="auto" w:fill="auto"/>
        <w:bidi w:val="0"/>
        <w:spacing w:before="0" w:line="271"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Článek 2</w:t>
      </w:r>
      <w:bookmarkEnd w:id="0"/>
      <w:bookmarkEnd w:id="1"/>
    </w:p>
    <w:p>
      <w:pPr>
        <w:pStyle w:val="Style16"/>
        <w:keepNext/>
        <w:keepLines/>
        <w:widowControl w:val="0"/>
        <w:shd w:val="clear" w:color="auto" w:fill="auto"/>
        <w:bidi w:val="0"/>
        <w:spacing w:before="0" w:line="271"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2"/>
        <w:keepNext w:val="0"/>
        <w:keepLines w:val="0"/>
        <w:widowControl w:val="0"/>
        <w:numPr>
          <w:ilvl w:val="0"/>
          <w:numId w:val="1"/>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 xml:space="preserve">Předmětem plnění této smlouvy je závazek zhotovitele provést hlavní prohlídky mostů u vyjmenovaných mostů dle </w:t>
      </w:r>
      <w:r>
        <w:rPr>
          <w:b/>
          <w:bCs/>
          <w:color w:val="000000"/>
          <w:spacing w:val="0"/>
          <w:w w:val="100"/>
          <w:position w:val="0"/>
          <w:shd w:val="clear" w:color="auto" w:fill="auto"/>
          <w:lang w:val="cs-CZ" w:eastAsia="cs-CZ" w:bidi="cs-CZ"/>
        </w:rPr>
        <w:t xml:space="preserve">přílohy č. A3 </w:t>
      </w: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Hlavní prohlídky mostů v roce 2021, Část 3 - Okres Pelhřimov</w:t>
      </w:r>
      <w:r>
        <w:rPr>
          <w:color w:val="000000"/>
          <w:spacing w:val="0"/>
          <w:w w:val="100"/>
          <w:position w:val="0"/>
          <w:shd w:val="clear" w:color="auto" w:fill="auto"/>
          <w:lang w:val="cs-CZ" w:eastAsia="cs-CZ" w:bidi="cs-CZ"/>
        </w:rPr>
        <w:t>, v souladu s nabídkou zhotovitele v poptávkovém řízení a za dodržení sjednaných a níže uvedených podmínek:</w:t>
      </w:r>
    </w:p>
    <w:p>
      <w:pPr>
        <w:pStyle w:val="Style2"/>
        <w:keepNext w:val="0"/>
        <w:keepLines w:val="0"/>
        <w:widowControl w:val="0"/>
        <w:numPr>
          <w:ilvl w:val="0"/>
          <w:numId w:val="3"/>
        </w:numPr>
        <w:shd w:val="clear" w:color="auto" w:fill="auto"/>
        <w:tabs>
          <w:tab w:pos="1152" w:val="left"/>
        </w:tabs>
        <w:bidi w:val="0"/>
        <w:spacing w:before="0" w:line="271" w:lineRule="auto"/>
        <w:ind w:left="1140" w:right="0" w:hanging="560"/>
        <w:jc w:val="both"/>
      </w:pPr>
      <w:r>
        <w:rPr>
          <w:color w:val="000000"/>
          <w:spacing w:val="0"/>
          <w:w w:val="100"/>
          <w:position w:val="0"/>
          <w:shd w:val="clear" w:color="auto" w:fill="auto"/>
          <w:lang w:val="cs-CZ" w:eastAsia="cs-CZ" w:bidi="cs-CZ"/>
        </w:rPr>
        <w:t>Hlavní prohlídky mostů (dále jen HPM) budou provedeny u vybraných mostů podle zásad a v rozsahu stanoveném platnou ČSN 73 6221 Prohlídky mostů pozemních komunikací.</w:t>
      </w:r>
    </w:p>
    <w:p>
      <w:pPr>
        <w:pStyle w:val="Style2"/>
        <w:keepNext w:val="0"/>
        <w:keepLines w:val="0"/>
        <w:widowControl w:val="0"/>
        <w:numPr>
          <w:ilvl w:val="0"/>
          <w:numId w:val="3"/>
        </w:numPr>
        <w:shd w:val="clear" w:color="auto" w:fill="auto"/>
        <w:tabs>
          <w:tab w:pos="1152" w:val="left"/>
        </w:tabs>
        <w:bidi w:val="0"/>
        <w:spacing w:before="0" w:after="0" w:line="271" w:lineRule="auto"/>
        <w:ind w:left="1140" w:right="0" w:hanging="560"/>
        <w:jc w:val="both"/>
      </w:pPr>
      <w:r>
        <w:rPr>
          <w:color w:val="000000"/>
          <w:spacing w:val="0"/>
          <w:w w:val="100"/>
          <w:position w:val="0"/>
          <w:shd w:val="clear" w:color="auto" w:fill="auto"/>
          <w:lang w:val="cs-CZ" w:eastAsia="cs-CZ" w:bidi="cs-CZ"/>
        </w:rPr>
        <w:t xml:space="preserve">Záznamy z hlavních prohlídek mostů budou zapsány v „Systému pro hospodaření s mosty“ (BMS2) umístěném na internetové stránce firmy VARS BRNO a.s. pod adresou </w:t>
      </w:r>
      <w:r>
        <w:fldChar w:fldCharType="begin"/>
      </w:r>
      <w:r>
        <w:rPr/>
        <w:instrText> HYPERLINK "http://bms.clevera.cz/" </w:instrText>
      </w:r>
      <w:r>
        <w:fldChar w:fldCharType="separate"/>
      </w:r>
      <w:r>
        <w:rPr>
          <w:color w:val="000000"/>
          <w:spacing w:val="0"/>
          <w:w w:val="100"/>
          <w:position w:val="0"/>
          <w:shd w:val="clear" w:color="auto" w:fill="auto"/>
          <w:lang w:val="cs-CZ" w:eastAsia="cs-CZ" w:bidi="cs-CZ"/>
        </w:rPr>
        <w:t>http://bms.clevera.cz/</w:t>
      </w:r>
      <w:r>
        <w:fldChar w:fldCharType="end"/>
      </w:r>
      <w:r>
        <w:rPr>
          <w:color w:val="000000"/>
          <w:spacing w:val="0"/>
          <w:w w:val="100"/>
          <w:position w:val="0"/>
          <w:shd w:val="clear" w:color="auto" w:fill="auto"/>
          <w:lang w:val="cs-CZ" w:eastAsia="cs-CZ" w:bidi="cs-CZ"/>
        </w:rPr>
        <w:t xml:space="preserve"> - a to včetně fotodokumentace v rozsahu podle ČSN</w:t>
      </w:r>
    </w:p>
    <w:p>
      <w:pPr>
        <w:pStyle w:val="Style2"/>
        <w:keepNext w:val="0"/>
        <w:keepLines w:val="0"/>
        <w:widowControl w:val="0"/>
        <w:shd w:val="clear" w:color="auto" w:fill="auto"/>
        <w:bidi w:val="0"/>
        <w:spacing w:before="0" w:line="271" w:lineRule="auto"/>
        <w:ind w:left="1140" w:right="0" w:firstLine="20"/>
        <w:jc w:val="both"/>
      </w:pPr>
      <w:r>
        <w:rPr>
          <w:color w:val="000000"/>
          <w:spacing w:val="0"/>
          <w:w w:val="100"/>
          <w:position w:val="0"/>
          <w:shd w:val="clear" w:color="auto" w:fill="auto"/>
          <w:lang w:val="cs-CZ" w:eastAsia="cs-CZ" w:bidi="cs-CZ"/>
        </w:rPr>
        <w:t>73 6221 - Prohlídky mostů pozemních komunikací (minimálně 8 fotografií na jeden most plus fotodokumentace zjištěných závad a případných nedodělků). Záznamy včetně fotodokumentace budou předány objednateli písemně v jednom vyhotovení a na elektronickém nosiči dat v jednom vyhotovení.</w:t>
      </w:r>
    </w:p>
    <w:p>
      <w:pPr>
        <w:pStyle w:val="Style2"/>
        <w:keepNext w:val="0"/>
        <w:keepLines w:val="0"/>
        <w:widowControl w:val="0"/>
        <w:numPr>
          <w:ilvl w:val="0"/>
          <w:numId w:val="3"/>
        </w:numPr>
        <w:shd w:val="clear" w:color="auto" w:fill="auto"/>
        <w:tabs>
          <w:tab w:pos="1152" w:val="left"/>
        </w:tabs>
        <w:bidi w:val="0"/>
        <w:spacing w:before="0" w:line="276" w:lineRule="auto"/>
        <w:ind w:left="1140" w:right="0" w:hanging="560"/>
        <w:jc w:val="both"/>
      </w:pPr>
      <w:r>
        <w:rPr>
          <w:color w:val="000000"/>
          <w:spacing w:val="0"/>
          <w:w w:val="100"/>
          <w:position w:val="0"/>
          <w:shd w:val="clear" w:color="auto" w:fill="auto"/>
          <w:lang w:val="cs-CZ" w:eastAsia="cs-CZ" w:bidi="cs-CZ"/>
        </w:rPr>
        <w:t>Součástí hlavní prohlídky mostu je ověření základních pasportizačních údajů uvedených v pasportu a v mostním listu a porovnání se skutečným stavem. Zjištěné nepřesnosti budou uvedeny v záznamu z HPM a bude provedena oprava dat v databázi programu BMS.</w:t>
      </w:r>
    </w:p>
    <w:p>
      <w:pPr>
        <w:pStyle w:val="Style2"/>
        <w:keepNext w:val="0"/>
        <w:keepLines w:val="0"/>
        <w:widowControl w:val="0"/>
        <w:numPr>
          <w:ilvl w:val="0"/>
          <w:numId w:val="3"/>
        </w:numPr>
        <w:shd w:val="clear" w:color="auto" w:fill="auto"/>
        <w:tabs>
          <w:tab w:pos="1152" w:val="left"/>
        </w:tabs>
        <w:bidi w:val="0"/>
        <w:spacing w:before="0" w:line="276" w:lineRule="auto"/>
        <w:ind w:left="1140" w:right="0" w:hanging="560"/>
        <w:jc w:val="both"/>
      </w:pPr>
      <w:r>
        <w:rPr>
          <w:color w:val="000000"/>
          <w:spacing w:val="0"/>
          <w:w w:val="100"/>
          <w:position w:val="0"/>
          <w:shd w:val="clear" w:color="auto" w:fill="auto"/>
          <w:lang w:val="cs-CZ" w:eastAsia="cs-CZ" w:bidi="cs-CZ"/>
        </w:rPr>
        <w:t>Po projednání navrhovaných opatření pro údržbu a opravy s inspektorem mostů budou do záznamu z hlavní prohlídky mostu uvedena navrhovaná opatření včetně termínů.</w:t>
      </w:r>
    </w:p>
    <w:p>
      <w:pPr>
        <w:pStyle w:val="Style2"/>
        <w:keepNext w:val="0"/>
        <w:keepLines w:val="0"/>
        <w:widowControl w:val="0"/>
        <w:numPr>
          <w:ilvl w:val="0"/>
          <w:numId w:val="3"/>
        </w:numPr>
        <w:shd w:val="clear" w:color="auto" w:fill="auto"/>
        <w:tabs>
          <w:tab w:pos="1152" w:val="left"/>
        </w:tabs>
        <w:bidi w:val="0"/>
        <w:spacing w:before="0" w:line="271" w:lineRule="auto"/>
        <w:ind w:left="1140" w:right="0" w:hanging="560"/>
        <w:jc w:val="both"/>
      </w:pPr>
      <w:r>
        <w:rPr>
          <w:color w:val="000000"/>
          <w:spacing w:val="0"/>
          <w:w w:val="100"/>
          <w:position w:val="0"/>
          <w:shd w:val="clear" w:color="auto" w:fill="auto"/>
          <w:lang w:val="cs-CZ" w:eastAsia="cs-CZ" w:bidi="cs-CZ"/>
        </w:rPr>
        <w:t>Po projednání HPM s inspektorem mostů objednatele předloží zpracovatel HPM seznam prohlížených mostů, u kterých je vzhledem k jejich stavu nutné provedení rekonstrukce ve výhledu do 5 let, nebo nové určení zatížitelnosti mostu.</w:t>
      </w:r>
    </w:p>
    <w:p>
      <w:pPr>
        <w:pStyle w:val="Style2"/>
        <w:keepNext w:val="0"/>
        <w:keepLines w:val="0"/>
        <w:widowControl w:val="0"/>
        <w:numPr>
          <w:ilvl w:val="0"/>
          <w:numId w:val="3"/>
        </w:numPr>
        <w:shd w:val="clear" w:color="auto" w:fill="auto"/>
        <w:tabs>
          <w:tab w:pos="1152" w:val="left"/>
        </w:tabs>
        <w:bidi w:val="0"/>
        <w:spacing w:before="0" w:line="276" w:lineRule="auto"/>
        <w:ind w:left="1140" w:right="0" w:hanging="560"/>
        <w:jc w:val="both"/>
      </w:pPr>
      <w:r>
        <w:rPr>
          <w:color w:val="000000"/>
          <w:spacing w:val="0"/>
          <w:w w:val="100"/>
          <w:position w:val="0"/>
          <w:shd w:val="clear" w:color="auto" w:fill="auto"/>
          <w:lang w:val="cs-CZ" w:eastAsia="cs-CZ" w:bidi="cs-CZ"/>
        </w:rPr>
        <w:t>V případě zjištění závad ovlivňujících bezpečnost provozu nebo zatížitelnost mostu bude zhotovitel prohlídky neprodleně informovat správce mostu.</w:t>
      </w:r>
    </w:p>
    <w:p>
      <w:pPr>
        <w:pStyle w:val="Style2"/>
        <w:keepNext w:val="0"/>
        <w:keepLines w:val="0"/>
        <w:widowControl w:val="0"/>
        <w:numPr>
          <w:ilvl w:val="0"/>
          <w:numId w:val="3"/>
        </w:numPr>
        <w:shd w:val="clear" w:color="auto" w:fill="auto"/>
        <w:tabs>
          <w:tab w:pos="1152" w:val="left"/>
        </w:tabs>
        <w:bidi w:val="0"/>
        <w:spacing w:before="0" w:line="271" w:lineRule="auto"/>
        <w:ind w:left="1140" w:right="0" w:hanging="560"/>
        <w:jc w:val="both"/>
      </w:pPr>
      <w:r>
        <w:rPr>
          <w:color w:val="000000"/>
          <w:spacing w:val="0"/>
          <w:w w:val="100"/>
          <w:position w:val="0"/>
          <w:shd w:val="clear" w:color="auto" w:fill="auto"/>
          <w:lang w:val="cs-CZ" w:eastAsia="cs-CZ" w:bidi="cs-CZ"/>
        </w:rPr>
        <w:t>Klasifikační stupeň mostu se stanoví podle ČSN 73 6221 zvlášť pro spodní stavbu a zvlášť pro nosnou konstrukci s přihlédnutím ke stavu mostního svršku a vybavení mostu.</w:t>
      </w:r>
    </w:p>
    <w:p>
      <w:pPr>
        <w:pStyle w:val="Style2"/>
        <w:keepNext w:val="0"/>
        <w:keepLines w:val="0"/>
        <w:widowControl w:val="0"/>
        <w:numPr>
          <w:ilvl w:val="0"/>
          <w:numId w:val="3"/>
        </w:numPr>
        <w:shd w:val="clear" w:color="auto" w:fill="auto"/>
        <w:tabs>
          <w:tab w:pos="1146" w:val="left"/>
        </w:tabs>
        <w:bidi w:val="0"/>
        <w:spacing w:before="0" w:line="276" w:lineRule="auto"/>
        <w:ind w:left="1140" w:right="0" w:hanging="560"/>
        <w:jc w:val="left"/>
      </w:pPr>
      <w:r>
        <w:rPr>
          <w:color w:val="000000"/>
          <w:spacing w:val="0"/>
          <w:w w:val="100"/>
          <w:position w:val="0"/>
          <w:shd w:val="clear" w:color="auto" w:fill="auto"/>
          <w:lang w:val="cs-CZ" w:eastAsia="cs-CZ" w:bidi="cs-CZ"/>
        </w:rPr>
        <w:t>Použitelnost mostu z hlediska bezpečnosti provozu na mostním objektu se stanoví podle příslušného článku ČSN 73 6221.</w:t>
      </w:r>
    </w:p>
    <w:p>
      <w:pPr>
        <w:pStyle w:val="Style2"/>
        <w:keepNext w:val="0"/>
        <w:keepLines w:val="0"/>
        <w:widowControl w:val="0"/>
        <w:numPr>
          <w:ilvl w:val="0"/>
          <w:numId w:val="3"/>
        </w:numPr>
        <w:shd w:val="clear" w:color="auto" w:fill="auto"/>
        <w:tabs>
          <w:tab w:pos="1146" w:val="left"/>
        </w:tabs>
        <w:bidi w:val="0"/>
        <w:spacing w:before="0" w:line="271" w:lineRule="auto"/>
        <w:ind w:left="1140" w:right="0" w:hanging="560"/>
        <w:jc w:val="left"/>
      </w:pPr>
      <w:r>
        <w:rPr>
          <w:color w:val="000000"/>
          <w:spacing w:val="0"/>
          <w:w w:val="100"/>
          <w:position w:val="0"/>
          <w:shd w:val="clear" w:color="auto" w:fill="auto"/>
          <w:lang w:val="cs-CZ" w:eastAsia="cs-CZ" w:bidi="cs-CZ"/>
        </w:rPr>
        <w:t>Změny zatížitelnosti mostu, nebude-li dohodnuto jinak, budou stanoveny pouze kombinovaným statickým výpočtem. Každý návrh na změnu zatížitelnosti musí zpracovatel předem konzultovat s inspektorem mostů objednatele.</w:t>
      </w:r>
    </w:p>
    <w:p>
      <w:pPr>
        <w:pStyle w:val="Style2"/>
        <w:keepNext w:val="0"/>
        <w:keepLines w:val="0"/>
        <w:widowControl w:val="0"/>
        <w:numPr>
          <w:ilvl w:val="0"/>
          <w:numId w:val="3"/>
        </w:numPr>
        <w:shd w:val="clear" w:color="auto" w:fill="auto"/>
        <w:tabs>
          <w:tab w:pos="1146" w:val="left"/>
        </w:tabs>
        <w:bidi w:val="0"/>
        <w:spacing w:before="0" w:line="276" w:lineRule="auto"/>
        <w:ind w:left="1140" w:right="0" w:hanging="560"/>
        <w:jc w:val="left"/>
      </w:pPr>
      <w:r>
        <w:rPr>
          <w:color w:val="000000"/>
          <w:spacing w:val="0"/>
          <w:w w:val="100"/>
          <w:position w:val="0"/>
          <w:shd w:val="clear" w:color="auto" w:fill="auto"/>
          <w:lang w:val="cs-CZ" w:eastAsia="cs-CZ" w:bidi="cs-CZ"/>
        </w:rPr>
        <w:t>Provádění HPM musí být v souladu s Metodickým pokynem „Oprávnění k výkonu prohlídek mostů pozemních komunikací“, schválených MD-OPK čj. 130/2016-120- TN/8, ze dne 22. 11. 2016, s účinností od 24. 11. 2016.</w:t>
      </w:r>
    </w:p>
    <w:p>
      <w:pPr>
        <w:pStyle w:val="Style2"/>
        <w:keepNext w:val="0"/>
        <w:keepLines w:val="0"/>
        <w:widowControl w:val="0"/>
        <w:numPr>
          <w:ilvl w:val="0"/>
          <w:numId w:val="3"/>
        </w:numPr>
        <w:shd w:val="clear" w:color="auto" w:fill="auto"/>
        <w:tabs>
          <w:tab w:pos="1146" w:val="left"/>
        </w:tabs>
        <w:bidi w:val="0"/>
        <w:spacing w:before="0" w:line="271" w:lineRule="auto"/>
        <w:ind w:left="1140" w:right="0" w:hanging="560"/>
        <w:jc w:val="left"/>
      </w:pPr>
      <w:r>
        <w:rPr>
          <w:color w:val="000000"/>
          <w:spacing w:val="0"/>
          <w:w w:val="100"/>
          <w:position w:val="0"/>
          <w:shd w:val="clear" w:color="auto" w:fill="auto"/>
          <w:lang w:val="cs-CZ" w:eastAsia="cs-CZ" w:bidi="cs-CZ"/>
        </w:rPr>
        <w:t>Provádějící musí být držitelem „Oprávnění k výkonu hlavních a mimořádných prohlídek mostů pozemních komunikací“ a musí splňovat podmínky MP dle předchozího písmena.</w:t>
      </w:r>
    </w:p>
    <w:p>
      <w:pPr>
        <w:pStyle w:val="Style2"/>
        <w:keepNext w:val="0"/>
        <w:keepLines w:val="0"/>
        <w:widowControl w:val="0"/>
        <w:numPr>
          <w:ilvl w:val="0"/>
          <w:numId w:val="1"/>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2"/>
        <w:keepNext w:val="0"/>
        <w:keepLines w:val="0"/>
        <w:widowControl w:val="0"/>
        <w:numPr>
          <w:ilvl w:val="0"/>
          <w:numId w:val="1"/>
        </w:numPr>
        <w:shd w:val="clear" w:color="auto" w:fill="auto"/>
        <w:tabs>
          <w:tab w:pos="566" w:val="left"/>
        </w:tabs>
        <w:bidi w:val="0"/>
        <w:spacing w:before="0" w:after="560" w:line="276" w:lineRule="auto"/>
        <w:ind w:left="580" w:right="0" w:hanging="580"/>
        <w:jc w:val="left"/>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16"/>
        <w:keepNext/>
        <w:keepLines/>
        <w:widowControl w:val="0"/>
        <w:shd w:val="clear" w:color="auto" w:fill="auto"/>
        <w:bidi w:val="0"/>
        <w:spacing w:before="0" w:line="271"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r>
      <w:bookmarkEnd w:id="4"/>
      <w:bookmarkEnd w:id="5"/>
    </w:p>
    <w:p>
      <w:pPr>
        <w:pStyle w:val="Style16"/>
        <w:keepNext/>
        <w:keepLines/>
        <w:widowControl w:val="0"/>
        <w:shd w:val="clear" w:color="auto" w:fill="auto"/>
        <w:bidi w:val="0"/>
        <w:spacing w:before="0" w:line="271"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Doba plnění a místo plnění</w:t>
      </w:r>
      <w:bookmarkEnd w:id="6"/>
      <w:bookmarkEnd w:id="7"/>
    </w:p>
    <w:p>
      <w:pPr>
        <w:pStyle w:val="Style2"/>
        <w:keepNext w:val="0"/>
        <w:keepLines w:val="0"/>
        <w:widowControl w:val="0"/>
        <w:numPr>
          <w:ilvl w:val="1"/>
          <w:numId w:val="1"/>
        </w:numPr>
        <w:shd w:val="clear" w:color="auto" w:fill="auto"/>
        <w:tabs>
          <w:tab w:pos="566" w:val="left"/>
        </w:tabs>
        <w:bidi w:val="0"/>
        <w:spacing w:before="0" w:line="271" w:lineRule="auto"/>
        <w:ind w:left="0" w:right="0" w:firstLine="0"/>
        <w:jc w:val="left"/>
      </w:pPr>
      <w:r>
        <w:rPr>
          <w:color w:val="000000"/>
          <w:spacing w:val="0"/>
          <w:w w:val="100"/>
          <w:position w:val="0"/>
          <w:shd w:val="clear" w:color="auto" w:fill="auto"/>
          <w:lang w:val="cs-CZ" w:eastAsia="cs-CZ" w:bidi="cs-CZ"/>
        </w:rPr>
        <w:t>Zhotovitel se zavazuje provést dílo na etapy v následujících etapách:</w:t>
      </w:r>
    </w:p>
    <w:p>
      <w:pPr>
        <w:pStyle w:val="Style2"/>
        <w:keepNext w:val="0"/>
        <w:keepLines w:val="0"/>
        <w:widowControl w:val="0"/>
        <w:numPr>
          <w:ilvl w:val="0"/>
          <w:numId w:val="5"/>
        </w:numPr>
        <w:shd w:val="clear" w:color="auto" w:fill="auto"/>
        <w:tabs>
          <w:tab w:pos="933" w:val="left"/>
        </w:tabs>
        <w:bidi w:val="0"/>
        <w:spacing w:before="0" w:line="271" w:lineRule="auto"/>
        <w:ind w:left="580" w:right="0" w:firstLine="0"/>
        <w:jc w:val="left"/>
      </w:pPr>
      <w:r>
        <w:rPr>
          <w:b/>
          <w:bCs/>
          <w:color w:val="000000"/>
          <w:spacing w:val="0"/>
          <w:w w:val="100"/>
          <w:position w:val="0"/>
          <w:shd w:val="clear" w:color="auto" w:fill="auto"/>
          <w:lang w:val="cs-CZ" w:eastAsia="cs-CZ" w:bidi="cs-CZ"/>
        </w:rPr>
        <w:t xml:space="preserve">etapa: </w:t>
      </w:r>
      <w:r>
        <w:rPr>
          <w:color w:val="000000"/>
          <w:spacing w:val="0"/>
          <w:w w:val="100"/>
          <w:position w:val="0"/>
          <w:shd w:val="clear" w:color="auto" w:fill="auto"/>
          <w:lang w:val="cs-CZ" w:eastAsia="cs-CZ" w:bidi="cs-CZ"/>
        </w:rPr>
        <w:t xml:space="preserve">do 30. června 2021 - minimálně jedna třetina hlavních prohlídek mostů dle </w:t>
      </w:r>
      <w:r>
        <w:rPr>
          <w:b/>
          <w:bCs/>
          <w:color w:val="000000"/>
          <w:spacing w:val="0"/>
          <w:w w:val="100"/>
          <w:position w:val="0"/>
          <w:shd w:val="clear" w:color="auto" w:fill="auto"/>
          <w:lang w:val="cs-CZ" w:eastAsia="cs-CZ" w:bidi="cs-CZ"/>
        </w:rPr>
        <w:t>přílohy A3</w:t>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933" w:val="left"/>
        </w:tabs>
        <w:bidi w:val="0"/>
        <w:spacing w:before="0" w:line="276" w:lineRule="auto"/>
        <w:ind w:left="580" w:right="0" w:firstLine="0"/>
        <w:jc w:val="left"/>
      </w:pPr>
      <w:r>
        <w:rPr>
          <w:b/>
          <w:bCs/>
          <w:color w:val="000000"/>
          <w:spacing w:val="0"/>
          <w:w w:val="100"/>
          <w:position w:val="0"/>
          <w:shd w:val="clear" w:color="auto" w:fill="auto"/>
          <w:lang w:val="cs-CZ" w:eastAsia="cs-CZ" w:bidi="cs-CZ"/>
        </w:rPr>
        <w:t xml:space="preserve">etapa: </w:t>
      </w:r>
      <w:r>
        <w:rPr>
          <w:color w:val="000000"/>
          <w:spacing w:val="0"/>
          <w:w w:val="100"/>
          <w:position w:val="0"/>
          <w:shd w:val="clear" w:color="auto" w:fill="auto"/>
          <w:lang w:val="cs-CZ" w:eastAsia="cs-CZ" w:bidi="cs-CZ"/>
        </w:rPr>
        <w:t xml:space="preserve">do 31. srpna 2021 - minimálně další jedna třetina hlavních prohlídek mostů dle </w:t>
      </w:r>
      <w:r>
        <w:rPr>
          <w:b/>
          <w:bCs/>
          <w:color w:val="000000"/>
          <w:spacing w:val="0"/>
          <w:w w:val="100"/>
          <w:position w:val="0"/>
          <w:shd w:val="clear" w:color="auto" w:fill="auto"/>
          <w:lang w:val="cs-CZ" w:eastAsia="cs-CZ" w:bidi="cs-CZ"/>
        </w:rPr>
        <w:t>přílohy A3,</w:t>
      </w:r>
    </w:p>
    <w:p>
      <w:pPr>
        <w:pStyle w:val="Style2"/>
        <w:keepNext w:val="0"/>
        <w:keepLines w:val="0"/>
        <w:widowControl w:val="0"/>
        <w:numPr>
          <w:ilvl w:val="0"/>
          <w:numId w:val="5"/>
        </w:numPr>
        <w:shd w:val="clear" w:color="auto" w:fill="auto"/>
        <w:tabs>
          <w:tab w:pos="933" w:val="left"/>
        </w:tabs>
        <w:bidi w:val="0"/>
        <w:spacing w:before="0" w:line="271" w:lineRule="auto"/>
        <w:ind w:left="580" w:right="0" w:firstLine="0"/>
        <w:jc w:val="left"/>
      </w:pPr>
      <w:r>
        <w:rPr>
          <w:b/>
          <w:bCs/>
          <w:color w:val="000000"/>
          <w:spacing w:val="0"/>
          <w:w w:val="100"/>
          <w:position w:val="0"/>
          <w:shd w:val="clear" w:color="auto" w:fill="auto"/>
          <w:lang w:val="cs-CZ" w:eastAsia="cs-CZ" w:bidi="cs-CZ"/>
        </w:rPr>
        <w:t xml:space="preserve">etapa: </w:t>
      </w:r>
      <w:r>
        <w:rPr>
          <w:color w:val="000000"/>
          <w:spacing w:val="0"/>
          <w:w w:val="100"/>
          <w:position w:val="0"/>
          <w:shd w:val="clear" w:color="auto" w:fill="auto"/>
          <w:lang w:val="cs-CZ" w:eastAsia="cs-CZ" w:bidi="cs-CZ"/>
        </w:rPr>
        <w:t xml:space="preserve">do 31. října 2021 - zbývající část hlavních prohlídek mostů dle </w:t>
      </w:r>
      <w:r>
        <w:rPr>
          <w:b/>
          <w:bCs/>
          <w:color w:val="000000"/>
          <w:spacing w:val="0"/>
          <w:w w:val="100"/>
          <w:position w:val="0"/>
          <w:shd w:val="clear" w:color="auto" w:fill="auto"/>
          <w:lang w:val="cs-CZ" w:eastAsia="cs-CZ" w:bidi="cs-CZ"/>
        </w:rPr>
        <w:t>přílohy A3</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71" w:lineRule="auto"/>
        <w:ind w:left="0" w:right="0" w:firstLine="580"/>
        <w:jc w:val="left"/>
      </w:pPr>
      <w:r>
        <w:rPr>
          <w:color w:val="000000"/>
          <w:spacing w:val="0"/>
          <w:w w:val="100"/>
          <w:position w:val="0"/>
          <w:shd w:val="clear" w:color="auto" w:fill="auto"/>
          <w:lang w:val="cs-CZ" w:eastAsia="cs-CZ" w:bidi="cs-CZ"/>
        </w:rPr>
        <w:t>Dřívější plnění je možné.</w:t>
      </w:r>
    </w:p>
    <w:p>
      <w:pPr>
        <w:pStyle w:val="Style2"/>
        <w:keepNext w:val="0"/>
        <w:keepLines w:val="0"/>
        <w:widowControl w:val="0"/>
        <w:numPr>
          <w:ilvl w:val="1"/>
          <w:numId w:val="5"/>
        </w:numPr>
        <w:shd w:val="clear" w:color="auto" w:fill="auto"/>
        <w:tabs>
          <w:tab w:pos="566" w:val="left"/>
        </w:tabs>
        <w:bidi w:val="0"/>
        <w:spacing w:before="0" w:line="271" w:lineRule="auto"/>
        <w:ind w:left="0" w:right="0" w:firstLine="0"/>
        <w:jc w:val="left"/>
      </w:pPr>
      <w:r>
        <w:rPr>
          <w:color w:val="000000"/>
          <w:spacing w:val="0"/>
          <w:w w:val="100"/>
          <w:position w:val="0"/>
          <w:shd w:val="clear" w:color="auto" w:fill="auto"/>
          <w:lang w:val="cs-CZ" w:eastAsia="cs-CZ" w:bidi="cs-CZ"/>
        </w:rPr>
        <w:t>Místo plnění:</w:t>
      </w:r>
    </w:p>
    <w:p>
      <w:pPr>
        <w:pStyle w:val="Style2"/>
        <w:keepNext w:val="0"/>
        <w:keepLines w:val="0"/>
        <w:widowControl w:val="0"/>
        <w:shd w:val="clear" w:color="auto" w:fill="auto"/>
        <w:bidi w:val="0"/>
        <w:spacing w:before="0" w:line="271" w:lineRule="auto"/>
        <w:ind w:left="580" w:right="0" w:firstLine="0"/>
        <w:jc w:val="left"/>
      </w:pPr>
      <w:r>
        <w:rPr>
          <w:color w:val="000000"/>
          <w:spacing w:val="0"/>
          <w:w w:val="100"/>
          <w:position w:val="0"/>
          <w:shd w:val="clear" w:color="auto" w:fill="auto"/>
          <w:lang w:val="cs-CZ" w:eastAsia="cs-CZ" w:bidi="cs-CZ"/>
        </w:rPr>
        <w:t xml:space="preserve">Mosty uvedené v </w:t>
      </w:r>
      <w:r>
        <w:rPr>
          <w:b/>
          <w:bCs/>
          <w:color w:val="000000"/>
          <w:spacing w:val="0"/>
          <w:w w:val="100"/>
          <w:position w:val="0"/>
          <w:shd w:val="clear" w:color="auto" w:fill="auto"/>
          <w:lang w:val="cs-CZ" w:eastAsia="cs-CZ" w:bidi="cs-CZ"/>
        </w:rPr>
        <w:t>příloze A3</w:t>
      </w:r>
      <w:r>
        <w:rPr>
          <w:color w:val="000000"/>
          <w:spacing w:val="0"/>
          <w:w w:val="100"/>
          <w:position w:val="0"/>
          <w:shd w:val="clear" w:color="auto" w:fill="auto"/>
          <w:lang w:val="cs-CZ" w:eastAsia="cs-CZ" w:bidi="cs-CZ"/>
        </w:rPr>
        <w:t>, předání dokumentace pracoviště objednatele Pelhřimov, Myslotínská 1887, Pelhřimov 393 82.</w:t>
      </w:r>
    </w:p>
    <w:p>
      <w:pPr>
        <w:pStyle w:val="Style2"/>
        <w:keepNext w:val="0"/>
        <w:keepLines w:val="0"/>
        <w:widowControl w:val="0"/>
        <w:numPr>
          <w:ilvl w:val="1"/>
          <w:numId w:val="5"/>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2"/>
        <w:keepNext w:val="0"/>
        <w:keepLines w:val="0"/>
        <w:widowControl w:val="0"/>
        <w:shd w:val="clear" w:color="auto" w:fill="auto"/>
        <w:tabs>
          <w:tab w:pos="1079" w:val="left"/>
        </w:tabs>
        <w:bidi w:val="0"/>
        <w:spacing w:before="0" w:line="240" w:lineRule="auto"/>
        <w:ind w:left="0" w:right="0" w:firstLine="580"/>
        <w:jc w:val="left"/>
      </w:pPr>
      <w:r>
        <w:rPr>
          <w:b/>
          <w:bCs/>
          <w:color w:val="000000"/>
          <w:spacing w:val="0"/>
          <w:w w:val="100"/>
          <w:position w:val="0"/>
          <w:shd w:val="clear" w:color="auto" w:fill="auto"/>
          <w:lang w:val="cs-CZ" w:eastAsia="cs-CZ" w:bidi="cs-CZ"/>
        </w:rPr>
        <w:t>a)</w:t>
        <w:tab/>
      </w:r>
      <w:r>
        <w:rPr>
          <w:color w:val="000000"/>
          <w:spacing w:val="0"/>
          <w:w w:val="100"/>
          <w:position w:val="0"/>
          <w:shd w:val="clear" w:color="auto" w:fill="auto"/>
          <w:lang w:val="cs-CZ" w:eastAsia="cs-CZ" w:bidi="cs-CZ"/>
        </w:rPr>
        <w:t>dojde-li během plnění ke změně rozsahu a druhu prací na žádost objednatele,</w:t>
      </w:r>
    </w:p>
    <w:p>
      <w:pPr>
        <w:pStyle w:val="Style2"/>
        <w:keepNext w:val="0"/>
        <w:keepLines w:val="0"/>
        <w:widowControl w:val="0"/>
        <w:shd w:val="clear" w:color="auto" w:fill="auto"/>
        <w:bidi w:val="0"/>
        <w:spacing w:before="0" w:after="520" w:line="240" w:lineRule="auto"/>
        <w:ind w:left="1140" w:right="0" w:hanging="560"/>
        <w:jc w:val="both"/>
      </w:pPr>
      <w:r>
        <w:rPr>
          <w:b/>
          <w:bCs/>
          <w:color w:val="000000"/>
          <w:spacing w:val="0"/>
          <w:w w:val="100"/>
          <w:position w:val="0"/>
          <w:shd w:val="clear" w:color="auto" w:fill="auto"/>
          <w:lang w:val="cs-CZ" w:eastAsia="cs-CZ" w:bidi="cs-CZ"/>
        </w:rPr>
        <w:t xml:space="preserve">b) </w:t>
      </w: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16"/>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4</w:t>
      </w:r>
      <w:bookmarkEnd w:id="8"/>
      <w:bookmarkEnd w:id="9"/>
    </w:p>
    <w:p>
      <w:pPr>
        <w:pStyle w:val="Style16"/>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Cena díla</w:t>
      </w:r>
      <w:bookmarkEnd w:id="10"/>
      <w:bookmarkEnd w:id="11"/>
    </w:p>
    <w:p>
      <w:pPr>
        <w:pStyle w:val="Style2"/>
        <w:keepNext w:val="0"/>
        <w:keepLines w:val="0"/>
        <w:widowControl w:val="0"/>
        <w:numPr>
          <w:ilvl w:val="0"/>
          <w:numId w:val="7"/>
        </w:numPr>
        <w:shd w:val="clear" w:color="auto" w:fill="auto"/>
        <w:tabs>
          <w:tab w:pos="566" w:val="left"/>
        </w:tabs>
        <w:bidi w:val="0"/>
        <w:spacing w:before="0" w:after="140" w:line="240" w:lineRule="auto"/>
        <w:ind w:left="0" w:right="0" w:firstLine="0"/>
        <w:jc w:val="left"/>
      </w:pPr>
      <w:r>
        <w:rPr>
          <w:color w:val="000000"/>
          <w:spacing w:val="0"/>
          <w:w w:val="100"/>
          <w:position w:val="0"/>
          <w:shd w:val="clear" w:color="auto" w:fill="auto"/>
          <w:lang w:val="cs-CZ" w:eastAsia="cs-CZ" w:bidi="cs-CZ"/>
        </w:rPr>
        <w:t xml:space="preserve">Celková cena díla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činí:</w:t>
      </w:r>
    </w:p>
    <w:tbl>
      <w:tblPr>
        <w:tblOverlap w:val="never"/>
        <w:jc w:val="center"/>
        <w:tblLayout w:type="fixed"/>
      </w:tblPr>
      <w:tblGrid>
        <w:gridCol w:w="2371"/>
        <w:gridCol w:w="1762"/>
      </w:tblGrid>
      <w:tr>
        <w:trPr>
          <w:trHeight w:val="32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23 671,00 Kč</w:t>
            </w:r>
          </w:p>
        </w:tc>
      </w:tr>
      <w:tr>
        <w:trPr>
          <w:trHeight w:val="41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4970,91 Kč</w:t>
            </w:r>
          </w:p>
        </w:tc>
      </w:tr>
      <w:tr>
        <w:trPr>
          <w:trHeight w:val="341"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s 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28 641,91 Kč</w:t>
            </w:r>
          </w:p>
        </w:tc>
      </w:tr>
    </w:tbl>
    <w:p>
      <w:pPr>
        <w:widowControl w:val="0"/>
        <w:spacing w:after="99" w:line="1" w:lineRule="exact"/>
      </w:pPr>
    </w:p>
    <w:p>
      <w:pPr>
        <w:pStyle w:val="Style2"/>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ceně jsou obsaženy všechny práce a činnosti nutné ke splnění díla a odměna za užití nehmotného statku dle </w:t>
      </w:r>
      <w:r>
        <w:rPr>
          <w:b/>
          <w:bCs/>
          <w:color w:val="000000"/>
          <w:spacing w:val="0"/>
          <w:w w:val="100"/>
          <w:position w:val="0"/>
          <w:shd w:val="clear" w:color="auto" w:fill="auto"/>
          <w:lang w:val="cs-CZ" w:eastAsia="cs-CZ" w:bidi="cs-CZ"/>
        </w:rPr>
        <w:t>odst. 9.7</w:t>
      </w:r>
      <w:r>
        <w:rPr>
          <w:color w:val="000000"/>
          <w:spacing w:val="0"/>
          <w:w w:val="100"/>
          <w:position w:val="0"/>
          <w:shd w:val="clear" w:color="auto" w:fill="auto"/>
          <w:lang w:val="cs-CZ" w:eastAsia="cs-CZ" w:bidi="cs-CZ"/>
        </w:rPr>
        <w:t xml:space="preserve">. Cena je dohodnuta jako cena maximální, nejvýše přípustná, pevná po celou dobu plnění. Struktura ceny díla je rozepsána na jednotlivé mosty podle </w:t>
      </w:r>
      <w:r>
        <w:rPr>
          <w:b/>
          <w:bCs/>
          <w:color w:val="000000"/>
          <w:spacing w:val="0"/>
          <w:w w:val="100"/>
          <w:position w:val="0"/>
          <w:shd w:val="clear" w:color="auto" w:fill="auto"/>
          <w:lang w:val="cs-CZ" w:eastAsia="cs-CZ" w:bidi="cs-CZ"/>
        </w:rPr>
        <w:t xml:space="preserve">přílohy A3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7"/>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2"/>
        <w:keepNext w:val="0"/>
        <w:keepLines w:val="0"/>
        <w:widowControl w:val="0"/>
        <w:numPr>
          <w:ilvl w:val="1"/>
          <w:numId w:val="7"/>
        </w:numPr>
        <w:shd w:val="clear" w:color="auto" w:fill="auto"/>
        <w:tabs>
          <w:tab w:pos="566" w:val="left"/>
        </w:tabs>
        <w:bidi w:val="0"/>
        <w:spacing w:before="0" w:line="271" w:lineRule="auto"/>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Pro účely této smlouvy jsou dodatečné služby vždy spojeny s výdejem veřejných prostředků a podléhají postupům ustanovení </w:t>
      </w:r>
      <w:r>
        <w:rPr>
          <w:b/>
          <w:bCs/>
          <w:color w:val="000000"/>
          <w:spacing w:val="0"/>
          <w:w w:val="100"/>
          <w:position w:val="0"/>
          <w:shd w:val="clear" w:color="auto" w:fill="auto"/>
          <w:lang w:val="cs-CZ" w:eastAsia="cs-CZ" w:bidi="cs-CZ"/>
        </w:rPr>
        <w:t xml:space="preserve">§ 222 zákona č. 134/2016 Sb., o zadávání veřejných zakázek, v platném znění </w:t>
      </w:r>
      <w:r>
        <w:rPr>
          <w:color w:val="000000"/>
          <w:spacing w:val="0"/>
          <w:w w:val="100"/>
          <w:position w:val="0"/>
          <w:shd w:val="clear" w:color="auto" w:fill="auto"/>
          <w:lang w:val="cs-CZ" w:eastAsia="cs-CZ" w:bidi="cs-CZ"/>
        </w:rPr>
        <w:t>(dále jen „ZZVZ“).</w:t>
      </w:r>
    </w:p>
    <w:p>
      <w:pPr>
        <w:pStyle w:val="Style2"/>
        <w:keepNext w:val="0"/>
        <w:keepLines w:val="0"/>
        <w:widowControl w:val="0"/>
        <w:numPr>
          <w:ilvl w:val="1"/>
          <w:numId w:val="7"/>
        </w:numPr>
        <w:shd w:val="clear" w:color="auto" w:fill="auto"/>
        <w:tabs>
          <w:tab w:pos="566" w:val="left"/>
        </w:tabs>
        <w:bidi w:val="0"/>
        <w:spacing w:before="0" w:line="271" w:lineRule="auto"/>
        <w:ind w:left="580" w:right="0" w:hanging="58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w:t>
      </w:r>
    </w:p>
    <w:p>
      <w:pPr>
        <w:pStyle w:val="Style2"/>
        <w:keepNext w:val="0"/>
        <w:keepLines w:val="0"/>
        <w:widowControl w:val="0"/>
        <w:numPr>
          <w:ilvl w:val="1"/>
          <w:numId w:val="7"/>
        </w:numPr>
        <w:shd w:val="clear" w:color="auto" w:fill="auto"/>
        <w:tabs>
          <w:tab w:pos="566" w:val="left"/>
        </w:tabs>
        <w:bidi w:val="0"/>
        <w:spacing w:before="0" w:line="271" w:lineRule="auto"/>
        <w:ind w:left="580" w:right="0" w:hanging="58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2"/>
        <w:keepNext w:val="0"/>
        <w:keepLines w:val="0"/>
        <w:widowControl w:val="0"/>
        <w:numPr>
          <w:ilvl w:val="1"/>
          <w:numId w:val="7"/>
        </w:numPr>
        <w:shd w:val="clear" w:color="auto" w:fill="auto"/>
        <w:tabs>
          <w:tab w:pos="566" w:val="left"/>
        </w:tabs>
        <w:bidi w:val="0"/>
        <w:spacing w:before="0" w:line="271" w:lineRule="auto"/>
        <w:ind w:left="580" w:right="0" w:hanging="580"/>
        <w:jc w:val="both"/>
      </w:pPr>
      <w:r>
        <w:rPr>
          <w:color w:val="000000"/>
          <w:spacing w:val="0"/>
          <w:w w:val="100"/>
          <w:position w:val="0"/>
          <w:shd w:val="clear" w:color="auto" w:fill="auto"/>
          <w:lang w:val="cs-CZ" w:eastAsia="cs-CZ" w:bidi="cs-CZ"/>
        </w:rPr>
        <w:t>Veškeré dodatečné služby, které jsou nezbytné pro dokončení díla, musí být písemně dohodnuty osobami oprávněnými jednat ve věcech smlouvy a v souladu se ZZVZ.</w:t>
      </w:r>
    </w:p>
    <w:p>
      <w:pPr>
        <w:pStyle w:val="Style2"/>
        <w:keepNext w:val="0"/>
        <w:keepLines w:val="0"/>
        <w:widowControl w:val="0"/>
        <w:numPr>
          <w:ilvl w:val="1"/>
          <w:numId w:val="7"/>
        </w:numPr>
        <w:shd w:val="clear" w:color="auto" w:fill="auto"/>
        <w:tabs>
          <w:tab w:pos="646" w:val="left"/>
        </w:tabs>
        <w:bidi w:val="0"/>
        <w:spacing w:before="0" w:after="560" w:line="271" w:lineRule="auto"/>
        <w:ind w:left="580" w:right="0" w:hanging="580"/>
        <w:jc w:val="both"/>
      </w:pPr>
      <w:r>
        <w:rPr>
          <w:color w:val="000000"/>
          <w:spacing w:val="0"/>
          <w:w w:val="100"/>
          <w:position w:val="0"/>
          <w:shd w:val="clear" w:color="auto" w:fill="auto"/>
          <w:lang w:val="cs-CZ" w:eastAsia="cs-CZ" w:bidi="cs-CZ"/>
        </w:rPr>
        <w:t xml:space="preserve">Cena díla bude snížena o práce, které nebudou objednatelem vyžadovány (neprovedení hlavních prohlídek některých mostů) a tedy nebudou provedeny, pokud tento požadavek </w:t>
      </w:r>
      <w:r>
        <w:rPr>
          <w:color w:val="000000"/>
          <w:spacing w:val="0"/>
          <w:w w:val="100"/>
          <w:position w:val="0"/>
          <w:shd w:val="clear" w:color="auto" w:fill="auto"/>
          <w:lang w:val="cs-CZ" w:eastAsia="cs-CZ" w:bidi="cs-CZ"/>
        </w:rPr>
        <w:t>objednatel zastoupený inspektorem mostů písemně nebo e-mailem předá zhotoviteli nejpozději 5 kalendářních dní přede dnem provádění prohlídky mostu zhotovitelem.</w:t>
      </w:r>
    </w:p>
    <w:p>
      <w:pPr>
        <w:pStyle w:val="Style16"/>
        <w:keepNext/>
        <w:keepLines/>
        <w:widowControl w:val="0"/>
        <w:shd w:val="clear" w:color="auto" w:fill="auto"/>
        <w:bidi w:val="0"/>
        <w:spacing w:before="0" w:after="60" w:line="271"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5</w:t>
      </w:r>
      <w:bookmarkEnd w:id="12"/>
      <w:bookmarkEnd w:id="13"/>
    </w:p>
    <w:p>
      <w:pPr>
        <w:pStyle w:val="Style16"/>
        <w:keepNext/>
        <w:keepLines/>
        <w:widowControl w:val="0"/>
        <w:shd w:val="clear" w:color="auto" w:fill="auto"/>
        <w:bidi w:val="0"/>
        <w:spacing w:before="0" w:after="60" w:line="271"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Způsob provádění díla a dodání díla</w:t>
      </w:r>
      <w:bookmarkEnd w:id="14"/>
      <w:bookmarkEnd w:id="15"/>
    </w:p>
    <w:p>
      <w:pPr>
        <w:pStyle w:val="Style2"/>
        <w:keepNext w:val="0"/>
        <w:keepLines w:val="0"/>
        <w:widowControl w:val="0"/>
        <w:numPr>
          <w:ilvl w:val="0"/>
          <w:numId w:val="9"/>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Zhotovitel je povinen informovat objednatele zastoupeného inspektorem mostů o termínu provádění prohlídek mostů minimálně 14 kalendářních dní předem. Inspektor mostů má právo zúčastnit se provádění HPM, zejména u prohlídek prováděných z mostní prohlížečky. V průběhu zpracovávání zakázky bude zhotovitel konzultovat HPM s inspektorem mostů.</w:t>
      </w:r>
    </w:p>
    <w:p>
      <w:pPr>
        <w:pStyle w:val="Style2"/>
        <w:keepNext w:val="0"/>
        <w:keepLines w:val="0"/>
        <w:widowControl w:val="0"/>
        <w:numPr>
          <w:ilvl w:val="0"/>
          <w:numId w:val="9"/>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Datem odevzdání díla, nebo jeho části, je den, kdy zhotovitel doručí dílo na adresu místa plnění a je podepsán doklad o jeho předání.</w:t>
      </w:r>
    </w:p>
    <w:p>
      <w:pPr>
        <w:pStyle w:val="Style2"/>
        <w:keepNext w:val="0"/>
        <w:keepLines w:val="0"/>
        <w:widowControl w:val="0"/>
        <w:numPr>
          <w:ilvl w:val="0"/>
          <w:numId w:val="9"/>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Zhotovitel odevzdá dílo v etapách v souladu s dohodnutou dobou plnění na adresu místa plnění.</w:t>
      </w:r>
    </w:p>
    <w:p>
      <w:pPr>
        <w:pStyle w:val="Style2"/>
        <w:keepNext w:val="0"/>
        <w:keepLines w:val="0"/>
        <w:widowControl w:val="0"/>
        <w:numPr>
          <w:ilvl w:val="0"/>
          <w:numId w:val="9"/>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Dílo bude plněno v místě mostu, a dále dle dohody konzultacemi v sídle objednatele nebo v místě plnění, resp. na kontaktní adrese zhotovitele, případně na jiném vzájemně dohodnutém místě.</w:t>
      </w:r>
    </w:p>
    <w:p>
      <w:pPr>
        <w:pStyle w:val="Style2"/>
        <w:keepNext w:val="0"/>
        <w:keepLines w:val="0"/>
        <w:widowControl w:val="0"/>
        <w:numPr>
          <w:ilvl w:val="0"/>
          <w:numId w:val="9"/>
        </w:numPr>
        <w:shd w:val="clear" w:color="auto" w:fill="auto"/>
        <w:tabs>
          <w:tab w:pos="566" w:val="left"/>
        </w:tabs>
        <w:bidi w:val="0"/>
        <w:spacing w:before="0" w:line="271" w:lineRule="auto"/>
        <w:ind w:left="580" w:right="0" w:hanging="580"/>
        <w:jc w:val="left"/>
      </w:pPr>
      <w:r>
        <w:rPr>
          <w:color w:val="000000"/>
          <w:spacing w:val="0"/>
          <w:w w:val="100"/>
          <w:position w:val="0"/>
          <w:shd w:val="clear" w:color="auto" w:fill="auto"/>
          <w:lang w:val="cs-CZ" w:eastAsia="cs-CZ" w:bidi="cs-CZ"/>
        </w:rPr>
        <w:t>Zhotovitel provede dílo svým jménem na svou odpovědnost. Zhotovitel prohlašuje, že nepředá provedení celého díla jinému zhotoviteli.</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pPr>
        <w:pStyle w:val="Style2"/>
        <w:keepNext w:val="0"/>
        <w:keepLines w:val="0"/>
        <w:widowControl w:val="0"/>
        <w:numPr>
          <w:ilvl w:val="0"/>
          <w:numId w:val="9"/>
        </w:numPr>
        <w:shd w:val="clear" w:color="auto" w:fill="auto"/>
        <w:tabs>
          <w:tab w:pos="630" w:val="left"/>
        </w:tabs>
        <w:bidi w:val="0"/>
        <w:spacing w:before="0" w:line="271" w:lineRule="auto"/>
        <w:ind w:left="0" w:right="0" w:firstLine="0"/>
        <w:jc w:val="left"/>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čl. 3</w:t>
      </w:r>
      <w:r>
        <w:rPr>
          <w:color w:val="000000"/>
          <w:spacing w:val="0"/>
          <w:w w:val="100"/>
          <w:position w:val="0"/>
          <w:shd w:val="clear" w:color="auto" w:fill="auto"/>
          <w:lang w:val="cs-CZ" w:eastAsia="cs-CZ" w:bidi="cs-CZ"/>
        </w:rPr>
        <w:t>. této smlouvy.</w:t>
      </w:r>
    </w:p>
    <w:p>
      <w:pPr>
        <w:pStyle w:val="Style2"/>
        <w:keepNext w:val="0"/>
        <w:keepLines w:val="0"/>
        <w:widowControl w:val="0"/>
        <w:numPr>
          <w:ilvl w:val="0"/>
          <w:numId w:val="9"/>
        </w:numPr>
        <w:shd w:val="clear" w:color="auto" w:fill="auto"/>
        <w:tabs>
          <w:tab w:pos="630"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Kontaktní osoby objednatele a osoby pověřené provedením díla jsou uvedeny v </w:t>
      </w:r>
      <w:r>
        <w:rPr>
          <w:b/>
          <w:bCs/>
          <w:color w:val="000000"/>
          <w:spacing w:val="0"/>
          <w:w w:val="100"/>
          <w:position w:val="0"/>
          <w:shd w:val="clear" w:color="auto" w:fill="auto"/>
          <w:lang w:val="cs-CZ" w:eastAsia="cs-CZ" w:bidi="cs-CZ"/>
        </w:rPr>
        <w:t>příloze B1</w:t>
      </w:r>
    </w:p>
    <w:p>
      <w:pPr>
        <w:pStyle w:val="Style2"/>
        <w:keepNext w:val="0"/>
        <w:keepLines w:val="0"/>
        <w:widowControl w:val="0"/>
        <w:numPr>
          <w:ilvl w:val="0"/>
          <w:numId w:val="9"/>
        </w:numPr>
        <w:shd w:val="clear" w:color="auto" w:fill="auto"/>
        <w:tabs>
          <w:tab w:pos="630" w:val="left"/>
        </w:tabs>
        <w:bidi w:val="0"/>
        <w:spacing w:before="0" w:line="240" w:lineRule="auto"/>
        <w:ind w:left="580" w:right="0" w:hanging="580"/>
        <w:jc w:val="left"/>
      </w:pPr>
      <w:r>
        <w:rPr>
          <w:color w:val="000000"/>
          <w:spacing w:val="0"/>
          <w:w w:val="100"/>
          <w:position w:val="0"/>
          <w:shd w:val="clear" w:color="auto" w:fill="auto"/>
          <w:lang w:val="cs-CZ" w:eastAsia="cs-CZ" w:bidi="cs-CZ"/>
        </w:rPr>
        <w:t>Dílo je provedeno, je-li dokončeno a předáno objednateli v rozsahu dle p</w:t>
      </w:r>
      <w:r>
        <w:rPr>
          <w:b/>
          <w:bCs/>
          <w:color w:val="000000"/>
          <w:spacing w:val="0"/>
          <w:w w:val="100"/>
          <w:position w:val="0"/>
          <w:shd w:val="clear" w:color="auto" w:fill="auto"/>
          <w:lang w:val="cs-CZ" w:eastAsia="cs-CZ" w:bidi="cs-CZ"/>
        </w:rPr>
        <w:t xml:space="preserve">řílohy A3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9"/>
        </w:numPr>
        <w:shd w:val="clear" w:color="auto" w:fill="auto"/>
        <w:tabs>
          <w:tab w:pos="630" w:val="left"/>
        </w:tabs>
        <w:bidi w:val="0"/>
        <w:spacing w:before="0" w:after="520" w:line="240" w:lineRule="auto"/>
        <w:ind w:left="580" w:right="0" w:hanging="580"/>
        <w:jc w:val="left"/>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 Zápis bude případně obsahovat též soupis zjištěných vad s určením způsobu a dohodnutou lhůtou pro jejich odstranění.</w:t>
      </w:r>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6</w:t>
      </w:r>
      <w:bookmarkEnd w:id="16"/>
      <w:bookmarkEnd w:id="17"/>
    </w:p>
    <w:p>
      <w:pPr>
        <w:pStyle w:val="Style16"/>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Placení a fakturace</w:t>
      </w:r>
      <w:bookmarkEnd w:id="18"/>
      <w:bookmarkEnd w:id="19"/>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po předání díla v souladu s touto smlouvou je povinen vystavit fakturu za dílo a doporučeně ji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 xml:space="preserve">ode dne jejího doručení objednateli. Faktura musí v souladu se </w:t>
      </w:r>
      <w:r>
        <w:rPr>
          <w:b/>
          <w:bCs/>
          <w:color w:val="000000"/>
          <w:spacing w:val="0"/>
          <w:w w:val="100"/>
          <w:position w:val="0"/>
          <w:shd w:val="clear" w:color="auto" w:fill="auto"/>
          <w:lang w:val="cs-CZ" w:eastAsia="cs-CZ" w:bidi="cs-CZ"/>
        </w:rPr>
        <w:t xml:space="preserve">zákonem č. 235/2004 Sb., o dani z přidané hodnoty, ve znění pozdějších předpisů (dále zákon o DPH)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zákonem č. 563/1991 Sb. o účetnictví, ve znění pozdějších předpisů</w:t>
      </w:r>
      <w:r>
        <w:rPr>
          <w:color w:val="000000"/>
          <w:spacing w:val="0"/>
          <w:w w:val="100"/>
          <w:position w:val="0"/>
          <w:shd w:val="clear" w:color="auto" w:fill="auto"/>
          <w:lang w:val="cs-CZ" w:eastAsia="cs-CZ" w:bidi="cs-CZ"/>
        </w:rPr>
        <w:t>, obsahovat označení faktura a její číslo, název a sídlo zhotovitele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Objednatel přijímá i elektronické faktury, a to ve formátech XML nebo PDF. V takovém případě je Zhotovitel povinen elektronickou fakturu zaslat Objednateli na email </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ksusv@ksusv.cz.</w:t>
      </w:r>
      <w:r>
        <w:fldChar w:fldCharType="end"/>
      </w:r>
    </w:p>
    <w:p>
      <w:pPr>
        <w:pStyle w:val="Style2"/>
        <w:keepNext w:val="0"/>
        <w:keepLines w:val="0"/>
        <w:widowControl w:val="0"/>
        <w:numPr>
          <w:ilvl w:val="0"/>
          <w:numId w:val="11"/>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Objednatel nebude zhotoviteli poskytovat zálohy.</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Platba bude probíhat až do výše 80 % ceny. Zbývajících 20 % ceny bude na faktuře uvedeno jako pozastávka a bude uhrazeno až po předání a převzetí hotového díla a po odstranění poslední vady zapsané v protokolu o předání a převzetí hotového díla.</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 xml:space="preserve">Úhrada za plnění dle této smlouvy bude realizována bezhotovostním převodem na účet zhotovitele,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left"/>
      </w:pPr>
      <w:r>
        <w:rPr>
          <w:color w:val="000000"/>
          <w:spacing w:val="0"/>
          <w:w w:val="100"/>
          <w:position w:val="0"/>
          <w:shd w:val="clear" w:color="auto" w:fill="auto"/>
          <w:lang w:val="cs-CZ" w:eastAsia="cs-CZ" w:bidi="cs-CZ"/>
        </w:rPr>
        <w:t xml:space="preserve">Pokud se po dobu účinnosti této smlouvy zhotovitel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6"/>
        <w:keepNext/>
        <w:keepLines/>
        <w:widowControl w:val="0"/>
        <w:shd w:val="clear" w:color="auto" w:fill="auto"/>
        <w:bidi w:val="0"/>
        <w:spacing w:before="0" w:line="240" w:lineRule="auto"/>
        <w:ind w:left="4300" w:right="0" w:firstLine="0"/>
        <w:jc w:val="left"/>
      </w:pPr>
      <w:bookmarkStart w:id="20" w:name="bookmark20"/>
      <w:bookmarkStart w:id="21" w:name="bookmark21"/>
      <w:r>
        <w:rPr>
          <w:color w:val="000000"/>
          <w:spacing w:val="0"/>
          <w:w w:val="100"/>
          <w:position w:val="0"/>
          <w:shd w:val="clear" w:color="auto" w:fill="auto"/>
          <w:lang w:val="cs-CZ" w:eastAsia="cs-CZ" w:bidi="cs-CZ"/>
        </w:rPr>
        <w:t>Článek 7</w:t>
      </w:r>
      <w:bookmarkEnd w:id="20"/>
      <w:bookmarkEnd w:id="21"/>
    </w:p>
    <w:p>
      <w:pPr>
        <w:pStyle w:val="Style16"/>
        <w:keepNext/>
        <w:keepLines/>
        <w:widowControl w:val="0"/>
        <w:shd w:val="clear" w:color="auto" w:fill="auto"/>
        <w:bidi w:val="0"/>
        <w:spacing w:before="0" w:after="16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Záruka</w:t>
      </w:r>
      <w:bookmarkEnd w:id="22"/>
      <w:bookmarkEnd w:id="23"/>
    </w:p>
    <w:p>
      <w:pPr>
        <w:pStyle w:val="Style2"/>
        <w:keepNext w:val="0"/>
        <w:keepLines w:val="0"/>
        <w:widowControl w:val="0"/>
        <w:numPr>
          <w:ilvl w:val="1"/>
          <w:numId w:val="11"/>
        </w:numPr>
        <w:shd w:val="clear" w:color="auto" w:fill="auto"/>
        <w:tabs>
          <w:tab w:pos="572" w:val="left"/>
        </w:tabs>
        <w:bidi w:val="0"/>
        <w:spacing w:before="0" w:line="240" w:lineRule="auto"/>
        <w:ind w:left="580" w:right="0" w:hanging="580"/>
        <w:jc w:val="left"/>
      </w:pPr>
      <w:r>
        <w:rPr>
          <w:color w:val="000000"/>
          <w:spacing w:val="0"/>
          <w:w w:val="100"/>
          <w:position w:val="0"/>
          <w:shd w:val="clear" w:color="auto" w:fill="auto"/>
          <w:lang w:val="cs-CZ" w:eastAsia="cs-CZ" w:bidi="cs-CZ"/>
        </w:rPr>
        <w:t xml:space="preserve">Zhotovitel poskytne na dílo, které je předmětem této smlouvy, záruku </w:t>
      </w:r>
      <w:r>
        <w:rPr>
          <w:b/>
          <w:bCs/>
          <w:color w:val="000000"/>
          <w:spacing w:val="0"/>
          <w:w w:val="100"/>
          <w:position w:val="0"/>
          <w:shd w:val="clear" w:color="auto" w:fill="auto"/>
          <w:lang w:val="cs-CZ" w:eastAsia="cs-CZ" w:bidi="cs-CZ"/>
        </w:rPr>
        <w:t xml:space="preserve">72 měsíců </w:t>
      </w:r>
      <w:r>
        <w:rPr>
          <w:color w:val="000000"/>
          <w:spacing w:val="0"/>
          <w:w w:val="100"/>
          <w:position w:val="0"/>
          <w:shd w:val="clear" w:color="auto" w:fill="auto"/>
          <w:lang w:val="cs-CZ" w:eastAsia="cs-CZ" w:bidi="cs-CZ"/>
        </w:rPr>
        <w:t>od podepsání písemného protokolu o předání a převzetí předmětu díla bez vad.</w:t>
      </w:r>
    </w:p>
    <w:p>
      <w:pPr>
        <w:pStyle w:val="Style2"/>
        <w:keepNext w:val="0"/>
        <w:keepLines w:val="0"/>
        <w:widowControl w:val="0"/>
        <w:numPr>
          <w:ilvl w:val="1"/>
          <w:numId w:val="11"/>
        </w:numPr>
        <w:shd w:val="clear" w:color="auto" w:fill="auto"/>
        <w:tabs>
          <w:tab w:pos="572" w:val="left"/>
        </w:tabs>
        <w:bidi w:val="0"/>
        <w:spacing w:before="0" w:after="560" w:line="240" w:lineRule="auto"/>
        <w:ind w:left="580" w:right="0" w:hanging="580"/>
        <w:jc w:val="left"/>
      </w:pPr>
      <w:r>
        <w:rPr>
          <w:color w:val="000000"/>
          <w:spacing w:val="0"/>
          <w:w w:val="100"/>
          <w:position w:val="0"/>
          <w:shd w:val="clear" w:color="auto" w:fill="auto"/>
          <w:lang w:val="cs-CZ" w:eastAsia="cs-CZ" w:bidi="cs-CZ"/>
        </w:rPr>
        <w:t xml:space="preserve">Veškeré vady zjištěné objednatelem v záruční době na dokončeném díle specifikovaném v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je zhotovitel povinen bezúplatně odstranit, nejpozději do 7 kalendářních dnů od písemného oznámení uplatňované vady objednatelem.</w:t>
      </w:r>
    </w:p>
    <w:p>
      <w:pPr>
        <w:pStyle w:val="Style16"/>
        <w:keepNext/>
        <w:keepLines/>
        <w:widowControl w:val="0"/>
        <w:shd w:val="clear" w:color="auto" w:fill="auto"/>
        <w:bidi w:val="0"/>
        <w:spacing w:before="0" w:after="160" w:line="240" w:lineRule="auto"/>
        <w:ind w:left="4300" w:right="0" w:firstLine="0"/>
        <w:jc w:val="left"/>
      </w:pPr>
      <w:bookmarkStart w:id="24" w:name="bookmark24"/>
      <w:bookmarkStart w:id="25" w:name="bookmark25"/>
      <w:r>
        <w:rPr>
          <w:color w:val="000000"/>
          <w:spacing w:val="0"/>
          <w:w w:val="100"/>
          <w:position w:val="0"/>
          <w:shd w:val="clear" w:color="auto" w:fill="auto"/>
          <w:lang w:val="cs-CZ" w:eastAsia="cs-CZ" w:bidi="cs-CZ"/>
        </w:rPr>
        <w:t>Článek 8</w:t>
      </w:r>
      <w:bookmarkEnd w:id="24"/>
      <w:bookmarkEnd w:id="25"/>
    </w:p>
    <w:p>
      <w:pPr>
        <w:pStyle w:val="Style16"/>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Smluvní pokuty</w:t>
      </w:r>
      <w:bookmarkEnd w:id="26"/>
      <w:bookmarkEnd w:id="27"/>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8.1 </w:t>
      </w: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w:t>
      </w:r>
      <w:r>
        <w:rPr>
          <w:color w:val="000000"/>
          <w:spacing w:val="0"/>
          <w:w w:val="100"/>
          <w:position w:val="0"/>
          <w:shd w:val="clear" w:color="auto" w:fill="auto"/>
          <w:lang w:val="cs-CZ" w:eastAsia="cs-CZ" w:bidi="cs-CZ"/>
        </w:rPr>
        <w:t xml:space="preserve">a násl. OZ tyto níže uvedené smluvní pokuty, jejichž sjednáním není dle </w:t>
      </w:r>
      <w:r>
        <w:rPr>
          <w:b/>
          <w:bCs/>
          <w:color w:val="000000"/>
          <w:spacing w:val="0"/>
          <w:w w:val="100"/>
          <w:position w:val="0"/>
          <w:shd w:val="clear" w:color="auto" w:fill="auto"/>
          <w:lang w:val="cs-CZ" w:eastAsia="cs-CZ" w:bidi="cs-CZ"/>
        </w:rPr>
        <w:t xml:space="preserve">§ 2050 </w:t>
      </w:r>
      <w:r>
        <w:rPr>
          <w:color w:val="000000"/>
          <w:spacing w:val="0"/>
          <w:w w:val="100"/>
          <w:position w:val="0"/>
          <w:shd w:val="clear" w:color="auto" w:fill="auto"/>
          <w:lang w:val="cs-CZ" w:eastAsia="cs-CZ" w:bidi="cs-CZ"/>
        </w:rPr>
        <w:t>OZ dotčen nárok objednatele na náhradu škody způsobené porušením povinnosti, zajištěné smluvní pokutou. Pohledávka objednatele na zaplacení smluvní pokuty může být započítána s pohledávkou zhotovitele na zaplacení ceny.</w:t>
      </w:r>
    </w:p>
    <w:p>
      <w:pPr>
        <w:pStyle w:val="Style2"/>
        <w:keepNext w:val="0"/>
        <w:keepLines w:val="0"/>
        <w:widowControl w:val="0"/>
        <w:numPr>
          <w:ilvl w:val="0"/>
          <w:numId w:val="13"/>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w:t>
      </w:r>
      <w:r>
        <w:rPr>
          <w:b/>
          <w:bCs/>
          <w:color w:val="000000"/>
          <w:spacing w:val="0"/>
          <w:w w:val="100"/>
          <w:position w:val="0"/>
          <w:shd w:val="clear" w:color="auto" w:fill="auto"/>
          <w:lang w:val="cs-CZ" w:eastAsia="cs-CZ" w:bidi="cs-CZ"/>
        </w:rPr>
        <w:t xml:space="preserve">prodlení s termínem dokončení každé etapy plnění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0,1 %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0"/>
          <w:numId w:val="13"/>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0"/>
          <w:numId w:val="13"/>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započatý den prodlení se zaplacením faktury.</w:t>
      </w:r>
    </w:p>
    <w:p>
      <w:pPr>
        <w:pStyle w:val="Style2"/>
        <w:keepNext w:val="0"/>
        <w:keepLines w:val="0"/>
        <w:widowControl w:val="0"/>
        <w:numPr>
          <w:ilvl w:val="0"/>
          <w:numId w:val="13"/>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2"/>
        <w:keepNext w:val="0"/>
        <w:keepLines w:val="0"/>
        <w:widowControl w:val="0"/>
        <w:numPr>
          <w:ilvl w:val="0"/>
          <w:numId w:val="13"/>
        </w:numPr>
        <w:shd w:val="clear" w:color="auto" w:fill="auto"/>
        <w:tabs>
          <w:tab w:pos="572"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6"/>
        <w:keepNext/>
        <w:keepLines/>
        <w:widowControl w:val="0"/>
        <w:shd w:val="clear" w:color="auto" w:fill="auto"/>
        <w:bidi w:val="0"/>
        <w:spacing w:before="0" w:line="240" w:lineRule="auto"/>
        <w:ind w:left="4300" w:right="0" w:firstLine="0"/>
        <w:jc w:val="left"/>
      </w:pPr>
      <w:bookmarkStart w:id="28" w:name="bookmark28"/>
      <w:bookmarkStart w:id="29" w:name="bookmark29"/>
      <w:r>
        <w:rPr>
          <w:color w:val="000000"/>
          <w:spacing w:val="0"/>
          <w:w w:val="100"/>
          <w:position w:val="0"/>
          <w:shd w:val="clear" w:color="auto" w:fill="auto"/>
          <w:lang w:val="cs-CZ" w:eastAsia="cs-CZ" w:bidi="cs-CZ"/>
        </w:rPr>
        <w:t>Článek 9</w:t>
      </w:r>
      <w:bookmarkEnd w:id="28"/>
      <w:bookmarkEnd w:id="29"/>
    </w:p>
    <w:p>
      <w:pPr>
        <w:pStyle w:val="Style16"/>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Společná ujednání</w:t>
      </w:r>
      <w:bookmarkEnd w:id="30"/>
      <w:bookmarkEnd w:id="31"/>
    </w:p>
    <w:p>
      <w:pPr>
        <w:pStyle w:val="Style2"/>
        <w:keepNext w:val="0"/>
        <w:keepLines w:val="0"/>
        <w:widowControl w:val="0"/>
        <w:numPr>
          <w:ilvl w:val="0"/>
          <w:numId w:val="15"/>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15"/>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se zavazuje spolupůsobit jako osoba povinná ve smyslu </w:t>
      </w:r>
      <w:r>
        <w:rPr>
          <w:b/>
          <w:bCs/>
          <w:color w:val="000000"/>
          <w:spacing w:val="0"/>
          <w:w w:val="100"/>
          <w:position w:val="0"/>
          <w:shd w:val="clear" w:color="auto" w:fill="auto"/>
          <w:lang w:val="cs-CZ" w:eastAsia="cs-CZ" w:bidi="cs-CZ"/>
        </w:rPr>
        <w:t xml:space="preserve">§ 2 písm. e) zákona č. 320/2001 Sb., </w:t>
      </w:r>
      <w:r>
        <w:rPr>
          <w:color w:val="000000"/>
          <w:spacing w:val="0"/>
          <w:w w:val="100"/>
          <w:position w:val="0"/>
          <w:shd w:val="clear" w:color="auto" w:fill="auto"/>
          <w:lang w:val="cs-CZ" w:eastAsia="cs-CZ" w:bidi="cs-CZ"/>
        </w:rPr>
        <w:t>o finanční kontrole ve veřejné správě v platném znění.</w:t>
      </w:r>
    </w:p>
    <w:p>
      <w:pPr>
        <w:pStyle w:val="Style2"/>
        <w:keepNext w:val="0"/>
        <w:keepLines w:val="0"/>
        <w:widowControl w:val="0"/>
        <w:numPr>
          <w:ilvl w:val="0"/>
          <w:numId w:val="15"/>
        </w:numPr>
        <w:shd w:val="clear" w:color="auto" w:fill="auto"/>
        <w:tabs>
          <w:tab w:pos="572" w:val="left"/>
        </w:tabs>
        <w:bidi w:val="0"/>
        <w:spacing w:before="0" w:line="240" w:lineRule="auto"/>
        <w:ind w:left="580" w:right="0" w:hanging="58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2"/>
        <w:keepNext w:val="0"/>
        <w:keepLines w:val="0"/>
        <w:widowControl w:val="0"/>
        <w:numPr>
          <w:ilvl w:val="0"/>
          <w:numId w:val="15"/>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2"/>
        <w:keepNext w:val="0"/>
        <w:keepLines w:val="0"/>
        <w:widowControl w:val="0"/>
        <w:numPr>
          <w:ilvl w:val="0"/>
          <w:numId w:val="15"/>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2"/>
        <w:keepNext w:val="0"/>
        <w:keepLines w:val="0"/>
        <w:widowControl w:val="0"/>
        <w:numPr>
          <w:ilvl w:val="0"/>
          <w:numId w:val="15"/>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2"/>
        <w:keepNext w:val="0"/>
        <w:keepLines w:val="0"/>
        <w:widowControl w:val="0"/>
        <w:numPr>
          <w:ilvl w:val="0"/>
          <w:numId w:val="15"/>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případě, že součástí díla bude nehmotný statek, jenž je předmětem úpravy </w:t>
      </w:r>
      <w:r>
        <w:rPr>
          <w:b/>
          <w:bCs/>
          <w:color w:val="000000"/>
          <w:spacing w:val="0"/>
          <w:w w:val="100"/>
          <w:position w:val="0"/>
          <w:shd w:val="clear" w:color="auto" w:fill="auto"/>
          <w:lang w:val="cs-CZ" w:eastAsia="cs-CZ" w:bidi="cs-CZ"/>
        </w:rPr>
        <w:t xml:space="preserve">OZ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zákona č. 121/2000 Sb., o právu autorském, o právech souvisejících s právem autorským a o změně některých zákonů (autorský zákon), ve znění pozdějších předpisů </w:t>
      </w:r>
      <w:r>
        <w:rPr>
          <w:color w:val="000000"/>
          <w:spacing w:val="0"/>
          <w:w w:val="100"/>
          <w:position w:val="0"/>
          <w:shd w:val="clear" w:color="auto" w:fill="auto"/>
          <w:lang w:val="cs-CZ" w:eastAsia="cs-CZ" w:bidi="cs-CZ"/>
        </w:rPr>
        <w:t xml:space="preserve">(dále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hd w:val="clear" w:color="auto" w:fill="auto"/>
          <w:lang w:val="cs-CZ" w:eastAsia="cs-CZ" w:bidi="cs-CZ"/>
        </w:rPr>
        <w:t xml:space="preserve">čl. 4 </w:t>
      </w:r>
      <w:r>
        <w:rPr>
          <w:color w:val="000000"/>
          <w:spacing w:val="0"/>
          <w:w w:val="100"/>
          <w:position w:val="0"/>
          <w:shd w:val="clear" w:color="auto" w:fill="auto"/>
          <w:lang w:val="cs-CZ" w:eastAsia="cs-CZ" w:bidi="cs-CZ"/>
        </w:rPr>
        <w:t>této smlouvy a zhotovitel není oprávněn požadovat jakoukoli další platbu za užívání díla.</w:t>
      </w:r>
    </w:p>
    <w:p>
      <w:pPr>
        <w:pStyle w:val="Style2"/>
        <w:keepNext w:val="0"/>
        <w:keepLines w:val="0"/>
        <w:widowControl w:val="0"/>
        <w:numPr>
          <w:ilvl w:val="0"/>
          <w:numId w:val="15"/>
        </w:numPr>
        <w:shd w:val="clear" w:color="auto" w:fill="auto"/>
        <w:tabs>
          <w:tab w:pos="563"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 obdrží přístupová práva (heslo) do aplikace BMS od jejího správce</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s čímž objednatel uděluje tímto souhlas. Mostní listy a výsledky předchozích HPM a běžných prohlídek všech mostů jsou zhotoviteli k dispozici v aplikaci BMS. Mapy jednotlivých okresů poskytne zhotoviteli objednatel. Nové údaje zjištěné HPM uloží zhotovitel do databáze aplikace BMS.</w:t>
      </w:r>
    </w:p>
    <w:p>
      <w:pPr>
        <w:pStyle w:val="Style2"/>
        <w:keepNext w:val="0"/>
        <w:keepLines w:val="0"/>
        <w:widowControl w:val="0"/>
        <w:numPr>
          <w:ilvl w:val="0"/>
          <w:numId w:val="15"/>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5"/>
        </w:numPr>
        <w:shd w:val="clear" w:color="auto" w:fill="auto"/>
        <w:tabs>
          <w:tab w:pos="60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5"/>
        </w:numPr>
        <w:shd w:val="clear" w:color="auto" w:fill="auto"/>
        <w:tabs>
          <w:tab w:pos="606" w:val="left"/>
        </w:tabs>
        <w:bidi w:val="0"/>
        <w:spacing w:before="0" w:line="240" w:lineRule="auto"/>
        <w:ind w:left="580" w:right="0" w:hanging="58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 xml:space="preserve">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w:t>
      </w:r>
      <w:r>
        <w:rPr>
          <w:color w:val="000000"/>
          <w:spacing w:val="0"/>
          <w:w w:val="100"/>
          <w:position w:val="0"/>
          <w:shd w:val="clear" w:color="auto" w:fill="auto"/>
          <w:lang w:val="cs-CZ" w:eastAsia="cs-CZ" w:bidi="cs-CZ"/>
        </w:rPr>
        <w:t>i před uplynutím lhůty dodatečného plnění, poté, co prohlášení druhé smluvní strany obdržela.</w:t>
      </w:r>
    </w:p>
    <w:p>
      <w:pPr>
        <w:pStyle w:val="Style2"/>
        <w:keepNext w:val="0"/>
        <w:keepLines w:val="0"/>
        <w:widowControl w:val="0"/>
        <w:numPr>
          <w:ilvl w:val="0"/>
          <w:numId w:val="15"/>
        </w:numPr>
        <w:shd w:val="clear" w:color="auto" w:fill="auto"/>
        <w:tabs>
          <w:tab w:pos="630" w:val="left"/>
        </w:tabs>
        <w:bidi w:val="0"/>
        <w:spacing w:before="0" w:line="240" w:lineRule="auto"/>
        <w:ind w:left="0" w:right="0" w:firstLine="0"/>
        <w:jc w:val="left"/>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2"/>
        <w:keepNext w:val="0"/>
        <w:keepLines w:val="0"/>
        <w:widowControl w:val="0"/>
        <w:numPr>
          <w:ilvl w:val="0"/>
          <w:numId w:val="1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2"/>
        <w:keepNext w:val="0"/>
        <w:keepLines w:val="0"/>
        <w:widowControl w:val="0"/>
        <w:numPr>
          <w:ilvl w:val="0"/>
          <w:numId w:val="1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při zjištění, že dílo neodpovídá požadavkům objednatele stanoveným v zadávací dokumentaci; a nebo</w:t>
      </w:r>
    </w:p>
    <w:p>
      <w:pPr>
        <w:pStyle w:val="Style2"/>
        <w:keepNext w:val="0"/>
        <w:keepLines w:val="0"/>
        <w:widowControl w:val="0"/>
        <w:numPr>
          <w:ilvl w:val="0"/>
          <w:numId w:val="1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v případě, že zhotovitel uvedl ve své nabídce podané v předchozím poptávkovém řízení informace nebo doklady, které neodpovídají skutečnosti a měly nebo mohly mít vliv na výsledek zadávacího řízení; a</w:t>
      </w:r>
    </w:p>
    <w:p>
      <w:pPr>
        <w:pStyle w:val="Style2"/>
        <w:keepNext w:val="0"/>
        <w:keepLines w:val="0"/>
        <w:widowControl w:val="0"/>
        <w:numPr>
          <w:ilvl w:val="0"/>
          <w:numId w:val="1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2"/>
        <w:keepNext w:val="0"/>
        <w:keepLines w:val="0"/>
        <w:widowControl w:val="0"/>
        <w:numPr>
          <w:ilvl w:val="0"/>
          <w:numId w:val="15"/>
        </w:numPr>
        <w:shd w:val="clear" w:color="auto" w:fill="auto"/>
        <w:tabs>
          <w:tab w:pos="630"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(uchazeče, jehož nabídka bude v novém poptávkovém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6"/>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10</w:t>
      </w:r>
      <w:bookmarkEnd w:id="32"/>
      <w:bookmarkEnd w:id="33"/>
    </w:p>
    <w:p>
      <w:pPr>
        <w:pStyle w:val="Style16"/>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Závěrečná ujednání</w:t>
      </w:r>
      <w:bookmarkEnd w:id="34"/>
      <w:bookmarkEnd w:id="35"/>
    </w:p>
    <w:p>
      <w:pPr>
        <w:pStyle w:val="Style2"/>
        <w:keepNext w:val="0"/>
        <w:keepLines w:val="0"/>
        <w:widowControl w:val="0"/>
        <w:numPr>
          <w:ilvl w:val="0"/>
          <w:numId w:val="19"/>
        </w:numPr>
        <w:shd w:val="clear" w:color="auto" w:fill="auto"/>
        <w:tabs>
          <w:tab w:pos="630" w:val="left"/>
        </w:tabs>
        <w:bidi w:val="0"/>
        <w:spacing w:before="0" w:line="240" w:lineRule="auto"/>
        <w:ind w:left="580" w:right="0" w:hanging="580"/>
        <w:jc w:val="left"/>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2"/>
        <w:keepNext w:val="0"/>
        <w:keepLines w:val="0"/>
        <w:widowControl w:val="0"/>
        <w:numPr>
          <w:ilvl w:val="0"/>
          <w:numId w:val="19"/>
        </w:numPr>
        <w:shd w:val="clear" w:color="auto" w:fill="auto"/>
        <w:tabs>
          <w:tab w:pos="630" w:val="left"/>
        </w:tabs>
        <w:bidi w:val="0"/>
        <w:spacing w:before="0" w:line="240" w:lineRule="auto"/>
        <w:ind w:left="580" w:right="0" w:hanging="580"/>
        <w:jc w:val="left"/>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2"/>
        <w:keepNext w:val="0"/>
        <w:keepLines w:val="0"/>
        <w:widowControl w:val="0"/>
        <w:numPr>
          <w:ilvl w:val="0"/>
          <w:numId w:val="19"/>
        </w:numPr>
        <w:shd w:val="clear" w:color="auto" w:fill="auto"/>
        <w:tabs>
          <w:tab w:pos="630" w:val="left"/>
        </w:tabs>
        <w:bidi w:val="0"/>
        <w:spacing w:before="0" w:line="240" w:lineRule="auto"/>
        <w:ind w:left="580" w:right="0" w:hanging="580"/>
        <w:jc w:val="left"/>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9"/>
        </w:numPr>
        <w:shd w:val="clear" w:color="auto" w:fill="auto"/>
        <w:tabs>
          <w:tab w:pos="630"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V ostatním se řídí práva a povinnosti smluvních stran ustanoveními </w:t>
      </w:r>
      <w:r>
        <w:rPr>
          <w:b/>
          <w:bCs/>
          <w:color w:val="000000"/>
          <w:spacing w:val="0"/>
          <w:w w:val="100"/>
          <w:position w:val="0"/>
          <w:shd w:val="clear" w:color="auto" w:fill="auto"/>
          <w:lang w:val="cs-CZ" w:eastAsia="cs-CZ" w:bidi="cs-CZ"/>
        </w:rPr>
        <w:t>OZ</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souhlasí se zveřejněním případných informací o této smlouvě dle </w:t>
      </w:r>
      <w:r>
        <w:rPr>
          <w:b/>
          <w:bCs/>
          <w:color w:val="000000"/>
          <w:spacing w:val="0"/>
          <w:w w:val="100"/>
          <w:position w:val="0"/>
          <w:shd w:val="clear" w:color="auto" w:fill="auto"/>
          <w:lang w:val="cs-CZ" w:eastAsia="cs-CZ" w:bidi="cs-CZ"/>
        </w:rPr>
        <w:t>zákona č. 106/1999 Sb. o svobodném přístupu k informacím, v jeho platném znění</w:t>
      </w:r>
      <w:r>
        <w:rPr>
          <w:color w:val="000000"/>
          <w:spacing w:val="0"/>
          <w:w w:val="100"/>
          <w:position w:val="0"/>
          <w:shd w:val="clear" w:color="auto" w:fill="auto"/>
          <w:lang w:val="cs-CZ" w:eastAsia="cs-CZ" w:bidi="cs-CZ"/>
        </w:rPr>
        <w:t xml:space="preserve">,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w:t>
      </w:r>
      <w:r>
        <w:rPr>
          <w:b/>
          <w:bCs/>
          <w:color w:val="000000"/>
          <w:spacing w:val="0"/>
          <w:w w:val="100"/>
          <w:position w:val="0"/>
          <w:shd w:val="clear" w:color="auto" w:fill="auto"/>
          <w:lang w:val="cs-CZ" w:eastAsia="cs-CZ" w:bidi="cs-CZ"/>
        </w:rPr>
        <w:t xml:space="preserve">§ 219 ZZVZ </w:t>
      </w:r>
      <w:r>
        <w:rPr>
          <w:color w:val="000000"/>
          <w:spacing w:val="0"/>
          <w:w w:val="100"/>
          <w:position w:val="0"/>
          <w:shd w:val="clear" w:color="auto" w:fill="auto"/>
          <w:lang w:val="cs-CZ" w:eastAsia="cs-CZ" w:bidi="cs-CZ"/>
        </w:rPr>
        <w:t xml:space="preserve">a v registru smluv dle </w:t>
      </w:r>
      <w:r>
        <w:rPr>
          <w:b/>
          <w:bCs/>
          <w:color w:val="000000"/>
          <w:spacing w:val="0"/>
          <w:w w:val="100"/>
          <w:position w:val="0"/>
          <w:shd w:val="clear" w:color="auto" w:fill="auto"/>
          <w:lang w:val="cs-CZ" w:eastAsia="cs-CZ" w:bidi="cs-CZ"/>
        </w:rPr>
        <w:t>zákona č. 340/2015 Sb. O zvláštních podmínkách účinnosti některých smluv, uveřejňování těchto smluv a o registru smluv (zákon o registru smluv)</w:t>
      </w:r>
      <w:r>
        <w:rPr>
          <w:color w:val="000000"/>
          <w:spacing w:val="0"/>
          <w:w w:val="100"/>
          <w:position w:val="0"/>
          <w:shd w:val="clear" w:color="auto" w:fill="auto"/>
          <w:lang w:val="cs-CZ" w:eastAsia="cs-CZ" w:bidi="cs-CZ"/>
        </w:rPr>
        <w:t>. Smlouvu bude dle vůle smluvních stran na profilu zadavatele a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19"/>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2"/>
        <w:keepNext w:val="0"/>
        <w:keepLines w:val="0"/>
        <w:widowControl w:val="0"/>
        <w:numPr>
          <w:ilvl w:val="0"/>
          <w:numId w:val="19"/>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Smlouva je platná 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9"/>
        </w:numPr>
        <w:shd w:val="clear" w:color="auto" w:fill="auto"/>
        <w:tabs>
          <w:tab w:pos="630" w:val="left"/>
        </w:tabs>
        <w:bidi w:val="0"/>
        <w:spacing w:before="0" w:after="940" w:line="240" w:lineRule="auto"/>
        <w:ind w:left="0" w:right="0" w:firstLine="0"/>
        <w:jc w:val="left"/>
      </w:pPr>
      <w:r>
        <w:rPr>
          <w:color w:val="000000"/>
          <w:spacing w:val="0"/>
          <w:w w:val="100"/>
          <w:position w:val="0"/>
          <w:shd w:val="clear" w:color="auto" w:fill="auto"/>
          <w:lang w:val="cs-CZ" w:eastAsia="cs-CZ" w:bidi="cs-CZ"/>
        </w:rPr>
        <w:t>Smlouva je účinná dnem jejího uveřejnění v registru smluv.</w:t>
      </w:r>
    </w:p>
    <w:p>
      <w:pPr>
        <w:pStyle w:val="Style2"/>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after="280" w:line="283" w:lineRule="auto"/>
        <w:ind w:left="580" w:right="0" w:firstLine="0"/>
        <w:jc w:val="left"/>
      </w:pPr>
      <w:r>
        <w:rPr>
          <w:color w:val="000000"/>
          <w:spacing w:val="0"/>
          <w:w w:val="100"/>
          <w:position w:val="0"/>
          <w:shd w:val="clear" w:color="auto" w:fill="auto"/>
          <w:lang w:val="cs-CZ" w:eastAsia="cs-CZ" w:bidi="cs-CZ"/>
        </w:rPr>
        <w:t>Příloha A3- Struktura ceny plnění a seznam mostů určených k provedení HPM v roce 2021 Příloha B1 - Údaje, které jsou součástí ujednání a nebudou zveřejněny v Registru smluv</w:t>
      </w:r>
    </w:p>
    <w:p>
      <w:pPr>
        <w:pStyle w:val="Style2"/>
        <w:keepNext w:val="0"/>
        <w:keepLines w:val="0"/>
        <w:widowControl w:val="0"/>
        <w:shd w:val="clear" w:color="auto" w:fill="auto"/>
        <w:bidi w:val="0"/>
        <w:spacing w:before="0" w:after="480" w:line="276" w:lineRule="auto"/>
        <w:ind w:left="0" w:right="0" w:firstLine="0"/>
        <w:jc w:val="both"/>
        <w:rPr>
          <w:sz w:val="22"/>
          <w:szCs w:val="22"/>
        </w:rPr>
      </w:pPr>
      <w:r>
        <w:rPr>
          <w:color w:val="000000"/>
          <w:spacing w:val="0"/>
          <w:w w:val="100"/>
          <w:position w:val="0"/>
          <w:sz w:val="22"/>
          <w:szCs w:val="22"/>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9"/>
        <w:keepNext/>
        <w:keepLines/>
        <w:widowControl w:val="0"/>
        <w:shd w:val="clear" w:color="auto" w:fill="auto"/>
        <w:tabs>
          <w:tab w:leader="dot" w:pos="1186" w:val="left"/>
        </w:tabs>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4154805</wp:posOffset>
                </wp:positionH>
                <wp:positionV relativeFrom="paragraph">
                  <wp:posOffset>25400</wp:posOffset>
                </wp:positionV>
                <wp:extent cx="585470" cy="213360"/>
                <wp:wrapSquare wrapText="left"/>
                <wp:docPr id="1" name="Shape 1"/>
                <a:graphic xmlns:a="http://schemas.openxmlformats.org/drawingml/2006/main">
                  <a:graphicData uri="http://schemas.microsoft.com/office/word/2010/wordprocessingShape">
                    <wps:wsp>
                      <wps:cNvSpPr txBox="1"/>
                      <wps:spPr>
                        <a:xfrm>
                          <a:ext cx="58547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7.14999999999998pt;margin-top:2.pt;width:46.100000000000001pt;height:16.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bookmarkStart w:id="36" w:name="bookmark36"/>
      <w:bookmarkStart w:id="37" w:name="bookmark37"/>
      <w:r>
        <w:rPr>
          <w:rFonts w:ascii="Calibri" w:eastAsia="Calibri" w:hAnsi="Calibri" w:cs="Calibri"/>
          <w:color w:val="000000"/>
          <w:spacing w:val="0"/>
          <w:w w:val="100"/>
          <w:position w:val="0"/>
          <w:sz w:val="24"/>
          <w:szCs w:val="24"/>
          <w:shd w:val="clear" w:color="auto" w:fill="auto"/>
          <w:lang w:val="cs-CZ" w:eastAsia="cs-CZ" w:bidi="cs-CZ"/>
        </w:rPr>
        <w:t>V</w:t>
        <w:tab/>
      </w:r>
      <w:r>
        <w:rPr>
          <w:color w:val="000000"/>
          <w:spacing w:val="0"/>
          <w:w w:val="100"/>
          <w:position w:val="0"/>
          <w:sz w:val="24"/>
          <w:szCs w:val="24"/>
          <w:shd w:val="clear" w:color="auto" w:fill="auto"/>
          <w:lang w:val="cs-CZ" w:eastAsia="cs-CZ" w:bidi="cs-CZ"/>
        </w:rPr>
        <w:t>Br</w:t>
      </w:r>
      <w:r>
        <w:rPr>
          <w:rFonts w:ascii="Calibri" w:eastAsia="Calibri" w:hAnsi="Calibri" w:cs="Calibri"/>
          <w:color w:val="000000"/>
          <w:spacing w:val="0"/>
          <w:w w:val="100"/>
          <w:position w:val="0"/>
          <w:sz w:val="24"/>
          <w:szCs w:val="24"/>
          <w:shd w:val="clear" w:color="auto" w:fill="auto"/>
          <w:lang w:val="cs-CZ" w:eastAsia="cs-CZ" w:bidi="cs-CZ"/>
        </w:rPr>
        <w:t>n</w:t>
      </w:r>
      <w:r>
        <w:rPr>
          <w:color w:val="000000"/>
          <w:spacing w:val="0"/>
          <w:w w:val="100"/>
          <w:position w:val="0"/>
          <w:sz w:val="24"/>
          <w:szCs w:val="24"/>
          <w:shd w:val="clear" w:color="auto" w:fill="auto"/>
          <w:lang w:val="cs-CZ" w:eastAsia="cs-CZ" w:bidi="cs-CZ"/>
        </w:rPr>
        <w:t>ě</w:t>
      </w:r>
      <w:bookmarkEnd w:id="36"/>
      <w:bookmarkEnd w:id="37"/>
    </w:p>
    <w:p>
      <w:pPr>
        <w:pStyle w:val="Style2"/>
        <w:keepNext w:val="0"/>
        <w:keepLines w:val="0"/>
        <w:widowControl w:val="0"/>
        <w:shd w:val="clear" w:color="auto" w:fill="auto"/>
        <w:bidi w:val="0"/>
        <w:spacing w:before="0" w:after="380" w:line="240" w:lineRule="auto"/>
        <w:ind w:left="2220" w:right="0" w:firstLine="0"/>
        <w:jc w:val="left"/>
      </w:pPr>
      <w:r>
        <w:rPr>
          <w:color w:val="000000"/>
          <w:spacing w:val="0"/>
          <w:w w:val="100"/>
          <w:position w:val="0"/>
          <w:shd w:val="clear" w:color="auto" w:fill="auto"/>
          <w:lang w:val="cs-CZ" w:eastAsia="cs-CZ" w:bidi="cs-CZ"/>
        </w:rPr>
        <w:t>název funkce ředitel organizace</w:t>
      </w:r>
      <w:r>
        <w:br w:type="page"/>
      </w:r>
    </w:p>
    <w:p>
      <w:pPr>
        <w:pStyle w:val="Style2"/>
        <w:keepNext w:val="0"/>
        <w:keepLines w:val="0"/>
        <w:widowControl w:val="0"/>
        <w:shd w:val="clear" w:color="auto" w:fill="auto"/>
        <w:bidi w:val="0"/>
        <w:spacing w:before="0" w:after="28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A3</w:t>
      </w:r>
    </w:p>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Struktura ceny plnění a seznam mostů určených k provedení HPM v roce 2021</w:t>
      </w:r>
    </w:p>
    <w:p>
      <w:pPr>
        <w:pStyle w:val="Style2"/>
        <w:keepNext w:val="0"/>
        <w:keepLines w:val="0"/>
        <w:widowControl w:val="0"/>
        <w:shd w:val="clear" w:color="auto" w:fill="auto"/>
        <w:bidi w:val="0"/>
        <w:spacing w:before="0" w:after="28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Část 3 - Region Pelhřimovsko</w:t>
      </w:r>
    </w:p>
    <w:p>
      <w:pPr>
        <w:pStyle w:val="Style4"/>
        <w:keepNext w:val="0"/>
        <w:keepLines w:val="0"/>
        <w:widowControl w:val="0"/>
        <w:shd w:val="clear" w:color="auto" w:fill="auto"/>
        <w:bidi w:val="0"/>
        <w:spacing w:before="0" w:after="0" w:line="240" w:lineRule="auto"/>
        <w:ind w:left="53" w:right="0" w:firstLine="0"/>
        <w:jc w:val="left"/>
        <w:rPr>
          <w:sz w:val="22"/>
          <w:szCs w:val="22"/>
        </w:rPr>
      </w:pPr>
      <w:r>
        <w:rPr>
          <w:b/>
          <w:bCs/>
          <w:color w:val="000000"/>
          <w:spacing w:val="0"/>
          <w:w w:val="100"/>
          <w:position w:val="0"/>
          <w:sz w:val="22"/>
          <w:szCs w:val="22"/>
          <w:shd w:val="clear" w:color="auto" w:fill="auto"/>
          <w:lang w:val="cs-CZ" w:eastAsia="cs-CZ" w:bidi="cs-CZ"/>
        </w:rPr>
        <w:t>Mosty na silnicích II. třídy :</w:t>
      </w:r>
    </w:p>
    <w:tbl>
      <w:tblPr>
        <w:tblOverlap w:val="never"/>
        <w:jc w:val="center"/>
        <w:tblLayout w:type="fixed"/>
      </w:tblPr>
      <w:tblGrid>
        <w:gridCol w:w="485"/>
        <w:gridCol w:w="701"/>
        <w:gridCol w:w="206"/>
        <w:gridCol w:w="600"/>
        <w:gridCol w:w="3826"/>
        <w:gridCol w:w="1421"/>
        <w:gridCol w:w="1272"/>
        <w:gridCol w:w="1286"/>
      </w:tblGrid>
      <w:tr>
        <w:trPr>
          <w:trHeight w:val="600" w:hRule="exact"/>
        </w:trPr>
        <w:tc>
          <w:tcPr>
            <w:vMerge w:val="restart"/>
            <w:tcBorders>
              <w:top w:val="single" w:sz="4"/>
              <w:left w:val="single" w:sz="4"/>
            </w:tcBorders>
            <w:shd w:val="clear" w:color="auto" w:fill="FFFFFF"/>
            <w:vAlign w:val="top"/>
          </w:tcPr>
          <w:p>
            <w:pPr>
              <w:widowControl w:val="0"/>
              <w:rPr>
                <w:sz w:val="10"/>
                <w:szCs w:val="10"/>
              </w:rPr>
            </w:pPr>
          </w:p>
        </w:tc>
        <w:tc>
          <w:tcPr>
            <w:gridSpan w:val="3"/>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Evidenční číslo mostu</w:t>
            </w:r>
          </w:p>
        </w:tc>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Název mostu dle BMS</w:t>
            </w:r>
          </w:p>
        </w:tc>
        <w:tc>
          <w:tcPr>
            <w:vMerge w:val="restart"/>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Délka přemostění (m)</w:t>
            </w:r>
          </w:p>
        </w:tc>
        <w:tc>
          <w:tcPr>
            <w:gridSpan w:val="2"/>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Jednotková cena (Kč)</w:t>
            </w:r>
          </w:p>
        </w:tc>
      </w:tr>
      <w:tr>
        <w:trPr>
          <w:trHeight w:val="298" w:hRule="exact"/>
        </w:trPr>
        <w:tc>
          <w:tcPr>
            <w:vMerge/>
            <w:tcBorders>
              <w:left w:val="single" w:sz="4"/>
            </w:tcBorders>
            <w:shd w:val="clear" w:color="auto" w:fill="FFFFFF"/>
            <w:vAlign w:val="top"/>
          </w:tcPr>
          <w:p>
            <w:pPr/>
          </w:p>
        </w:tc>
        <w:tc>
          <w:tcPr>
            <w:gridSpan w:val="3"/>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cs-CZ" w:eastAsia="cs-CZ" w:bidi="cs-CZ"/>
              </w:rPr>
              <w:t>bez DPH</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s DPH</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132</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001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za obcí Zdešov</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2,90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1 232,00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1 490,72</w:t>
            </w:r>
          </w:p>
        </w:tc>
      </w:tr>
      <w:tr>
        <w:trPr>
          <w:trHeight w:val="30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132</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009</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přes potok Jihlava u Horní Cerekve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2,85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1 228,00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1 485,88</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347</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013</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přes potok Pstružný v obci Kejžlice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10,90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2 265,12</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602</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046</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Vyskytná</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2,45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1 196,00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1 447,16</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639</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002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Částrov</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3,00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1 240,00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1 500,40</w:t>
            </w:r>
          </w:p>
        </w:tc>
      </w:tr>
      <w:tr>
        <w:trPr>
          <w:trHeight w:val="307" w:hRule="exact"/>
        </w:trPr>
        <w:tc>
          <w:tcPr>
            <w:gridSpan w:val="6"/>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Mezisoučet v Kč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shd w:val="clear" w:color="auto" w:fill="auto"/>
                <w:lang w:val="cs-CZ" w:eastAsia="cs-CZ" w:bidi="cs-CZ"/>
              </w:rPr>
              <w:t>6 768,00</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shd w:val="clear" w:color="auto" w:fill="auto"/>
                <w:lang w:val="cs-CZ" w:eastAsia="cs-CZ" w:bidi="cs-CZ"/>
              </w:rPr>
              <w:t>8 189,28</w:t>
            </w:r>
          </w:p>
        </w:tc>
      </w:tr>
    </w:tbl>
    <w:p>
      <w:pPr>
        <w:widowControl w:val="0"/>
        <w:spacing w:after="279" w:line="1" w:lineRule="exact"/>
      </w:pPr>
    </w:p>
    <w:p>
      <w:pPr>
        <w:widowControl w:val="0"/>
        <w:spacing w:line="1" w:lineRule="exact"/>
      </w:pPr>
    </w:p>
    <w:p>
      <w:pPr>
        <w:pStyle w:val="Style4"/>
        <w:keepNext w:val="0"/>
        <w:keepLines w:val="0"/>
        <w:widowControl w:val="0"/>
        <w:shd w:val="clear" w:color="auto" w:fill="auto"/>
        <w:bidi w:val="0"/>
        <w:spacing w:before="0" w:after="0" w:line="240" w:lineRule="auto"/>
        <w:ind w:left="53" w:right="0" w:firstLine="0"/>
        <w:jc w:val="left"/>
        <w:rPr>
          <w:sz w:val="22"/>
          <w:szCs w:val="22"/>
        </w:rPr>
      </w:pPr>
      <w:r>
        <w:rPr>
          <w:b/>
          <w:bCs/>
          <w:color w:val="000000"/>
          <w:spacing w:val="0"/>
          <w:w w:val="100"/>
          <w:position w:val="0"/>
          <w:sz w:val="22"/>
          <w:szCs w:val="22"/>
          <w:shd w:val="clear" w:color="auto" w:fill="auto"/>
          <w:lang w:val="cs-CZ" w:eastAsia="cs-CZ" w:bidi="cs-CZ"/>
        </w:rPr>
        <w:t>Mosty na silnicích III. třídy :</w:t>
      </w:r>
    </w:p>
    <w:tbl>
      <w:tblPr>
        <w:tblOverlap w:val="never"/>
        <w:jc w:val="center"/>
        <w:tblLayout w:type="fixed"/>
      </w:tblPr>
      <w:tblGrid>
        <w:gridCol w:w="485"/>
        <w:gridCol w:w="701"/>
        <w:gridCol w:w="206"/>
        <w:gridCol w:w="600"/>
        <w:gridCol w:w="3826"/>
        <w:gridCol w:w="1421"/>
        <w:gridCol w:w="1272"/>
        <w:gridCol w:w="1286"/>
      </w:tblGrid>
      <w:tr>
        <w:trPr>
          <w:trHeight w:val="600" w:hRule="exact"/>
        </w:trPr>
        <w:tc>
          <w:tcPr>
            <w:vMerge w:val="restart"/>
            <w:tcBorders>
              <w:top w:val="single" w:sz="4"/>
              <w:left w:val="single" w:sz="4"/>
            </w:tcBorders>
            <w:shd w:val="clear" w:color="auto" w:fill="FFFFFF"/>
            <w:vAlign w:val="top"/>
          </w:tcPr>
          <w:p>
            <w:pPr>
              <w:widowControl w:val="0"/>
              <w:rPr>
                <w:sz w:val="10"/>
                <w:szCs w:val="10"/>
              </w:rPr>
            </w:pPr>
          </w:p>
        </w:tc>
        <w:tc>
          <w:tcPr>
            <w:gridSpan w:val="3"/>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Evidenční číslo mostu</w:t>
            </w:r>
          </w:p>
        </w:tc>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Název mostu dle BMS</w:t>
            </w:r>
          </w:p>
        </w:tc>
        <w:tc>
          <w:tcPr>
            <w:vMerge w:val="restart"/>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Délka přemostění (m)</w:t>
            </w:r>
          </w:p>
        </w:tc>
        <w:tc>
          <w:tcPr>
            <w:gridSpan w:val="2"/>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33"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Jednotková cena (Kč)</w:t>
            </w:r>
          </w:p>
        </w:tc>
      </w:tr>
      <w:tr>
        <w:trPr>
          <w:trHeight w:val="298" w:hRule="exact"/>
        </w:trPr>
        <w:tc>
          <w:tcPr>
            <w:vMerge/>
            <w:tcBorders>
              <w:left w:val="single" w:sz="4"/>
            </w:tcBorders>
            <w:shd w:val="clear" w:color="auto" w:fill="FFFFFF"/>
            <w:vAlign w:val="top"/>
          </w:tcPr>
          <w:p>
            <w:pPr/>
          </w:p>
        </w:tc>
        <w:tc>
          <w:tcPr>
            <w:gridSpan w:val="3"/>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cs-CZ" w:eastAsia="cs-CZ" w:bidi="cs-CZ"/>
              </w:rPr>
              <w:t>bez DPH</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s DPH</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1333</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přes řeku Bělá v Pelhřimově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10,50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1 840,0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2 226,40</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01926</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Částkovice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2,95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1 236,0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1 495,56</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11226</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Křešín</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9,00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1 720,0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2 081,20</w:t>
            </w: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11231</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v obci Martinice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10,00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1 800,0</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2 178,00</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11255</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Janovice</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5,95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1 476,0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1 785,96</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6.</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12819</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Lidmaňka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5,14</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1 411,0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1 707,31</w:t>
            </w:r>
          </w:p>
        </w:tc>
      </w:tr>
      <w:tr>
        <w:trPr>
          <w:trHeight w:val="30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7.</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12917</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přes řeku Trnavu v obci Hořepník</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25,00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3 000,0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3 630,00</w:t>
            </w:r>
          </w:p>
        </w:tc>
      </w:tr>
      <w:tr>
        <w:trPr>
          <w:trHeight w:val="547"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8.</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13026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přes potok Blažejovický v obci Rachyně</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9,50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1 760,0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2 129,60</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9.</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13212</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Stojčín</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3,00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1 240,0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1 500,40</w:t>
            </w:r>
          </w:p>
        </w:tc>
      </w:tr>
      <w:tr>
        <w:trPr>
          <w:trHeight w:val="2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10.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13417</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Most Počátky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5,25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cs-CZ" w:eastAsia="cs-CZ" w:bidi="cs-CZ"/>
              </w:rPr>
              <w:t>1 420,0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cs-CZ" w:eastAsia="cs-CZ" w:bidi="cs-CZ"/>
              </w:rPr>
              <w:t>1 718,20</w:t>
            </w:r>
          </w:p>
        </w:tc>
      </w:tr>
      <w:tr>
        <w:trPr>
          <w:trHeight w:val="307" w:hRule="exact"/>
        </w:trPr>
        <w:tc>
          <w:tcPr>
            <w:gridSpan w:val="6"/>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Mezisoučet v Kč bez DPH:</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shd w:val="clear" w:color="auto" w:fill="auto"/>
                <w:lang w:val="cs-CZ" w:eastAsia="cs-CZ" w:bidi="cs-CZ"/>
              </w:rPr>
              <w:t>16 903,0</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shd w:val="clear" w:color="auto" w:fill="auto"/>
                <w:lang w:val="cs-CZ" w:eastAsia="cs-CZ" w:bidi="cs-CZ"/>
              </w:rPr>
              <w:t>20 452,6</w:t>
            </w:r>
          </w:p>
        </w:tc>
      </w:tr>
    </w:tbl>
    <w:p>
      <w:pPr>
        <w:widowControl w:val="0"/>
        <w:spacing w:after="279" w:line="1" w:lineRule="exact"/>
      </w:pPr>
    </w:p>
    <w:p>
      <w:pPr>
        <w:widowControl w:val="0"/>
        <w:spacing w:line="1" w:lineRule="exact"/>
      </w:pPr>
    </w:p>
    <w:tbl>
      <w:tblPr>
        <w:tblOverlap w:val="never"/>
        <w:jc w:val="center"/>
        <w:tblLayout w:type="fixed"/>
      </w:tblPr>
      <w:tblGrid>
        <w:gridCol w:w="7243"/>
        <w:gridCol w:w="1272"/>
        <w:gridCol w:w="1291"/>
      </w:tblGrid>
      <w:tr>
        <w:trPr>
          <w:trHeight w:val="317"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Mosty na silnicích II. třídy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6 768,00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8 189,28</w:t>
            </w:r>
          </w:p>
        </w:tc>
      </w:tr>
      <w:tr>
        <w:trPr>
          <w:trHeight w:val="31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Mosty na silnicích III. třídy</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16 903,00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20 452,63</w:t>
            </w:r>
          </w:p>
        </w:tc>
      </w:tr>
      <w:tr>
        <w:trPr>
          <w:trHeight w:val="336"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Součet cena za mosty na silnicích II. a III. tříd (v Kč)</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23 671,00</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shd w:val="clear" w:color="auto" w:fill="auto"/>
                <w:lang w:val="cs-CZ" w:eastAsia="cs-CZ" w:bidi="cs-CZ"/>
              </w:rPr>
              <w:t>28 641,91</w:t>
            </w:r>
          </w:p>
        </w:tc>
      </w:tr>
    </w:tbl>
    <w:p>
      <w:pPr>
        <w:pStyle w:val="Style26"/>
        <w:keepNext w:val="0"/>
        <w:keepLines w:val="0"/>
        <w:widowControl w:val="0"/>
        <w:shd w:val="clear" w:color="auto" w:fill="auto"/>
        <w:bidi w:val="0"/>
        <w:spacing w:before="0" w:line="240" w:lineRule="auto"/>
        <w:ind w:left="0" w:firstLine="0"/>
        <w:jc w:val="right"/>
      </w:pPr>
      <w:r>
        <w:rPr>
          <w:color w:val="000000"/>
          <w:spacing w:val="0"/>
          <w:w w:val="100"/>
          <w:position w:val="0"/>
          <w:shd w:val="clear" w:color="auto" w:fill="auto"/>
          <w:lang w:val="cs-CZ" w:eastAsia="cs-CZ" w:bidi="cs-CZ"/>
        </w:rPr>
        <w:t>Příloha B1</w:t>
      </w:r>
    </w:p>
    <w:p>
      <w:pPr>
        <w:pStyle w:val="Style28"/>
        <w:keepNext/>
        <w:keepLines/>
        <w:widowControl w:val="0"/>
        <w:shd w:val="clear" w:color="auto" w:fill="auto"/>
        <w:bidi w:val="0"/>
        <w:spacing w:before="0" w:line="240" w:lineRule="auto"/>
        <w:ind w:left="0" w:right="0"/>
        <w:jc w:val="left"/>
      </w:pPr>
      <w:bookmarkStart w:id="38" w:name="bookmark38"/>
      <w:bookmarkStart w:id="39" w:name="bookmark39"/>
      <w:r>
        <w:rPr>
          <w:color w:val="000000"/>
          <w:spacing w:val="0"/>
          <w:w w:val="100"/>
          <w:position w:val="0"/>
          <w:shd w:val="clear" w:color="auto" w:fill="auto"/>
          <w:lang w:val="cs-CZ" w:eastAsia="cs-CZ" w:bidi="cs-CZ"/>
        </w:rPr>
        <w:t>Údaje, které jsou součástí ujednání a nebudou zveřejněny v Registru smluv:</w:t>
      </w:r>
      <w:bookmarkEnd w:id="38"/>
      <w:bookmarkEnd w:id="39"/>
    </w:p>
    <w:p>
      <w:pPr>
        <w:pStyle w:val="Style16"/>
        <w:keepNext/>
        <w:keepLines/>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Objednatel:</w:t>
      </w:r>
      <w:bookmarkEnd w:id="40"/>
      <w:bookmarkEnd w:id="41"/>
    </w:p>
    <w:p>
      <w:pPr>
        <w:pStyle w:val="Style16"/>
        <w:keepNext/>
        <w:keepLines/>
        <w:widowControl w:val="0"/>
        <w:shd w:val="clear" w:color="auto" w:fill="auto"/>
        <w:bidi w:val="0"/>
        <w:spacing w:before="0" w:after="0" w:line="230" w:lineRule="auto"/>
        <w:ind w:left="0" w:right="0" w:firstLine="0"/>
        <w:jc w:val="left"/>
      </w:pPr>
      <w:bookmarkStart w:id="42" w:name="bookmark42"/>
      <w:bookmarkStart w:id="43" w:name="bookmark43"/>
      <w:r>
        <w:rPr>
          <w:color w:val="000000"/>
          <w:spacing w:val="0"/>
          <w:w w:val="100"/>
          <w:position w:val="0"/>
          <w:shd w:val="clear" w:color="auto" w:fill="auto"/>
          <w:lang w:val="cs-CZ" w:eastAsia="cs-CZ" w:bidi="cs-CZ"/>
        </w:rPr>
        <w:t>Krajská správa a údržba silnic Vysočiny, příspěvková organizace</w:t>
      </w:r>
      <w:bookmarkEnd w:id="42"/>
      <w:bookmarkEnd w:id="43"/>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Osoby pověřené jednat jménem objednatele ve věcech technických:</w:t>
      </w:r>
    </w:p>
    <w:p>
      <w:pPr>
        <w:pStyle w:val="Style2"/>
        <w:keepNext w:val="0"/>
        <w:keepLines w:val="0"/>
        <w:widowControl w:val="0"/>
        <w:shd w:val="clear" w:color="auto" w:fill="auto"/>
        <w:bidi w:val="0"/>
        <w:spacing w:before="0" w:after="860" w:line="240" w:lineRule="auto"/>
        <w:ind w:left="0" w:right="0" w:firstLine="0"/>
        <w:jc w:val="left"/>
      </w:pPr>
      <w:r>
        <w:rPr>
          <w:color w:val="000000"/>
          <w:spacing w:val="0"/>
          <w:w w:val="100"/>
          <w:position w:val="0"/>
          <w:shd w:val="clear" w:color="auto" w:fill="auto"/>
          <w:lang w:val="cs-CZ" w:eastAsia="cs-CZ" w:bidi="cs-CZ"/>
        </w:rPr>
        <w:t>Inspektor mostů:</w:t>
      </w:r>
    </w:p>
    <w:p>
      <w:pPr>
        <w:pStyle w:val="Style16"/>
        <w:keepNext/>
        <w:keepLines/>
        <w:widowControl w:val="0"/>
        <w:shd w:val="clear" w:color="auto" w:fill="auto"/>
        <w:bidi w:val="0"/>
        <w:spacing w:before="0" w:after="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Zhotovitel:</w:t>
      </w:r>
      <w:bookmarkEnd w:id="44"/>
      <w:bookmarkEnd w:id="45"/>
    </w:p>
    <w:p>
      <w:pPr>
        <w:pStyle w:val="Style16"/>
        <w:keepNext/>
        <w:keepLines/>
        <w:widowControl w:val="0"/>
        <w:shd w:val="clear" w:color="auto" w:fill="auto"/>
        <w:bidi w:val="0"/>
        <w:spacing w:before="0" w:after="0" w:line="240"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D I V Y P, spol. s r.o.</w:t>
      </w:r>
      <w:bookmarkEnd w:id="46"/>
      <w:bookmarkEnd w:id="47"/>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Osoby pověřené jednat jménem zhotovitele ve věcech 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Odborně způsobilá osoba, prostřednictvím které zhotovitel prokazoval technickou kvalifikaci a je držitelem „Oprávnění k výkonu hlavních a mimořádných prohlídek mostů pozemních komunikací":</w:t>
      </w:r>
    </w:p>
    <w:sectPr>
      <w:headerReference w:type="default" r:id="rId5"/>
      <w:footerReference w:type="default" r:id="rId6"/>
      <w:footnotePr>
        <w:pos w:val="pageBottom"/>
        <w:numFmt w:val="decimal"/>
        <w:numRestart w:val="continuous"/>
      </w:footnotePr>
      <w:pgSz w:w="12240" w:h="15840"/>
      <w:pgMar w:top="1632" w:left="1359" w:right="1017" w:bottom="122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3478530</wp:posOffset>
              </wp:positionH>
              <wp:positionV relativeFrom="page">
                <wp:posOffset>9347200</wp:posOffset>
              </wp:positionV>
              <wp:extent cx="792480" cy="109855"/>
              <wp:wrapNone/>
              <wp:docPr id="6" name="Shape 6"/>
              <a:graphic xmlns:a="http://schemas.openxmlformats.org/drawingml/2006/main">
                <a:graphicData uri="http://schemas.microsoft.com/office/word/2010/wordprocessingShape">
                  <wps:wsp>
                    <wps:cNvSpPr txBox="1"/>
                    <wps:spPr>
                      <a:xfrm>
                        <a:ext cx="79248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txbxContent>
                    </wps:txbx>
                    <wps:bodyPr wrap="none" lIns="0" tIns="0" rIns="0" bIns="0">
                      <a:spAutoFit/>
                    </wps:bodyPr>
                  </wps:wsp>
                </a:graphicData>
              </a:graphic>
            </wp:anchor>
          </w:drawing>
        </mc:Choice>
        <mc:Fallback>
          <w:pict>
            <v:shape id="_x0000_s1032" type="#_x0000_t202" style="position:absolute;margin-left:273.89999999999998pt;margin-top:736.pt;width:62.399999999999999pt;height:8.65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869315</wp:posOffset>
              </wp:positionH>
              <wp:positionV relativeFrom="page">
                <wp:posOffset>9303385</wp:posOffset>
              </wp:positionV>
              <wp:extent cx="6010910" cy="0"/>
              <wp:wrapNone/>
              <wp:docPr id="8" name="Shape 8"/>
              <a:graphic xmlns:a="http://schemas.openxmlformats.org/drawingml/2006/main">
                <a:graphicData uri="http://schemas.microsoft.com/office/word/2010/wordprocessingShape">
                  <wps:wsp>
                    <wps:cNvCnPr/>
                    <wps:spPr>
                      <a:xfrm>
                        <a:ext cx="6010910" cy="0"/>
                      </a:xfrm>
                      <a:prstGeom prst="straightConnector1"/>
                      <a:ln w="12700">
                        <a:solidFill/>
                      </a:ln>
                    </wps:spPr>
                    <wps:bodyPr/>
                  </wps:wsp>
                </a:graphicData>
              </a:graphic>
            </wp:anchor>
          </w:drawing>
        </mc:Choice>
        <mc:Fallback>
          <w:pict>
            <v:shape o:spt="32" o:oned="true" path="m,l21600,21600e" style="position:absolute;margin-left:68.450000000000003pt;margin-top:732.54999999999995pt;width:473.30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1009650</wp:posOffset>
              </wp:positionH>
              <wp:positionV relativeFrom="page">
                <wp:posOffset>450850</wp:posOffset>
              </wp:positionV>
              <wp:extent cx="1819910" cy="267970"/>
              <wp:wrapNone/>
              <wp:docPr id="3" name="Shape 3"/>
              <a:graphic xmlns:a="http://schemas.openxmlformats.org/drawingml/2006/main">
                <a:graphicData uri="http://schemas.microsoft.com/office/word/2010/wordprocessingShape">
                  <wps:wsp>
                    <wps:cNvSpPr txBox="1"/>
                    <wps:spPr>
                      <a:xfrm>
                        <a:ext cx="1819910" cy="2679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Hlavní prohlídky mostů v roce 2021</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 Okres Pelhřimov</w:t>
                          </w:r>
                        </w:p>
                      </w:txbxContent>
                    </wps:txbx>
                    <wps:bodyPr wrap="none" lIns="0" tIns="0" rIns="0" bIns="0">
                      <a:spAutoFit/>
                    </wps:bodyPr>
                  </wps:wsp>
                </a:graphicData>
              </a:graphic>
            </wp:anchor>
          </w:drawing>
        </mc:Choice>
        <mc:Fallback>
          <w:pict>
            <v:shape id="_x0000_s1029" type="#_x0000_t202" style="position:absolute;margin-left:79.5pt;margin-top:35.5pt;width:143.30000000000001pt;height:21.10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Hlavní prohlídky mostů v roce 2021</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 Okres Pelhřimov</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930275</wp:posOffset>
              </wp:positionH>
              <wp:positionV relativeFrom="page">
                <wp:posOffset>765810</wp:posOffset>
              </wp:positionV>
              <wp:extent cx="5977255" cy="0"/>
              <wp:wrapNone/>
              <wp:docPr id="5" name="Shape 5"/>
              <a:graphic xmlns:a="http://schemas.openxmlformats.org/drawingml/2006/main">
                <a:graphicData uri="http://schemas.microsoft.com/office/word/2010/wordprocessingShape">
                  <wps:wsp>
                    <wps:cNvCnPr/>
                    <wps:spPr>
                      <a:xfrm>
                        <a:ext cx="5977255" cy="0"/>
                      </a:xfrm>
                      <a:prstGeom prst="straightConnector1"/>
                      <a:ln w="12700">
                        <a:solidFill/>
                      </a:ln>
                    </wps:spPr>
                    <wps:bodyPr/>
                  </wps:wsp>
                </a:graphicData>
              </a:graphic>
            </wp:anchor>
          </w:drawing>
        </mc:Choice>
        <mc:Fallback>
          <w:pict>
            <v:shape o:spt="32" o:oned="true" path="m,l21600,21600e" style="position:absolute;margin-left:73.25pt;margin-top:60.299999999999997pt;width:470.64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2"/>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6"/>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2"/>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Titulek tabulky_"/>
    <w:basedOn w:val="DefaultParagraphFont"/>
    <w:link w:val="Style4"/>
    <w:rPr>
      <w:rFonts w:ascii="Calibri" w:eastAsia="Calibri" w:hAnsi="Calibri" w:cs="Calibri"/>
      <w:b w:val="0"/>
      <w:bCs w:val="0"/>
      <w:i w:val="0"/>
      <w:iCs w:val="0"/>
      <w:smallCaps w:val="0"/>
      <w:strike w:val="0"/>
      <w:sz w:val="24"/>
      <w:szCs w:val="24"/>
      <w:u w:val="none"/>
    </w:rPr>
  </w:style>
  <w:style w:type="character" w:customStyle="1" w:styleId="CharStyle7">
    <w:name w:val="Jiné_"/>
    <w:basedOn w:val="DefaultParagraphFont"/>
    <w:link w:val="Style6"/>
    <w:rPr>
      <w:rFonts w:ascii="Calibri" w:eastAsia="Calibri" w:hAnsi="Calibri" w:cs="Calibri"/>
      <w:b w:val="0"/>
      <w:bCs w:val="0"/>
      <w:i w:val="0"/>
      <w:iCs w:val="0"/>
      <w:smallCaps w:val="0"/>
      <w:strike w:val="0"/>
      <w:sz w:val="24"/>
      <w:szCs w:val="24"/>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Nadpis #3_"/>
    <w:basedOn w:val="DefaultParagraphFont"/>
    <w:link w:val="Style16"/>
    <w:rPr>
      <w:rFonts w:ascii="Calibri" w:eastAsia="Calibri" w:hAnsi="Calibri" w:cs="Calibri"/>
      <w:b/>
      <w:bCs/>
      <w:i w:val="0"/>
      <w:iCs w:val="0"/>
      <w:smallCaps w:val="0"/>
      <w:strike w:val="0"/>
      <w:sz w:val="24"/>
      <w:szCs w:val="24"/>
      <w:u w:val="none"/>
    </w:rPr>
  </w:style>
  <w:style w:type="character" w:customStyle="1" w:styleId="CharStyle20">
    <w:name w:val="Nadpis #2_"/>
    <w:basedOn w:val="DefaultParagraphFont"/>
    <w:link w:val="Style19"/>
    <w:rPr>
      <w:rFonts w:ascii="Arial" w:eastAsia="Arial" w:hAnsi="Arial" w:cs="Arial"/>
      <w:b w:val="0"/>
      <w:bCs w:val="0"/>
      <w:i w:val="0"/>
      <w:iCs w:val="0"/>
      <w:smallCaps w:val="0"/>
      <w:strike w:val="0"/>
      <w:u w:val="none"/>
    </w:rPr>
  </w:style>
  <w:style w:type="character" w:customStyle="1" w:styleId="CharStyle27">
    <w:name w:val="Základní text (2)_"/>
    <w:basedOn w:val="DefaultParagraphFont"/>
    <w:link w:val="Style26"/>
    <w:rPr>
      <w:rFonts w:ascii="Calibri" w:eastAsia="Calibri" w:hAnsi="Calibri" w:cs="Calibri"/>
      <w:b/>
      <w:bCs/>
      <w:i w:val="0"/>
      <w:iCs w:val="0"/>
      <w:smallCaps w:val="0"/>
      <w:strike w:val="0"/>
      <w:sz w:val="20"/>
      <w:szCs w:val="20"/>
      <w:u w:val="none"/>
    </w:rPr>
  </w:style>
  <w:style w:type="character" w:customStyle="1" w:styleId="CharStyle29">
    <w:name w:val="Nadpis #1_"/>
    <w:basedOn w:val="DefaultParagraphFont"/>
    <w:link w:val="Style28"/>
    <w:rPr>
      <w:rFonts w:ascii="Calibri" w:eastAsia="Calibri" w:hAnsi="Calibri" w:cs="Calibri"/>
      <w:b/>
      <w:bCs/>
      <w:i w:val="0"/>
      <w:iCs w:val="0"/>
      <w:smallCaps w:val="0"/>
      <w:strike w:val="0"/>
      <w:sz w:val="28"/>
      <w:szCs w:val="28"/>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Titulek tabulky"/>
    <w:basedOn w:val="Normal"/>
    <w:link w:val="CharStyle5"/>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6">
    <w:name w:val="Jiné"/>
    <w:basedOn w:val="Normal"/>
    <w:link w:val="CharStyle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Nadpis #3"/>
    <w:basedOn w:val="Normal"/>
    <w:link w:val="CharStyle17"/>
    <w:pPr>
      <w:widowControl w:val="0"/>
      <w:shd w:val="clear" w:color="auto" w:fill="FFFFFF"/>
      <w:spacing w:after="100"/>
      <w:jc w:val="center"/>
      <w:outlineLvl w:val="2"/>
    </w:pPr>
    <w:rPr>
      <w:rFonts w:ascii="Calibri" w:eastAsia="Calibri" w:hAnsi="Calibri" w:cs="Calibri"/>
      <w:b/>
      <w:bCs/>
      <w:i w:val="0"/>
      <w:iCs w:val="0"/>
      <w:smallCaps w:val="0"/>
      <w:strike w:val="0"/>
      <w:sz w:val="24"/>
      <w:szCs w:val="24"/>
      <w:u w:val="none"/>
    </w:rPr>
  </w:style>
  <w:style w:type="paragraph" w:customStyle="1" w:styleId="Style19">
    <w:name w:val="Nadpis #2"/>
    <w:basedOn w:val="Normal"/>
    <w:link w:val="CharStyle20"/>
    <w:pPr>
      <w:widowControl w:val="0"/>
      <w:shd w:val="clear" w:color="auto" w:fill="FFFFFF"/>
      <w:spacing w:after="2420"/>
      <w:ind w:firstLine="740"/>
      <w:outlineLvl w:val="1"/>
    </w:pPr>
    <w:rPr>
      <w:rFonts w:ascii="Arial" w:eastAsia="Arial" w:hAnsi="Arial" w:cs="Arial"/>
      <w:b w:val="0"/>
      <w:bCs w:val="0"/>
      <w:i w:val="0"/>
      <w:iCs w:val="0"/>
      <w:smallCaps w:val="0"/>
      <w:strike w:val="0"/>
      <w:u w:val="none"/>
    </w:rPr>
  </w:style>
  <w:style w:type="paragraph" w:customStyle="1" w:styleId="Style26">
    <w:name w:val="Základní text (2)"/>
    <w:basedOn w:val="Normal"/>
    <w:link w:val="CharStyle27"/>
    <w:pPr>
      <w:widowControl w:val="0"/>
      <w:shd w:val="clear" w:color="auto" w:fill="FFFFFF"/>
      <w:spacing w:after="680"/>
      <w:ind w:right="340"/>
      <w:jc w:val="right"/>
    </w:pPr>
    <w:rPr>
      <w:rFonts w:ascii="Calibri" w:eastAsia="Calibri" w:hAnsi="Calibri" w:cs="Calibri"/>
      <w:b/>
      <w:bCs/>
      <w:i w:val="0"/>
      <w:iCs w:val="0"/>
      <w:smallCaps w:val="0"/>
      <w:strike w:val="0"/>
      <w:sz w:val="20"/>
      <w:szCs w:val="20"/>
      <w:u w:val="none"/>
    </w:rPr>
  </w:style>
  <w:style w:type="paragraph" w:customStyle="1" w:styleId="Style28">
    <w:name w:val="Nadpis #1"/>
    <w:basedOn w:val="Normal"/>
    <w:link w:val="CharStyle29"/>
    <w:pPr>
      <w:widowControl w:val="0"/>
      <w:shd w:val="clear" w:color="auto" w:fill="FFFFFF"/>
      <w:spacing w:after="560"/>
      <w:ind w:firstLine="340"/>
      <w:outlineLvl w:val="0"/>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Krajská správa a údržba silnic Vysočiny, příspěvková organizace,</dc:title>
  <dc:subject/>
  <dc:creator>zidkova</dc:creator>
  <cp:keywords/>
</cp:coreProperties>
</file>