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2741"/>
        <w:gridCol w:w="6408"/>
      </w:tblGrid>
      <w:tr>
        <w:trPr>
          <w:trHeight w:val="53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486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2021002168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KUPNÍ SMLOUVA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9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podle ust. § 2079 a násl. občanského zákoníku, uzavřená mezi</w:t>
      </w:r>
    </w:p>
    <w:p>
      <w:pPr>
        <w:widowControl w:val="0"/>
        <w:spacing w:after="4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741"/>
        <w:gridCol w:w="6408"/>
      </w:tblGrid>
      <w:tr>
        <w:trPr>
          <w:trHeight w:val="51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Jméno/název: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Zdravotnická záchranná služba Jihomoravského kraje, příspěvková organizace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Kamenice 798/1 d, 625 00 Brno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MUDr. Hana Albrechtová, ředitelka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2"/>
                <w:w w:val="100"/>
                <w:position w:val="0"/>
                <w:shd w:val="clear" w:color="auto" w:fill="000000"/>
                <w:lang w:val="cs-CZ" w:eastAsia="cs-CZ" w:bidi="cs-CZ"/>
              </w:rPr>
              <w:t>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.....</w:t>
            </w:r>
            <w:r>
              <w:rPr>
                <w:color w:val="000000"/>
                <w:spacing w:val="5"/>
                <w:w w:val="100"/>
                <w:position w:val="0"/>
                <w:shd w:val="clear" w:color="auto" w:fill="000000"/>
                <w:lang w:val="cs-CZ" w:eastAsia="cs-CZ" w:bidi="cs-CZ"/>
              </w:rPr>
              <w:t>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.................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6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7"/>
                <w:w w:val="100"/>
                <w:position w:val="0"/>
                <w:shd w:val="clear" w:color="auto" w:fill="000000"/>
                <w:lang w:val="cs-CZ" w:eastAsia="cs-CZ" w:bidi="cs-CZ"/>
              </w:rPr>
              <w:t>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..​</w:t>
            </w: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......</w:t>
            </w: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000000"/>
                <w:lang w:val="en-US" w:eastAsia="en-US" w:bidi="en-US"/>
              </w:rPr>
              <w:t>​..................</w:t>
            </w:r>
            <w:r>
              <w:rPr>
                <w:color w:val="000000"/>
                <w:spacing w:val="1"/>
                <w:w w:val="100"/>
                <w:position w:val="0"/>
                <w:u w:val="single"/>
                <w:shd w:val="clear" w:color="auto" w:fill="000000"/>
                <w:lang w:val="en-US" w:eastAsia="en-US" w:bidi="en-US"/>
              </w:rPr>
              <w:t>..................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en-US" w:eastAsia="en-US" w:bidi="en-US"/>
              </w:rPr>
              <w:t>.</w:t>
            </w:r>
            <w:r>
              <w:rPr>
                <w:color w:val="3388CD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7"/>
                <w:w w:val="100"/>
                <w:position w:val="0"/>
                <w:shd w:val="clear" w:color="auto" w:fill="000000"/>
                <w:lang w:val="cs-CZ" w:eastAsia="cs-CZ" w:bidi="cs-CZ"/>
              </w:rPr>
              <w:t>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2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​.......​..................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00346292</w:t>
            </w:r>
          </w:p>
        </w:tc>
      </w:tr>
      <w:tr>
        <w:trPr>
          <w:trHeight w:val="54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CZ00346292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Krajský soud v Brně sp. zn. Pr 1245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MONETA Money Bank, a.s., č. ú.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.​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.............</w:t>
            </w:r>
            <w:r>
              <w:rPr>
                <w:color w:val="000000"/>
                <w:spacing w:val="2"/>
                <w:w w:val="100"/>
                <w:position w:val="0"/>
                <w:shd w:val="clear" w:color="auto" w:fill="000000"/>
                <w:lang w:val="cs-CZ" w:eastAsia="cs-CZ" w:bidi="cs-CZ"/>
              </w:rPr>
              <w:t>.............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6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jako kupujícím 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„kupující“)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center"/>
        <w:tblLayout w:type="fixed"/>
      </w:tblPr>
      <w:tblGrid>
        <w:gridCol w:w="2741"/>
        <w:gridCol w:w="6408"/>
      </w:tblGrid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Jméno/název: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4BIZ B2B s.r.o.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Francouzská 6167/5, 708 00 Ostrava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Jednající: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Pavel Čtvrtlík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.......​</w:t>
            </w:r>
            <w:r>
              <w:rPr>
                <w:color w:val="000000"/>
                <w:spacing w:val="5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6"/>
                <w:w w:val="100"/>
                <w:position w:val="0"/>
                <w:shd w:val="clear" w:color="auto" w:fill="000000"/>
                <w:lang w:val="cs-CZ" w:eastAsia="cs-CZ" w:bidi="cs-CZ"/>
              </w:rPr>
              <w:t>.......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​...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........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04166108</w:t>
            </w:r>
          </w:p>
        </w:tc>
      </w:tr>
      <w:tr>
        <w:trPr>
          <w:trHeight w:val="52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CZ04166108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 Ostrava, oddíl C, vložka 62635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........</w:t>
            </w:r>
            <w:r>
              <w:rPr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2"/>
                <w:w w:val="100"/>
                <w:position w:val="0"/>
                <w:shd w:val="clear" w:color="auto" w:fill="000000"/>
                <w:lang w:val="cs-CZ" w:eastAsia="cs-CZ" w:bidi="cs-CZ"/>
              </w:rPr>
              <w:t>.....</w:t>
            </w: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......</w:t>
            </w:r>
            <w:r>
              <w:rPr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6"/>
                <w:w w:val="100"/>
                <w:position w:val="0"/>
                <w:shd w:val="clear" w:color="auto" w:fill="000000"/>
                <w:lang w:val="cs-CZ" w:eastAsia="cs-CZ" w:bidi="cs-CZ"/>
              </w:rPr>
              <w:t>....</w:t>
            </w:r>
            <w:r>
              <w:rPr>
                <w:color w:val="000000"/>
                <w:spacing w:val="7"/>
                <w:w w:val="100"/>
                <w:position w:val="0"/>
                <w:shd w:val="clear" w:color="auto" w:fill="000000"/>
                <w:lang w:val="cs-CZ" w:eastAsia="cs-CZ" w:bidi="cs-CZ"/>
              </w:rPr>
              <w:t>....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.........................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jako prodávajícím 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„prodávající 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 w:after="260" w:line="293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Prodávající je oprávněn na základě svého vlastnického práva nakládat s tímto zbožím: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respirátory FFP2 bez výdechového filtru,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jejichž bližší specifikace je uvedena v příloze č. 1 této kupní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 w:after="420" w:line="29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prodává zboží podle čl. 1 této smlouvy kupujícímu, a kupující kupuje toto zboží do vlastnictví Jihomoravského kraje, jako jeho zřizovatele, za kupní cenu podle čl. 5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 w:after="260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se zavazuje splnit svůj závazek k dodání zboží podle čl. 1 této smlouvy nejpozději do 10-ti pracovních dnů od účinnosti této kupní smlouvy. Závazek prodávajícího k dodání zboží podle čl. 1 této smlouvy se pak považuje za splněný dnem předání a převzetí tohoto zboží v místě plnění formou písemného předávacího protokolu (dodacího listu) podepsaného oběma stranami. Místem plnění se přitom pro účely této smlouvy rozumí sídlo kupujícího dle záhlaví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 w:after="500" w:line="276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Nebezpečí škody na převáděném zboží a vlastnické právo k tomuto zboží přechází z prodávajícího na kupujícího dnem splnění závazku prodávajícího k dodání tohoto zboží způsobem podle čl. 3 této smlouvy.</w:t>
      </w:r>
    </w:p>
    <w:tbl>
      <w:tblPr>
        <w:tblOverlap w:val="never"/>
        <w:jc w:val="center"/>
        <w:tblLayout w:type="fixed"/>
      </w:tblPr>
      <w:tblGrid>
        <w:gridCol w:w="2741"/>
        <w:gridCol w:w="6408"/>
      </w:tblGrid>
      <w:tr>
        <w:trPr>
          <w:trHeight w:val="18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8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</w:t>
            </w:r>
          </w:p>
        </w:tc>
      </w:tr>
    </w:tbl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 w:after="40" w:line="29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 se zavazuje zaplatit prodávajícímu za předmět koupě a prodeje podle čl. 1 této smlouvy kupní cenu celkem ve výši: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250.000,- Kč.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90" w:lineRule="auto"/>
        <w:ind w:left="5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Součástí této ceny jsou veškeré náklady prodávajícího na splnění jeho závazku k dodání zboží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cena podle čl. 5 této smlouvy je splatná na účet prodávajícího po splnění závazku prodávajícího k dodání zboží podle čl. 1 této smlouvy způsobem podle čl. 3 této smlouvy ve lhůtě do 30-ti dnů ode dne doručení jejího písemného vyúčtování (faktury/daňového dokladu). Faktura bude doručena elektronicky na email: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u w:val="single"/>
          <w:shd w:val="clear" w:color="auto" w:fill="000000"/>
          <w:lang w:val="en-US" w:eastAsia="en-US" w:bidi="en-US"/>
        </w:rPr>
        <w:t>​..................</w:t>
      </w:r>
      <w:r>
        <w:rPr>
          <w:color w:val="000000"/>
          <w:spacing w:val="1"/>
          <w:w w:val="100"/>
          <w:position w:val="0"/>
          <w:u w:val="single"/>
          <w:shd w:val="clear" w:color="auto" w:fill="000000"/>
          <w:lang w:val="en-US" w:eastAsia="en-US" w:bidi="en-US"/>
        </w:rPr>
        <w:t>..................</w:t>
      </w:r>
      <w:r>
        <w:rPr>
          <w:color w:val="000000"/>
          <w:spacing w:val="0"/>
          <w:w w:val="100"/>
          <w:position w:val="0"/>
          <w:shd w:val="clear" w:color="auto" w:fill="00000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​...</w:t>
      </w:r>
      <w:r>
        <w:rPr>
          <w:color w:val="000000"/>
          <w:spacing w:val="0"/>
          <w:w w:val="100"/>
          <w:position w:val="0"/>
          <w:u w:val="single"/>
          <w:shd w:val="clear" w:color="auto" w:fill="000000"/>
          <w:lang w:val="en-US" w:eastAsia="en-US" w:bidi="en-US"/>
        </w:rPr>
        <w:t>​......</w:t>
      </w:r>
      <w:r>
        <w:rPr>
          <w:color w:val="000000"/>
          <w:spacing w:val="1"/>
          <w:w w:val="100"/>
          <w:position w:val="0"/>
          <w:u w:val="single"/>
          <w:shd w:val="clear" w:color="auto" w:fill="000000"/>
          <w:lang w:val="en-US" w:eastAsia="en-US" w:bidi="en-US"/>
        </w:rPr>
        <w:t>.............................</w:t>
      </w:r>
      <w:r>
        <w:rPr>
          <w:color w:val="3388CD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musí obsahovat mimo jiné toto číslo veřejné zakázky: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P21V00000674.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převodem zboží podle čl. 1 této smlouvy je spojena záruka za jeho jakost v trvání 12 měsíců. V rámci této záruky se prodávající zavazuje bezplatně odstraňovat vady na zboží podle čl. 1 této smlouvy, a to ve lhůtě do 3 dnů od doručení příslušné reklamace písemné kupujícího. Písemná forma reklamace se považuje za dodrženou i v případě jejího odeslání elektronickou formou. Vzhledem k povaze zboží podle čl. 1 této smlouvy lze odstranit reklamované vady zboží jen jeho výměnou za jiné bezvadné.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 w:after="660" w:line="293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 w:after="520" w:line="293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případ prodlení se splněním jeho závazku k dodání zboží ve lhůtě podle čl. 3 této smlouvy a pro případ jeho prodlení s odstraněním vady ve lhůtě podle čl. 7 této smlouvy se prodávající zavazuje platit kupujícímu smluvní pokutu ve výši 0,1 % z kupní ceny podle čl. 5 této smlouvy za každý započatý den tohoto prodlení.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případ prodlení prodávajícího se splněním jeho závazku k odstranění vady ve lhůtě podle čl. 7 této smlouvy o víc, než 10 dnů, je kupující oprávněn od této smlouvy odstoupit s účinky extunc. Pro případ prodlení kupujícího se zaplacením kupní ceny nebo její části ve lhůtě podle čl. 6 této smlouvy o víc než 10 dnů, je prodávající oprávněn od této smlouvy odstoupit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 w:line="29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Není-li touto smlouvou ujednáno jinak, řídí se vzájemný právní vztah mezi kupujícím a prodávajícím při realizaci této smlouvy ust. § 2079 a násl.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 w:after="0" w:line="286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se uzavírá na základě návrhu na její uzavření ze strany kupujícího. Předpokladem uzavření této smlouvy je její písemná forma a dohoda o jejích podstatných náležitostech, čímž se rozumí celý obsah této smlouvy, jak je uveden v čl. 1 až 16 této smlouvy.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90" w:lineRule="auto"/>
        <w:ind w:left="5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 přitom předem vylučuje přijetí tohoto návrhu s dodatkem nebo odchylkou ve smyslu ust.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 w:after="420" w:line="295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bere na vědomí a souhlasí stím, aby kupující uveřejnil tuto smlouvu v registru smluv v souladu s ustanoveními zákona č. 340/2015 Sb., o registru smluv, ve znění pozdějších předpisů.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 w:after="420" w:line="295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Tuto smlouvu lze změnit nebo zrušit pouze jinou písemnou dohodou obou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 w:after="420" w:line="295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jejího uzavření a účinnosti dnem jejího uveřejnění ve smyslu čl. 13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2" w:val="left"/>
        </w:tabs>
        <w:bidi w:val="0"/>
        <w:spacing w:before="0" w:after="620" w:line="295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Dáno ve dvou originálních písemných vyhotoveních, z nichž každá ze smluvních stran obdrží po jednom.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1560" w:after="420" w:line="295" w:lineRule="auto"/>
        <w:ind w:left="0" w:right="0" w:firstLine="0"/>
        <w:jc w:val="left"/>
        <w:sectPr>
          <w:footerReference w:type="default" r:id="rId5"/>
          <w:footerReference w:type="first" r:id="rId6"/>
          <w:footnotePr>
            <w:pos w:val="pageBottom"/>
            <w:numFmt w:val="decimal"/>
            <w:numRestart w:val="continuous"/>
          </w:footnotePr>
          <w:pgSz w:w="11900" w:h="16840"/>
          <w:pgMar w:top="952" w:right="1360" w:bottom="1287" w:left="1387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mc:AlternateContent>
          <mc:Choice Requires="wps">
            <w:drawing>
              <wp:anchor distT="82550" distB="30480" distL="114300" distR="916305" simplePos="0" relativeHeight="125829378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margin">
                  <wp:posOffset>3796665</wp:posOffset>
                </wp:positionV>
                <wp:extent cx="667385" cy="14922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738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9.799999999999997pt;margin-top:298.94999999999999pt;width:52.550000000000004pt;height:11.75pt;z-index:-125829375;mso-wrap-distance-left:9.pt;mso-wrap-distance-top:6.5pt;mso-wrap-distance-right:72.150000000000006pt;mso-wrap-distance-bottom:2.39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Brně dne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0" distB="0" distL="1108075" distR="114300" simplePos="0" relativeHeight="125829380" behindDoc="0" locked="0" layoutInCell="1" allowOverlap="1">
            <wp:simplePos x="0" y="0"/>
            <wp:positionH relativeFrom="page">
              <wp:posOffset>1880235</wp:posOffset>
            </wp:positionH>
            <wp:positionV relativeFrom="margin">
              <wp:posOffset>3714115</wp:posOffset>
            </wp:positionV>
            <wp:extent cx="475615" cy="262255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475615" cy="2622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536575" distL="0" distR="368935" simplePos="0" relativeHeight="125829381" behindDoc="0" locked="0" layoutInCell="1" allowOverlap="1">
            <wp:simplePos x="0" y="0"/>
            <wp:positionH relativeFrom="page">
              <wp:posOffset>1694180</wp:posOffset>
            </wp:positionH>
            <wp:positionV relativeFrom="margin">
              <wp:posOffset>4491355</wp:posOffset>
            </wp:positionV>
            <wp:extent cx="1365250" cy="688975"/>
            <wp:wrapTight wrapText="left">
              <wp:wrapPolygon>
                <wp:start x="13820" y="0"/>
                <wp:lineTo x="21600" y="0"/>
                <wp:lineTo x="21600" y="21600"/>
                <wp:lineTo x="13820" y="21600"/>
                <wp:lineTo x="13820" y="12807"/>
                <wp:lineTo x="0" y="12807"/>
                <wp:lineTo x="0" y="191"/>
                <wp:lineTo x="13820" y="191"/>
                <wp:lineTo x="13820" y="0"/>
              </wp:wrapPolygon>
            </wp:wrapTight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365250" cy="68897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1791970</wp:posOffset>
                </wp:positionH>
                <wp:positionV relativeFrom="margin">
                  <wp:posOffset>5271770</wp:posOffset>
                </wp:positionV>
                <wp:extent cx="1633855" cy="445135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33855" cy="4451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 xml:space="preserve">Zdravotnická záchrarná shižba Jihomoravského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kraje, p.o.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 xml:space="preserve">Kamenice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798/1 d, 625 00 Brno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41.09999999999999pt;margin-top:415.10000000000002pt;width:128.65000000000001pt;height:35.050000000000004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Zdravotnická záchrarná shižba Jihomoravského 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kraje, p.o.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 xml:space="preserve">Kamenice 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798/1 d, 625 00 Brno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892810</wp:posOffset>
                </wp:positionH>
                <wp:positionV relativeFrom="margin">
                  <wp:posOffset>5304790</wp:posOffset>
                </wp:positionV>
                <wp:extent cx="545465" cy="15557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4546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Kupující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70.299999999999997pt;margin-top:417.69999999999999pt;width:42.950000000000003pt;height:12.25pt;z-index:-125829371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Kupující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115185" distB="0" distL="114300" distR="4439285" simplePos="0" relativeHeight="125829384" behindDoc="0" locked="0" layoutInCell="1" allowOverlap="1">
                <wp:simplePos x="0" y="0"/>
                <wp:positionH relativeFrom="page">
                  <wp:posOffset>2526665</wp:posOffset>
                </wp:positionH>
                <wp:positionV relativeFrom="margin">
                  <wp:posOffset>5701030</wp:posOffset>
                </wp:positionV>
                <wp:extent cx="143510" cy="143510"/>
                <wp:wrapSquare wrapText="bothSides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510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98.95000000000002pt;margin-top:448.90000000000003pt;width:11.300000000000001pt;height:11.300000000000001pt;z-index:-125829369;mso-wrap-distance-left:9.pt;mso-wrap-distance-top:166.55000000000001pt;mso-wrap-distance-right:349.5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drawing>
          <wp:anchor distT="0" distB="387350" distL="1123315" distR="114300" simplePos="0" relativeHeight="125829386" behindDoc="0" locked="0" layoutInCell="1" allowOverlap="1">
            <wp:simplePos x="0" y="0"/>
            <wp:positionH relativeFrom="page">
              <wp:posOffset>3535680</wp:posOffset>
            </wp:positionH>
            <wp:positionV relativeFrom="margin">
              <wp:posOffset>3585845</wp:posOffset>
            </wp:positionV>
            <wp:extent cx="3462655" cy="1871345"/>
            <wp:wrapSquare wrapText="bothSides"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3462655" cy="18713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MUDr. Han</w:t>
      </w:r>
      <w:r>
        <w:rPr>
          <w:color w:val="000000"/>
          <w:spacing w:val="21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22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...</w:t>
      </w:r>
      <w:r>
        <w:rPr>
          <w:color w:val="000000"/>
          <w:spacing w:val="3"/>
          <w:w w:val="100"/>
          <w:position w:val="0"/>
          <w:shd w:val="clear" w:color="auto" w:fill="000000"/>
          <w:lang w:val="cs-CZ" w:eastAsia="cs-CZ" w:bidi="cs-CZ"/>
        </w:rPr>
        <w:t>...............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ředitelka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Specifikace, cenová nabídka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996315</wp:posOffset>
                </wp:positionH>
                <wp:positionV relativeFrom="paragraph">
                  <wp:posOffset>4978400</wp:posOffset>
                </wp:positionV>
                <wp:extent cx="1371600" cy="133985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1600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Ostravě dne 23.3.2021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78.450000000000003pt;margin-top:392.pt;width:108.pt;height:10.550000000000001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Ostravě dne 23.3.2021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521335" distB="572770" distL="12700" distR="2932430" simplePos="0" relativeHeight="125829389" behindDoc="0" locked="0" layoutInCell="1" allowOverlap="1">
            <wp:simplePos x="0" y="0"/>
            <wp:positionH relativeFrom="page">
              <wp:posOffset>2505075</wp:posOffset>
            </wp:positionH>
            <wp:positionV relativeFrom="paragraph">
              <wp:posOffset>5118735</wp:posOffset>
            </wp:positionV>
            <wp:extent cx="372110" cy="201295"/>
            <wp:wrapSquare wrapText="left"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372110" cy="2012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619125" distR="12700" simplePos="0" relativeHeight="125829390" behindDoc="0" locked="0" layoutInCell="1" allowOverlap="1">
            <wp:simplePos x="0" y="0"/>
            <wp:positionH relativeFrom="page">
              <wp:posOffset>3111500</wp:posOffset>
            </wp:positionH>
            <wp:positionV relativeFrom="paragraph">
              <wp:posOffset>4597400</wp:posOffset>
            </wp:positionV>
            <wp:extent cx="2682240" cy="1292225"/>
            <wp:wrapSquare wrapText="left"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2682240" cy="12922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Respirátor FFP2 bez výdechového filtru</w:t>
      </w:r>
    </w:p>
    <w:tbl>
      <w:tblPr>
        <w:tblOverlap w:val="never"/>
        <w:jc w:val="center"/>
        <w:tblLayout w:type="fixed"/>
      </w:tblPr>
      <w:tblGrid>
        <w:gridCol w:w="4248"/>
        <w:gridCol w:w="4642"/>
      </w:tblGrid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Technické parametry požadované zadavatelem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Technické parametry nabízené dodavatelem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Skládaný jednorázový respirátor typ FFP2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2B2C1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Shoda s nařízením EU (EU) 2016/425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2B2C1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Shoda s normami EN149:2001 + A1:2009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2B2C1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Označení 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2B2C1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výdechového filtru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7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Upevnění: elastické úchyty za uši, snadné nasazení a sejmutí, dostatečně odolné upevnění, umožňující pevné udržení polohy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2B2C1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B2C1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Velikost: univerzální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2B2C1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Obsah 1 balení: 1 - 5 ks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2B2C1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Baleno jednotlivě, 25ks / krabička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výrobce a obchodní název výrobku: neurčeno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2B2C1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NFC-KN95 NR FFP2 CE2233</w:t>
            </w:r>
          </w:p>
        </w:tc>
      </w:tr>
    </w:tbl>
    <w:p>
      <w:pPr>
        <w:widowControl w:val="0"/>
        <w:spacing w:after="439" w:line="1" w:lineRule="exact"/>
      </w:pPr>
    </w:p>
    <w:p>
      <w:pPr>
        <w:widowControl w:val="0"/>
        <w:spacing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6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CENOVÁ NABÍDKA</w:t>
      </w:r>
    </w:p>
    <w:tbl>
      <w:tblPr>
        <w:tblOverlap w:val="never"/>
        <w:jc w:val="left"/>
        <w:tblLayout w:type="fixed"/>
      </w:tblPr>
      <w:tblGrid>
        <w:gridCol w:w="2539"/>
        <w:gridCol w:w="2083"/>
        <w:gridCol w:w="2107"/>
      </w:tblGrid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 Kč celkem za jednotku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 celkem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2B2C18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 Kč celkem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5,99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41.750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250.000</w:t>
            </w:r>
          </w:p>
        </w:tc>
      </w:tr>
    </w:tbl>
    <w:p>
      <w:pPr>
        <w:widowControl w:val="0"/>
        <w:spacing w:after="7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86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Pavel Čtvrtiík, jednat</w:t>
      </w:r>
      <w:r>
        <w:rPr>
          <w:color w:val="000000"/>
          <w:spacing w:val="21"/>
          <w:w w:val="100"/>
          <w:position w:val="0"/>
          <w:shd w:val="clear" w:color="auto" w:fill="000000"/>
          <w:lang w:val="cs-CZ" w:eastAsia="cs-CZ" w:bidi="cs-CZ"/>
        </w:rPr>
        <w:t>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Jméno, příjmení a podpis osoby oprávněné jednat za dodavatele nebo jeho jménem</w:t>
      </w:r>
    </w:p>
    <w:sectPr>
      <w:footerReference w:type="default" r:id="rId17"/>
      <w:footnotePr>
        <w:pos w:val="pageBottom"/>
        <w:numFmt w:val="decimal"/>
        <w:numRestart w:val="continuous"/>
      </w:footnotePr>
      <w:pgSz w:w="11900" w:h="16840"/>
      <w:pgMar w:top="952" w:right="1360" w:bottom="1287" w:left="1387" w:header="524" w:footer="859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3761105</wp:posOffset>
              </wp:positionH>
              <wp:positionV relativeFrom="page">
                <wp:posOffset>9939020</wp:posOffset>
              </wp:positionV>
              <wp:extent cx="54610" cy="8255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6.15000000000003pt;margin-top:782.60000000000002pt;width:4.2999999999999998pt;height:6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10323195</wp:posOffset>
              </wp:positionV>
              <wp:extent cx="3282950" cy="11303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8295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Veřejná zakázka 17-21: Respirátory FFP2 bez výdechového filtru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2.200000000000003pt;margin-top:812.85000000000002pt;width:258.5pt;height:8.9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Veřejná zakázka 17-21: Respirátory FFP2 bez výdechového filtru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911225</wp:posOffset>
              </wp:positionH>
              <wp:positionV relativeFrom="page">
                <wp:posOffset>10026015</wp:posOffset>
              </wp:positionV>
              <wp:extent cx="3282950" cy="10985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8295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Veřejná zakázka 17-21: Respirátory FFP2 bez výdechového filtru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1.75pt;margin-top:789.45000000000005pt;width:258.5pt;height:8.65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Veřejná zakázka 17-21: Respirátory FFP2 bez výdechového filtru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Titulek obrázku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color w:val="5CC9F0"/>
      <w:sz w:val="18"/>
      <w:szCs w:val="18"/>
      <w:u w:val="none"/>
    </w:rPr>
  </w:style>
  <w:style w:type="character" w:customStyle="1" w:styleId="CharStyle10">
    <w:name w:val="Základní text (2)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CC9F0"/>
      <w:sz w:val="18"/>
      <w:szCs w:val="18"/>
      <w:u w:val="none"/>
    </w:rPr>
  </w:style>
  <w:style w:type="character" w:customStyle="1" w:styleId="CharStyle12">
    <w:name w:val="Titulek tabulky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Jiné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">
    <w:name w:val="Záhlaví nebo zápatí (2)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440" w:line="28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Titulek obrázku"/>
    <w:basedOn w:val="Normal"/>
    <w:link w:val="CharStyle5"/>
    <w:pPr>
      <w:widowControl w:val="0"/>
      <w:shd w:val="clear" w:color="auto" w:fill="auto"/>
      <w:spacing w:line="257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CC9F0"/>
      <w:sz w:val="18"/>
      <w:szCs w:val="18"/>
      <w:u w:val="none"/>
    </w:rPr>
  </w:style>
  <w:style w:type="paragraph" w:customStyle="1" w:styleId="Style9">
    <w:name w:val="Základní text (2)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CC9F0"/>
      <w:sz w:val="18"/>
      <w:szCs w:val="18"/>
      <w:u w:val="none"/>
    </w:rPr>
  </w:style>
  <w:style w:type="paragraph" w:customStyle="1" w:styleId="Style11">
    <w:name w:val="Titulek tabulky"/>
    <w:basedOn w:val="Normal"/>
    <w:link w:val="CharStyle12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3">
    <w:name w:val="Jiné"/>
    <w:basedOn w:val="Normal"/>
    <w:link w:val="CharStyle14"/>
    <w:pPr>
      <w:widowControl w:val="0"/>
      <w:shd w:val="clear" w:color="auto" w:fill="auto"/>
      <w:spacing w:after="440" w:line="28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7">
    <w:name w:val="Záhlaví nebo zápatí (2)"/>
    <w:basedOn w:val="Normal"/>
    <w:link w:val="CharStyle1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2.pn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Relationship Id="rId17" Type="http://schemas.openxmlformats.org/officeDocument/2006/relationships/footer" Target="footer3.xml"/></Relationships>
</file>