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C2" w:rsidRDefault="001118C2" w:rsidP="001118C2">
      <w:pPr>
        <w:jc w:val="both"/>
        <w:rPr>
          <w:b/>
        </w:rPr>
      </w:pPr>
      <w:bookmarkStart w:id="0" w:name="_GoBack"/>
      <w:bookmarkEnd w:id="0"/>
    </w:p>
    <w:p w:rsidR="00BC6D9C" w:rsidRDefault="00BC6D9C" w:rsidP="00BC6D9C">
      <w:pPr>
        <w:tabs>
          <w:tab w:val="left" w:pos="426"/>
        </w:tabs>
        <w:ind w:left="70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="001118C2" w:rsidRPr="00847930">
        <w:rPr>
          <w:b/>
          <w:sz w:val="32"/>
          <w:szCs w:val="32"/>
        </w:rPr>
        <w:t>STANOVY</w:t>
      </w:r>
    </w:p>
    <w:p w:rsidR="00BC6D9C" w:rsidRDefault="00BC6D9C" w:rsidP="00BC6D9C">
      <w:pPr>
        <w:tabs>
          <w:tab w:val="left" w:pos="426"/>
        </w:tabs>
        <w:ind w:left="705"/>
      </w:pPr>
    </w:p>
    <w:p w:rsidR="001118C2" w:rsidRPr="00461255" w:rsidRDefault="00F44566" w:rsidP="001E7519">
      <w:pPr>
        <w:tabs>
          <w:tab w:val="left" w:pos="426"/>
        </w:tabs>
        <w:ind w:left="705"/>
        <w:jc w:val="center"/>
      </w:pPr>
      <w:r w:rsidRPr="00461255">
        <w:t>„</w:t>
      </w:r>
      <w:r w:rsidR="001118C2" w:rsidRPr="00461255">
        <w:t xml:space="preserve">NPÚ </w:t>
      </w:r>
      <w:r w:rsidR="001E7519" w:rsidRPr="00461255">
        <w:t>- ACO - ARCHAIA - ÚAPP – sdružení pro Moravia-VTL plynovod - záchranný archeologický výzkum</w:t>
      </w:r>
      <w:r w:rsidRPr="00461255">
        <w:t>“</w:t>
      </w:r>
    </w:p>
    <w:p w:rsidR="001118C2" w:rsidRDefault="001118C2" w:rsidP="003A3452">
      <w:pPr>
        <w:tabs>
          <w:tab w:val="left" w:pos="426"/>
        </w:tabs>
        <w:jc w:val="both"/>
      </w:pPr>
    </w:p>
    <w:p w:rsidR="001118C2" w:rsidRDefault="001118C2" w:rsidP="001118C2">
      <w:pPr>
        <w:tabs>
          <w:tab w:val="left" w:pos="426"/>
        </w:tabs>
        <w:ind w:left="705"/>
        <w:jc w:val="both"/>
      </w:pPr>
    </w:p>
    <w:p w:rsidR="001118C2" w:rsidRDefault="001118C2" w:rsidP="001118C2">
      <w:pPr>
        <w:tabs>
          <w:tab w:val="left" w:pos="426"/>
        </w:tabs>
        <w:jc w:val="both"/>
      </w:pPr>
      <w:r>
        <w:t>Společníci</w:t>
      </w:r>
    </w:p>
    <w:p w:rsidR="00847930" w:rsidRPr="001118C2" w:rsidRDefault="00847930" w:rsidP="001118C2">
      <w:pPr>
        <w:tabs>
          <w:tab w:val="left" w:pos="426"/>
        </w:tabs>
        <w:jc w:val="both"/>
      </w:pPr>
    </w:p>
    <w:p w:rsidR="001118C2" w:rsidRPr="00A73D24" w:rsidRDefault="001118C2" w:rsidP="001118C2">
      <w:pPr>
        <w:tabs>
          <w:tab w:val="left" w:pos="426"/>
        </w:tabs>
        <w:jc w:val="both"/>
      </w:pPr>
      <w:r>
        <w:rPr>
          <w:b/>
        </w:rPr>
        <w:t>Národní památkový ústav, státní příspěvková organizace</w:t>
      </w:r>
    </w:p>
    <w:p w:rsidR="001118C2" w:rsidRPr="00A73D24" w:rsidRDefault="001118C2" w:rsidP="001118C2">
      <w:pPr>
        <w:tabs>
          <w:tab w:val="num" w:pos="-7938"/>
          <w:tab w:val="left" w:pos="2977"/>
        </w:tabs>
        <w:ind w:left="426"/>
        <w:jc w:val="both"/>
      </w:pPr>
      <w:r w:rsidRPr="00A73D24">
        <w:t xml:space="preserve">Sídlo: </w:t>
      </w:r>
      <w:r w:rsidRPr="00A73D24">
        <w:tab/>
      </w:r>
      <w:r>
        <w:rPr>
          <w:lang w:val="pl-PL"/>
        </w:rPr>
        <w:t>Valdštějnské náměstí 162/3, 118 01 Praha 1</w:t>
      </w:r>
    </w:p>
    <w:p w:rsidR="001118C2" w:rsidRPr="00A73D24" w:rsidRDefault="001118C2" w:rsidP="001118C2">
      <w:pPr>
        <w:tabs>
          <w:tab w:val="num" w:pos="-7938"/>
          <w:tab w:val="left" w:pos="2977"/>
        </w:tabs>
        <w:ind w:left="426"/>
        <w:jc w:val="both"/>
        <w:rPr>
          <w:bCs/>
        </w:rPr>
      </w:pPr>
      <w:r w:rsidRPr="00A73D24">
        <w:t>IČ</w:t>
      </w:r>
      <w:r>
        <w:t>O</w:t>
      </w:r>
      <w:r w:rsidRPr="00A73D24">
        <w:t xml:space="preserve">: </w:t>
      </w:r>
      <w:r w:rsidRPr="00A73D24">
        <w:tab/>
      </w:r>
      <w:r w:rsidRPr="00361873">
        <w:rPr>
          <w:lang w:val="pl-PL"/>
        </w:rPr>
        <w:t>750</w:t>
      </w:r>
      <w:r>
        <w:rPr>
          <w:lang w:val="pl-PL"/>
        </w:rPr>
        <w:t xml:space="preserve"> </w:t>
      </w:r>
      <w:r w:rsidRPr="00361873">
        <w:rPr>
          <w:lang w:val="pl-PL"/>
        </w:rPr>
        <w:t>32</w:t>
      </w:r>
      <w:r>
        <w:rPr>
          <w:lang w:val="pl-PL"/>
        </w:rPr>
        <w:t xml:space="preserve"> </w:t>
      </w:r>
      <w:r w:rsidRPr="00361873">
        <w:rPr>
          <w:lang w:val="pl-PL"/>
        </w:rPr>
        <w:t>333</w:t>
      </w:r>
    </w:p>
    <w:p w:rsidR="001118C2" w:rsidRPr="00A73D24" w:rsidRDefault="001118C2" w:rsidP="001118C2">
      <w:pPr>
        <w:tabs>
          <w:tab w:val="num" w:pos="-7938"/>
          <w:tab w:val="left" w:pos="2977"/>
        </w:tabs>
        <w:ind w:left="426"/>
        <w:jc w:val="both"/>
        <w:rPr>
          <w:bCs/>
        </w:rPr>
      </w:pPr>
      <w:r w:rsidRPr="00A73D24">
        <w:rPr>
          <w:bCs/>
        </w:rPr>
        <w:t>DIČ</w:t>
      </w:r>
      <w:r>
        <w:rPr>
          <w:bCs/>
        </w:rPr>
        <w:t>:</w:t>
      </w:r>
      <w:r w:rsidRPr="00A73D24">
        <w:rPr>
          <w:bCs/>
        </w:rPr>
        <w:tab/>
      </w:r>
      <w:r w:rsidRPr="00361873">
        <w:rPr>
          <w:bCs/>
        </w:rPr>
        <w:t>CZ75032333</w:t>
      </w:r>
    </w:p>
    <w:p w:rsidR="001118C2" w:rsidRDefault="001118C2" w:rsidP="001118C2">
      <w:pPr>
        <w:tabs>
          <w:tab w:val="num" w:pos="-7938"/>
          <w:tab w:val="left" w:pos="2977"/>
        </w:tabs>
        <w:ind w:left="2976" w:hanging="2550"/>
        <w:jc w:val="both"/>
      </w:pPr>
      <w:r>
        <w:t>Zastoupený</w:t>
      </w:r>
      <w:r w:rsidRPr="00A73D24">
        <w:t>:</w:t>
      </w:r>
      <w:r w:rsidRPr="00A73D24">
        <w:tab/>
      </w:r>
      <w:r>
        <w:t xml:space="preserve">Mgr. Michalem </w:t>
      </w:r>
      <w:r w:rsidRPr="00361873">
        <w:t>Zezul</w:t>
      </w:r>
      <w:r>
        <w:t>ou</w:t>
      </w:r>
      <w:r w:rsidR="00D40029">
        <w:t xml:space="preserve">, </w:t>
      </w:r>
      <w:r w:rsidR="00D40029" w:rsidRPr="00D40029">
        <w:t>Ph.D.</w:t>
      </w:r>
      <w:r w:rsidRPr="00D40029">
        <w:t xml:space="preserve">, </w:t>
      </w:r>
      <w:r w:rsidRPr="004A16F8">
        <w:t>ředitelem</w:t>
      </w:r>
      <w:r>
        <w:t xml:space="preserve"> územního odborného pracoviště v Ostravě</w:t>
      </w:r>
    </w:p>
    <w:p w:rsidR="001118C2" w:rsidRPr="00A73D24" w:rsidRDefault="001118C2" w:rsidP="001118C2">
      <w:pPr>
        <w:tabs>
          <w:tab w:val="num" w:pos="-7938"/>
          <w:tab w:val="left" w:pos="2977"/>
        </w:tabs>
        <w:ind w:left="2976" w:hanging="2550"/>
        <w:jc w:val="both"/>
      </w:pPr>
      <w:r>
        <w:t>Adresa pro doručování:</w:t>
      </w:r>
      <w:r>
        <w:tab/>
        <w:t xml:space="preserve">Národní památkový ústav, územní odborné pracoviště Ostrava, </w:t>
      </w:r>
      <w:r w:rsidRPr="00D563AA">
        <w:t>ul. Odboje 1941/1</w:t>
      </w:r>
      <w:r>
        <w:t xml:space="preserve">, </w:t>
      </w:r>
      <w:r w:rsidRPr="00D563AA">
        <w:t>702 00 Ostrava – Moravská Ostrava</w:t>
      </w:r>
    </w:p>
    <w:p w:rsidR="001118C2" w:rsidRDefault="001118C2" w:rsidP="001118C2">
      <w:pPr>
        <w:tabs>
          <w:tab w:val="num" w:pos="-7938"/>
          <w:tab w:val="left" w:pos="2977"/>
        </w:tabs>
        <w:ind w:left="426"/>
        <w:jc w:val="both"/>
      </w:pPr>
      <w:r>
        <w:t>a</w:t>
      </w:r>
    </w:p>
    <w:p w:rsidR="001118C2" w:rsidRPr="0018780C" w:rsidRDefault="001118C2" w:rsidP="001118C2">
      <w:pPr>
        <w:tabs>
          <w:tab w:val="num" w:pos="-7938"/>
          <w:tab w:val="left" w:pos="2977"/>
        </w:tabs>
        <w:ind w:left="426"/>
        <w:jc w:val="both"/>
      </w:pPr>
    </w:p>
    <w:p w:rsidR="001118C2" w:rsidRPr="008F4056" w:rsidRDefault="001E7519" w:rsidP="001118C2">
      <w:pPr>
        <w:tabs>
          <w:tab w:val="left" w:pos="426"/>
        </w:tabs>
        <w:jc w:val="both"/>
        <w:rPr>
          <w:b/>
        </w:rPr>
      </w:pPr>
      <w:r>
        <w:rPr>
          <w:b/>
        </w:rPr>
        <w:t>Archeologické centrum Olomouc, p.</w:t>
      </w:r>
      <w:r w:rsidR="00D40029">
        <w:rPr>
          <w:b/>
        </w:rPr>
        <w:t xml:space="preserve"> </w:t>
      </w:r>
      <w:r>
        <w:rPr>
          <w:b/>
        </w:rPr>
        <w:t>o.</w:t>
      </w:r>
    </w:p>
    <w:p w:rsidR="001118C2" w:rsidRPr="00A73D24" w:rsidRDefault="001118C2" w:rsidP="001118C2">
      <w:pPr>
        <w:tabs>
          <w:tab w:val="num" w:pos="-7938"/>
          <w:tab w:val="left" w:pos="2977"/>
        </w:tabs>
        <w:ind w:left="426"/>
        <w:jc w:val="both"/>
      </w:pPr>
      <w:r w:rsidRPr="00A73D24">
        <w:t xml:space="preserve">Sídlo: </w:t>
      </w:r>
      <w:r w:rsidR="001E7519">
        <w:tab/>
        <w:t>U Hradiska 42/6, 779 00 Olomouc</w:t>
      </w:r>
      <w:r w:rsidRPr="00A73D24">
        <w:tab/>
      </w:r>
    </w:p>
    <w:p w:rsidR="001118C2" w:rsidRPr="00A73D24" w:rsidRDefault="001118C2" w:rsidP="001118C2">
      <w:pPr>
        <w:tabs>
          <w:tab w:val="num" w:pos="-7938"/>
          <w:tab w:val="left" w:pos="2977"/>
        </w:tabs>
        <w:ind w:left="426"/>
        <w:jc w:val="both"/>
        <w:rPr>
          <w:bCs/>
        </w:rPr>
      </w:pPr>
      <w:r w:rsidRPr="00A73D24">
        <w:t>IČ</w:t>
      </w:r>
      <w:r>
        <w:t>O</w:t>
      </w:r>
      <w:r w:rsidRPr="00A73D24">
        <w:t xml:space="preserve">: </w:t>
      </w:r>
      <w:r w:rsidRPr="00A73D24">
        <w:tab/>
      </w:r>
      <w:r w:rsidR="001E7519">
        <w:t>75008271</w:t>
      </w:r>
    </w:p>
    <w:p w:rsidR="001118C2" w:rsidRPr="005D5DA3" w:rsidRDefault="001118C2" w:rsidP="001118C2">
      <w:pPr>
        <w:tabs>
          <w:tab w:val="num" w:pos="-7938"/>
          <w:tab w:val="left" w:pos="2977"/>
        </w:tabs>
        <w:ind w:left="426"/>
        <w:jc w:val="both"/>
        <w:rPr>
          <w:bCs/>
        </w:rPr>
      </w:pPr>
      <w:r w:rsidRPr="00A73D24">
        <w:rPr>
          <w:bCs/>
        </w:rPr>
        <w:t>DIČ</w:t>
      </w:r>
      <w:r>
        <w:rPr>
          <w:bCs/>
        </w:rPr>
        <w:t>:</w:t>
      </w:r>
      <w:r w:rsidRPr="00A73D24">
        <w:rPr>
          <w:bCs/>
        </w:rPr>
        <w:tab/>
      </w:r>
      <w:r w:rsidR="001E7519">
        <w:rPr>
          <w:bCs/>
        </w:rPr>
        <w:t>CZ75008271</w:t>
      </w:r>
    </w:p>
    <w:p w:rsidR="001E7519" w:rsidRDefault="00461510" w:rsidP="001E7519">
      <w:pPr>
        <w:tabs>
          <w:tab w:val="num" w:pos="-7938"/>
          <w:tab w:val="left" w:pos="2977"/>
        </w:tabs>
        <w:ind w:left="426"/>
        <w:jc w:val="both"/>
      </w:pPr>
      <w:r>
        <w:t>Zastoupená</w:t>
      </w:r>
      <w:r w:rsidR="001E7519">
        <w:t>:</w:t>
      </w:r>
      <w:r w:rsidR="001E7519">
        <w:tab/>
        <w:t>doc. PhDr. Jaroslavem Peškou, Ph.D., ředitelem</w:t>
      </w:r>
    </w:p>
    <w:p w:rsidR="001E7519" w:rsidRDefault="001E7519" w:rsidP="001E7519">
      <w:pPr>
        <w:tabs>
          <w:tab w:val="num" w:pos="-7938"/>
          <w:tab w:val="left" w:pos="2977"/>
        </w:tabs>
        <w:ind w:left="426"/>
        <w:jc w:val="both"/>
      </w:pPr>
    </w:p>
    <w:p w:rsidR="001E7519" w:rsidRDefault="001E7519" w:rsidP="001E7519">
      <w:pPr>
        <w:tabs>
          <w:tab w:val="num" w:pos="-7938"/>
          <w:tab w:val="left" w:pos="2977"/>
        </w:tabs>
        <w:ind w:left="426"/>
        <w:jc w:val="both"/>
      </w:pPr>
      <w:r>
        <w:t>a</w:t>
      </w:r>
    </w:p>
    <w:p w:rsidR="001E7519" w:rsidRDefault="001E7519" w:rsidP="001E7519">
      <w:pPr>
        <w:tabs>
          <w:tab w:val="num" w:pos="-7938"/>
          <w:tab w:val="left" w:pos="2977"/>
        </w:tabs>
        <w:jc w:val="both"/>
      </w:pPr>
    </w:p>
    <w:p w:rsidR="001E7519" w:rsidRPr="008F4056" w:rsidRDefault="001E7519" w:rsidP="001E7519">
      <w:pPr>
        <w:tabs>
          <w:tab w:val="left" w:pos="426"/>
        </w:tabs>
        <w:jc w:val="both"/>
        <w:rPr>
          <w:b/>
        </w:rPr>
      </w:pPr>
      <w:proofErr w:type="spellStart"/>
      <w:r>
        <w:rPr>
          <w:b/>
        </w:rPr>
        <w:t>Archaia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Brno,</w:t>
      </w:r>
      <w:r w:rsidR="00D40029">
        <w:rPr>
          <w:b/>
        </w:rPr>
        <w:t xml:space="preserve"> </w:t>
      </w:r>
      <w:r>
        <w:rPr>
          <w:b/>
        </w:rPr>
        <w:t>z.</w:t>
      </w:r>
      <w:r w:rsidR="00D40029">
        <w:rPr>
          <w:b/>
        </w:rPr>
        <w:t xml:space="preserve"> </w:t>
      </w:r>
      <w:proofErr w:type="spellStart"/>
      <w:r>
        <w:rPr>
          <w:b/>
        </w:rPr>
        <w:t>ú</w:t>
      </w:r>
      <w:proofErr w:type="spellEnd"/>
      <w:r>
        <w:rPr>
          <w:b/>
        </w:rPr>
        <w:t>.</w:t>
      </w:r>
      <w:proofErr w:type="gramEnd"/>
    </w:p>
    <w:p w:rsidR="001E7519" w:rsidRPr="00A73D24" w:rsidRDefault="001E7519" w:rsidP="001E7519">
      <w:pPr>
        <w:tabs>
          <w:tab w:val="num" w:pos="-7938"/>
          <w:tab w:val="left" w:pos="2977"/>
        </w:tabs>
        <w:ind w:left="426"/>
        <w:jc w:val="both"/>
      </w:pPr>
      <w:r w:rsidRPr="00A73D24">
        <w:t xml:space="preserve">Sídlo: </w:t>
      </w:r>
      <w:r>
        <w:tab/>
        <w:t>Bezručova 78/15, 602 00 Brno</w:t>
      </w:r>
      <w:r w:rsidRPr="00A73D24">
        <w:tab/>
      </w:r>
    </w:p>
    <w:p w:rsidR="001E7519" w:rsidRPr="00A73D24" w:rsidRDefault="001E7519" w:rsidP="001E7519">
      <w:pPr>
        <w:tabs>
          <w:tab w:val="num" w:pos="-7938"/>
          <w:tab w:val="left" w:pos="2977"/>
        </w:tabs>
        <w:ind w:left="426"/>
        <w:jc w:val="both"/>
        <w:rPr>
          <w:bCs/>
        </w:rPr>
      </w:pPr>
      <w:r w:rsidRPr="00A73D24">
        <w:t>IČ</w:t>
      </w:r>
      <w:r>
        <w:t>O</w:t>
      </w:r>
      <w:r w:rsidRPr="00A73D24">
        <w:t xml:space="preserve">: </w:t>
      </w:r>
      <w:r w:rsidRPr="00A73D24">
        <w:tab/>
      </w:r>
      <w:r>
        <w:t>26268469</w:t>
      </w:r>
    </w:p>
    <w:p w:rsidR="001E7519" w:rsidRPr="005D5DA3" w:rsidRDefault="001E7519" w:rsidP="001E7519">
      <w:pPr>
        <w:tabs>
          <w:tab w:val="num" w:pos="-7938"/>
          <w:tab w:val="left" w:pos="2977"/>
        </w:tabs>
        <w:ind w:left="426"/>
        <w:jc w:val="both"/>
        <w:rPr>
          <w:bCs/>
        </w:rPr>
      </w:pPr>
      <w:r w:rsidRPr="00A73D24">
        <w:rPr>
          <w:bCs/>
        </w:rPr>
        <w:t>DIČ</w:t>
      </w:r>
      <w:r>
        <w:rPr>
          <w:bCs/>
        </w:rPr>
        <w:t>:</w:t>
      </w:r>
      <w:r w:rsidRPr="00A73D24">
        <w:rPr>
          <w:bCs/>
        </w:rPr>
        <w:tab/>
      </w:r>
      <w:r>
        <w:rPr>
          <w:bCs/>
        </w:rPr>
        <w:t>CZ26268469</w:t>
      </w:r>
    </w:p>
    <w:p w:rsidR="001E7519" w:rsidRDefault="001E7519" w:rsidP="001E7519">
      <w:pPr>
        <w:tabs>
          <w:tab w:val="num" w:pos="-7938"/>
          <w:tab w:val="left" w:pos="2977"/>
        </w:tabs>
        <w:jc w:val="both"/>
      </w:pPr>
      <w:r>
        <w:t>Zastoupe</w:t>
      </w:r>
      <w:r w:rsidR="00D84F2E">
        <w:t>ný</w:t>
      </w:r>
      <w:r>
        <w:t>:</w:t>
      </w:r>
      <w:r>
        <w:tab/>
        <w:t>Mgr. Markem Peškou, Ph.D., ředitelem</w:t>
      </w:r>
    </w:p>
    <w:p w:rsidR="001E7519" w:rsidRDefault="001E7519" w:rsidP="001E7519">
      <w:pPr>
        <w:tabs>
          <w:tab w:val="num" w:pos="-7938"/>
          <w:tab w:val="left" w:pos="2977"/>
        </w:tabs>
        <w:jc w:val="both"/>
      </w:pPr>
    </w:p>
    <w:p w:rsidR="001E7519" w:rsidRDefault="001E7519" w:rsidP="001E7519">
      <w:pPr>
        <w:tabs>
          <w:tab w:val="num" w:pos="-7938"/>
          <w:tab w:val="left" w:pos="2977"/>
        </w:tabs>
        <w:jc w:val="both"/>
      </w:pPr>
      <w:r>
        <w:t xml:space="preserve">       a</w:t>
      </w:r>
      <w:r>
        <w:tab/>
        <w:t xml:space="preserve"> </w:t>
      </w:r>
    </w:p>
    <w:p w:rsidR="001E7519" w:rsidRDefault="001E7519" w:rsidP="001E7519">
      <w:pPr>
        <w:tabs>
          <w:tab w:val="num" w:pos="-7938"/>
          <w:tab w:val="left" w:pos="2977"/>
        </w:tabs>
        <w:jc w:val="both"/>
      </w:pPr>
    </w:p>
    <w:p w:rsidR="001E7519" w:rsidRPr="008F4056" w:rsidRDefault="001E7519" w:rsidP="001E7519">
      <w:pPr>
        <w:tabs>
          <w:tab w:val="left" w:pos="426"/>
        </w:tabs>
        <w:jc w:val="both"/>
        <w:rPr>
          <w:b/>
        </w:rPr>
      </w:pPr>
      <w:r>
        <w:rPr>
          <w:b/>
        </w:rPr>
        <w:t>Ústav archeologické památkové péče, v.</w:t>
      </w:r>
      <w:r w:rsidR="00D40029">
        <w:rPr>
          <w:b/>
        </w:rPr>
        <w:t xml:space="preserve"> </w:t>
      </w:r>
      <w:r>
        <w:rPr>
          <w:b/>
        </w:rPr>
        <w:t>v.</w:t>
      </w:r>
      <w:r w:rsidR="00D40029">
        <w:rPr>
          <w:b/>
        </w:rPr>
        <w:t xml:space="preserve"> </w:t>
      </w:r>
      <w:r>
        <w:rPr>
          <w:b/>
        </w:rPr>
        <w:t>i.</w:t>
      </w:r>
    </w:p>
    <w:p w:rsidR="001E7519" w:rsidRPr="00A73D24" w:rsidRDefault="001E7519" w:rsidP="001E7519">
      <w:pPr>
        <w:tabs>
          <w:tab w:val="num" w:pos="-7938"/>
          <w:tab w:val="left" w:pos="2977"/>
        </w:tabs>
        <w:ind w:left="426"/>
        <w:jc w:val="both"/>
      </w:pPr>
      <w:r w:rsidRPr="00A73D24">
        <w:t xml:space="preserve">Sídlo: </w:t>
      </w:r>
      <w:r w:rsidR="00D309E3">
        <w:tab/>
        <w:t>Kaloudova 1321/30, 614 00 Brno</w:t>
      </w:r>
      <w:r w:rsidRPr="00A73D24">
        <w:tab/>
      </w:r>
    </w:p>
    <w:p w:rsidR="001E7519" w:rsidRPr="00A73D24" w:rsidRDefault="001E7519" w:rsidP="001E7519">
      <w:pPr>
        <w:tabs>
          <w:tab w:val="num" w:pos="-7938"/>
          <w:tab w:val="left" w:pos="2977"/>
        </w:tabs>
        <w:ind w:left="426"/>
        <w:jc w:val="both"/>
        <w:rPr>
          <w:bCs/>
        </w:rPr>
      </w:pPr>
      <w:r w:rsidRPr="00A73D24">
        <w:t>IČ</w:t>
      </w:r>
      <w:r>
        <w:t>O</w:t>
      </w:r>
      <w:r w:rsidRPr="00A73D24">
        <w:t xml:space="preserve">: </w:t>
      </w:r>
      <w:r w:rsidRPr="00A73D24">
        <w:tab/>
      </w:r>
      <w:r w:rsidR="00D309E3">
        <w:t>48511005</w:t>
      </w:r>
    </w:p>
    <w:p w:rsidR="001E7519" w:rsidRPr="005D5DA3" w:rsidRDefault="001E7519" w:rsidP="001E7519">
      <w:pPr>
        <w:tabs>
          <w:tab w:val="num" w:pos="-7938"/>
          <w:tab w:val="left" w:pos="2977"/>
        </w:tabs>
        <w:ind w:left="426"/>
        <w:jc w:val="both"/>
        <w:rPr>
          <w:bCs/>
        </w:rPr>
      </w:pPr>
      <w:r w:rsidRPr="00A73D24">
        <w:rPr>
          <w:bCs/>
        </w:rPr>
        <w:t>DIČ</w:t>
      </w:r>
      <w:r>
        <w:rPr>
          <w:bCs/>
        </w:rPr>
        <w:t>:</w:t>
      </w:r>
      <w:r w:rsidRPr="00A73D24">
        <w:rPr>
          <w:bCs/>
        </w:rPr>
        <w:tab/>
      </w:r>
      <w:r w:rsidR="00D309E3">
        <w:rPr>
          <w:bCs/>
        </w:rPr>
        <w:t>CZ48511005</w:t>
      </w:r>
    </w:p>
    <w:p w:rsidR="001E7519" w:rsidRDefault="00D84F2E" w:rsidP="001E7519">
      <w:pPr>
        <w:tabs>
          <w:tab w:val="num" w:pos="-7938"/>
          <w:tab w:val="left" w:pos="2977"/>
        </w:tabs>
        <w:jc w:val="both"/>
      </w:pPr>
      <w:r>
        <w:t>Zastoupený:</w:t>
      </w:r>
      <w:r>
        <w:tab/>
        <w:t>Mgr. Andreou Matějíčkovou, ředitelkou</w:t>
      </w:r>
    </w:p>
    <w:p w:rsidR="001E7519" w:rsidRDefault="001E7519" w:rsidP="001118C2">
      <w:pPr>
        <w:tabs>
          <w:tab w:val="num" w:pos="-7938"/>
          <w:tab w:val="left" w:pos="2977"/>
        </w:tabs>
        <w:ind w:left="426"/>
        <w:jc w:val="both"/>
      </w:pPr>
    </w:p>
    <w:p w:rsidR="001E7519" w:rsidRDefault="001E7519" w:rsidP="001118C2">
      <w:pPr>
        <w:tabs>
          <w:tab w:val="num" w:pos="-7938"/>
          <w:tab w:val="left" w:pos="2977"/>
        </w:tabs>
        <w:ind w:left="426"/>
        <w:jc w:val="both"/>
      </w:pPr>
    </w:p>
    <w:p w:rsidR="001118C2" w:rsidRDefault="001118C2" w:rsidP="00022D32">
      <w:pPr>
        <w:tabs>
          <w:tab w:val="num" w:pos="-7938"/>
          <w:tab w:val="left" w:pos="2977"/>
        </w:tabs>
        <w:jc w:val="both"/>
      </w:pPr>
    </w:p>
    <w:p w:rsidR="001118C2" w:rsidRDefault="002834BB" w:rsidP="00D40029">
      <w:pPr>
        <w:tabs>
          <w:tab w:val="num" w:pos="-7938"/>
          <w:tab w:val="left" w:pos="2977"/>
        </w:tabs>
        <w:ind w:left="426"/>
      </w:pPr>
      <w:r>
        <w:t>u</w:t>
      </w:r>
      <w:r w:rsidR="001118C2">
        <w:t>zavřeli smlouvu o sdružení ve společno</w:t>
      </w:r>
      <w:r w:rsidR="00022D32">
        <w:t xml:space="preserve">sti s názvem „NPÚ - ACO - ARCHAIA - ÚAPP </w:t>
      </w:r>
      <w:r w:rsidR="00D40029">
        <w:rPr>
          <w:sz w:val="22"/>
          <w:szCs w:val="22"/>
        </w:rPr>
        <w:t>–</w:t>
      </w:r>
      <w:r w:rsidR="00022D32">
        <w:t xml:space="preserve"> sdružení pro Moravia</w:t>
      </w:r>
      <w:r w:rsidR="00D40029">
        <w:t xml:space="preserve"> </w:t>
      </w:r>
      <w:r w:rsidR="00022D32">
        <w:t>-VTL plynovod -</w:t>
      </w:r>
      <w:r w:rsidR="001118C2">
        <w:t xml:space="preserve"> záchranný archeologický výzkum“, </w:t>
      </w:r>
      <w:r w:rsidR="00416D8F">
        <w:t>za účelem</w:t>
      </w:r>
    </w:p>
    <w:p w:rsidR="00D40029" w:rsidRDefault="00D40029" w:rsidP="00D40029">
      <w:pPr>
        <w:tabs>
          <w:tab w:val="num" w:pos="-7938"/>
          <w:tab w:val="left" w:pos="2977"/>
        </w:tabs>
        <w:ind w:left="426"/>
      </w:pPr>
    </w:p>
    <w:p w:rsidR="00416D8F" w:rsidRDefault="00416D8F" w:rsidP="00D40029">
      <w:pPr>
        <w:pStyle w:val="Odstavecseseznamem"/>
        <w:numPr>
          <w:ilvl w:val="0"/>
          <w:numId w:val="5"/>
        </w:numPr>
        <w:tabs>
          <w:tab w:val="num" w:pos="-7938"/>
          <w:tab w:val="left" w:pos="2977"/>
        </w:tabs>
      </w:pPr>
      <w:r w:rsidRPr="00CB0A27">
        <w:t xml:space="preserve">vypracování a předložení společné nabídky </w:t>
      </w:r>
      <w:r>
        <w:t>do zadávacího řízení</w:t>
      </w:r>
      <w:r w:rsidRPr="00CB0A27">
        <w:t xml:space="preserve"> </w:t>
      </w:r>
      <w:r>
        <w:t>v</w:t>
      </w:r>
      <w:r w:rsidRPr="00CB0A27">
        <w:t>eřejn</w:t>
      </w:r>
      <w:r>
        <w:t>é</w:t>
      </w:r>
      <w:r w:rsidRPr="00CB0A27">
        <w:t xml:space="preserve"> zakázk</w:t>
      </w:r>
      <w:r>
        <w:t>y</w:t>
      </w:r>
    </w:p>
    <w:p w:rsidR="00416D8F" w:rsidRDefault="00416D8F" w:rsidP="00D40029">
      <w:pPr>
        <w:pStyle w:val="Odstavecseseznamem"/>
        <w:numPr>
          <w:ilvl w:val="0"/>
          <w:numId w:val="5"/>
        </w:numPr>
        <w:tabs>
          <w:tab w:val="num" w:pos="-7938"/>
          <w:tab w:val="left" w:pos="2977"/>
        </w:tabs>
      </w:pPr>
      <w:r w:rsidRPr="00CB0A27">
        <w:t xml:space="preserve">v případě úspěchu </w:t>
      </w:r>
      <w:r>
        <w:t xml:space="preserve">v zadávacím řízení Veřejné zakázky </w:t>
      </w:r>
      <w:r w:rsidRPr="00CB0A27">
        <w:t xml:space="preserve">realizace </w:t>
      </w:r>
      <w:r>
        <w:t>předmětné VZ</w:t>
      </w:r>
    </w:p>
    <w:p w:rsidR="00416D8F" w:rsidRDefault="00416D8F" w:rsidP="00416D8F">
      <w:pPr>
        <w:tabs>
          <w:tab w:val="num" w:pos="-7938"/>
          <w:tab w:val="left" w:pos="2977"/>
        </w:tabs>
        <w:jc w:val="both"/>
      </w:pPr>
    </w:p>
    <w:p w:rsidR="002D5A80" w:rsidRDefault="002D5A80" w:rsidP="00416D8F">
      <w:pPr>
        <w:tabs>
          <w:tab w:val="num" w:pos="-7938"/>
          <w:tab w:val="left" w:pos="2977"/>
        </w:tabs>
        <w:jc w:val="both"/>
      </w:pPr>
    </w:p>
    <w:p w:rsidR="00416D8F" w:rsidRDefault="00416D8F" w:rsidP="00416D8F">
      <w:pPr>
        <w:tabs>
          <w:tab w:val="num" w:pos="-7938"/>
          <w:tab w:val="left" w:pos="2977"/>
        </w:tabs>
        <w:jc w:val="both"/>
      </w:pPr>
      <w:r>
        <w:lastRenderedPageBreak/>
        <w:t>Předmětem těchto Sta</w:t>
      </w:r>
      <w:r w:rsidR="00225C92">
        <w:t>nov je</w:t>
      </w:r>
      <w:r>
        <w:t xml:space="preserve"> </w:t>
      </w:r>
      <w:r w:rsidR="008D0E98">
        <w:t xml:space="preserve">úprava </w:t>
      </w:r>
      <w:r>
        <w:t>vztahů</w:t>
      </w:r>
      <w:r w:rsidR="00225C92">
        <w:t xml:space="preserve"> mezi</w:t>
      </w:r>
      <w:r>
        <w:t xml:space="preserve"> spo</w:t>
      </w:r>
      <w:r w:rsidR="00225C92">
        <w:t>lečníky</w:t>
      </w:r>
      <w:r>
        <w:t>,</w:t>
      </w:r>
      <w:r w:rsidR="0020233B">
        <w:t xml:space="preserve"> zejména</w:t>
      </w:r>
      <w:r>
        <w:t xml:space="preserve"> ve smyslu ustanovení </w:t>
      </w:r>
      <w:r w:rsidR="00225C92">
        <w:t xml:space="preserve">Čl. IV bod 9 a </w:t>
      </w:r>
      <w:r>
        <w:t>Čl. VII Smlouvy o sdružení.</w:t>
      </w:r>
    </w:p>
    <w:p w:rsidR="00416D8F" w:rsidRDefault="00416D8F" w:rsidP="00416D8F">
      <w:pPr>
        <w:tabs>
          <w:tab w:val="num" w:pos="-7938"/>
          <w:tab w:val="left" w:pos="2977"/>
        </w:tabs>
        <w:jc w:val="both"/>
      </w:pPr>
    </w:p>
    <w:p w:rsidR="0081179B" w:rsidRDefault="003A3452" w:rsidP="00770820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 xml:space="preserve">Společnost nemá </w:t>
      </w:r>
      <w:r w:rsidR="00521E6D">
        <w:t xml:space="preserve">žádný hmotný </w:t>
      </w:r>
      <w:r w:rsidR="009F3CF5">
        <w:t xml:space="preserve">ani nehmotný </w:t>
      </w:r>
      <w:r w:rsidR="00521E6D">
        <w:t>majetek</w:t>
      </w:r>
      <w:r>
        <w:t>.</w:t>
      </w:r>
      <w:r w:rsidR="00136439">
        <w:t xml:space="preserve"> Společníci nevkládají do společnosti žádný majetek, ani finanční prostředky.</w:t>
      </w:r>
      <w:r w:rsidR="00521E6D">
        <w:t xml:space="preserve"> Společnost nemá vlastní bankovní účet, ani pokladnu.</w:t>
      </w:r>
    </w:p>
    <w:p w:rsidR="00136439" w:rsidRDefault="00136439" w:rsidP="00416D8F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>Společníci účtují o nákladech a výnosech vzniklých společnou činností, jež je předmětem činnosti sdružení, samostatně. Společníci jsou pov</w:t>
      </w:r>
      <w:r w:rsidR="003E2642">
        <w:t>inni ve svém účetnictví vést evidenci</w:t>
      </w:r>
      <w:r>
        <w:t xml:space="preserve"> odděleně (např. formou čísla zakázky, nebo jakýmkoli jiným identifikátorem)</w:t>
      </w:r>
      <w:r w:rsidR="004223CA">
        <w:t>.</w:t>
      </w:r>
    </w:p>
    <w:p w:rsidR="004D7475" w:rsidRDefault="004D7475" w:rsidP="00416D8F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>Ve vztahu k DPH působí každý společník samostatně v souladu s obecnými principy DPH. Každý ze společníků musí fakturovat zvlášť a samostatně si plnit povinnosti vůči finanční správě.</w:t>
      </w:r>
    </w:p>
    <w:p w:rsidR="007B078F" w:rsidRDefault="0069253C" w:rsidP="007C6087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 xml:space="preserve">Na </w:t>
      </w:r>
      <w:r w:rsidR="00CF2A3F">
        <w:t xml:space="preserve">realizaci </w:t>
      </w:r>
      <w:r w:rsidR="00020260">
        <w:t>veřejné zakázky „Provedení záchranného archeologického</w:t>
      </w:r>
      <w:r>
        <w:t xml:space="preserve"> výzkum</w:t>
      </w:r>
      <w:r w:rsidR="00020260">
        <w:t>u</w:t>
      </w:r>
      <w:r>
        <w:t xml:space="preserve">“ </w:t>
      </w:r>
      <w:r w:rsidR="007B078F">
        <w:t>se budou společníci podílet následovně:</w:t>
      </w:r>
    </w:p>
    <w:p w:rsidR="007C1A5F" w:rsidRPr="007C6087" w:rsidRDefault="007C1A5F" w:rsidP="007C6087">
      <w:pPr>
        <w:pStyle w:val="Odstavecseseznamem"/>
        <w:shd w:val="clear" w:color="auto" w:fill="FDFDFD"/>
        <w:jc w:val="both"/>
        <w:rPr>
          <w:rFonts w:eastAsia="Times New Roman"/>
          <w:color w:val="000000"/>
        </w:rPr>
      </w:pPr>
    </w:p>
    <w:p w:rsidR="007C1A5F" w:rsidRPr="005330E1" w:rsidRDefault="007C1A5F" w:rsidP="007C6087">
      <w:pPr>
        <w:pStyle w:val="Odstavecseseznamem"/>
        <w:numPr>
          <w:ilvl w:val="0"/>
          <w:numId w:val="4"/>
        </w:numPr>
        <w:shd w:val="clear" w:color="auto" w:fill="FDFDFD"/>
        <w:jc w:val="both"/>
        <w:rPr>
          <w:rFonts w:eastAsia="Times New Roman"/>
        </w:rPr>
      </w:pPr>
      <w:r w:rsidRPr="005330E1">
        <w:rPr>
          <w:rFonts w:eastAsia="Times New Roman"/>
        </w:rPr>
        <w:t xml:space="preserve">ÚAPP Brno: </w:t>
      </w:r>
      <w:r w:rsidR="00D40029">
        <w:rPr>
          <w:rFonts w:eastAsia="Times New Roman"/>
        </w:rPr>
        <w:t>ZAV lokalit</w:t>
      </w:r>
      <w:r w:rsidRPr="005330E1">
        <w:rPr>
          <w:rFonts w:eastAsia="Times New Roman"/>
        </w:rPr>
        <w:t>: 02/06 - 02/12; 02/16; 02/18 - 02/21; 03/04; 03/09; 03/14; 03/16 a 03/18</w:t>
      </w:r>
      <w:r w:rsidR="0009781C">
        <w:rPr>
          <w:rFonts w:eastAsia="Times New Roman"/>
          <w:color w:val="FF0000"/>
        </w:rPr>
        <w:t xml:space="preserve"> </w:t>
      </w:r>
    </w:p>
    <w:p w:rsidR="007C1A5F" w:rsidRPr="005330E1" w:rsidRDefault="007C1A5F" w:rsidP="007C6087">
      <w:pPr>
        <w:pStyle w:val="Odstavecseseznamem"/>
        <w:numPr>
          <w:ilvl w:val="0"/>
          <w:numId w:val="4"/>
        </w:numPr>
        <w:shd w:val="clear" w:color="auto" w:fill="FDFDFD"/>
        <w:jc w:val="both"/>
        <w:rPr>
          <w:rFonts w:eastAsia="Times New Roman"/>
        </w:rPr>
      </w:pPr>
      <w:proofErr w:type="spellStart"/>
      <w:r w:rsidRPr="005330E1">
        <w:rPr>
          <w:rFonts w:eastAsia="Times New Roman"/>
        </w:rPr>
        <w:t>Archaia</w:t>
      </w:r>
      <w:proofErr w:type="spellEnd"/>
      <w:r w:rsidRPr="005330E1">
        <w:rPr>
          <w:rFonts w:eastAsia="Times New Roman"/>
        </w:rPr>
        <w:t xml:space="preserve"> Brno: </w:t>
      </w:r>
      <w:r w:rsidR="00D40029">
        <w:rPr>
          <w:rFonts w:eastAsia="Times New Roman"/>
        </w:rPr>
        <w:t xml:space="preserve">ZAV </w:t>
      </w:r>
      <w:r w:rsidRPr="005330E1">
        <w:rPr>
          <w:rFonts w:eastAsia="Times New Roman"/>
        </w:rPr>
        <w:t>lokalit: 01/01 - 01/06; 01/09; 01/10; 01/13; 01/14; 02/01; 02/03 - 02/05</w:t>
      </w:r>
      <w:r w:rsidR="0009781C">
        <w:rPr>
          <w:rFonts w:eastAsia="Times New Roman"/>
        </w:rPr>
        <w:t xml:space="preserve"> </w:t>
      </w:r>
    </w:p>
    <w:p w:rsidR="007C1A5F" w:rsidRPr="005330E1" w:rsidRDefault="007C1A5F" w:rsidP="007C6087">
      <w:pPr>
        <w:pStyle w:val="Odstavecseseznamem"/>
        <w:numPr>
          <w:ilvl w:val="0"/>
          <w:numId w:val="4"/>
        </w:numPr>
        <w:shd w:val="clear" w:color="auto" w:fill="FDFDFD"/>
        <w:jc w:val="both"/>
        <w:rPr>
          <w:rFonts w:eastAsia="Times New Roman"/>
        </w:rPr>
      </w:pPr>
      <w:r w:rsidRPr="005330E1">
        <w:rPr>
          <w:rFonts w:eastAsia="Times New Roman"/>
        </w:rPr>
        <w:t xml:space="preserve">Archeologické centrum Olomouc: </w:t>
      </w:r>
      <w:r w:rsidR="00D40029">
        <w:rPr>
          <w:rFonts w:eastAsia="Times New Roman"/>
        </w:rPr>
        <w:t xml:space="preserve">ZAV </w:t>
      </w:r>
      <w:r w:rsidRPr="005330E1">
        <w:rPr>
          <w:rFonts w:eastAsia="Times New Roman"/>
        </w:rPr>
        <w:t>lokalit 04/02 - 04/04; 05/04 - 05/06; 06/01; 06/05; 06/08</w:t>
      </w:r>
      <w:r w:rsidR="0009781C">
        <w:rPr>
          <w:rFonts w:eastAsia="Times New Roman"/>
        </w:rPr>
        <w:t xml:space="preserve"> </w:t>
      </w:r>
    </w:p>
    <w:p w:rsidR="0009781C" w:rsidRDefault="007C1A5F" w:rsidP="00BA1CA9">
      <w:pPr>
        <w:pStyle w:val="Odstavecseseznamem"/>
        <w:numPr>
          <w:ilvl w:val="0"/>
          <w:numId w:val="4"/>
        </w:numPr>
        <w:shd w:val="clear" w:color="auto" w:fill="FDFDFD"/>
        <w:jc w:val="both"/>
        <w:rPr>
          <w:rFonts w:eastAsia="Times New Roman"/>
        </w:rPr>
      </w:pPr>
      <w:r w:rsidRPr="005330E1">
        <w:rPr>
          <w:rFonts w:eastAsia="Times New Roman"/>
        </w:rPr>
        <w:t xml:space="preserve">NPÚ Ostrava: podíl na realizaci </w:t>
      </w:r>
      <w:r w:rsidR="00D40029">
        <w:rPr>
          <w:rFonts w:eastAsia="Times New Roman"/>
        </w:rPr>
        <w:t xml:space="preserve">ZAV </w:t>
      </w:r>
      <w:r w:rsidRPr="005330E1">
        <w:rPr>
          <w:rFonts w:eastAsia="Times New Roman"/>
        </w:rPr>
        <w:t>vybraných lokalit</w:t>
      </w:r>
      <w:r w:rsidR="00D40029">
        <w:rPr>
          <w:rFonts w:eastAsia="Times New Roman"/>
        </w:rPr>
        <w:t xml:space="preserve"> v celé trase</w:t>
      </w:r>
      <w:r w:rsidRPr="005330E1">
        <w:rPr>
          <w:rFonts w:eastAsia="Times New Roman"/>
        </w:rPr>
        <w:t xml:space="preserve"> dle aktuálních kapacitních možností a na základě dílčích </w:t>
      </w:r>
      <w:r w:rsidR="007C6087" w:rsidRPr="005330E1">
        <w:rPr>
          <w:rFonts w:eastAsia="Times New Roman"/>
        </w:rPr>
        <w:t>dohod</w:t>
      </w:r>
      <w:r w:rsidRPr="005330E1">
        <w:rPr>
          <w:rFonts w:eastAsia="Times New Roman"/>
        </w:rPr>
        <w:t xml:space="preserve"> s</w:t>
      </w:r>
      <w:r w:rsidR="007C6087" w:rsidRPr="005330E1">
        <w:rPr>
          <w:rFonts w:eastAsia="Times New Roman"/>
        </w:rPr>
        <w:t> </w:t>
      </w:r>
      <w:r w:rsidRPr="005330E1">
        <w:rPr>
          <w:rFonts w:eastAsia="Times New Roman"/>
        </w:rPr>
        <w:t>ostat</w:t>
      </w:r>
      <w:r w:rsidR="007C6087" w:rsidRPr="005330E1">
        <w:rPr>
          <w:rFonts w:eastAsia="Times New Roman"/>
        </w:rPr>
        <w:t>ními účastníky.</w:t>
      </w:r>
      <w:r w:rsidRPr="005330E1">
        <w:rPr>
          <w:rFonts w:eastAsia="Times New Roman"/>
        </w:rPr>
        <w:t xml:space="preserve"> </w:t>
      </w:r>
    </w:p>
    <w:p w:rsidR="00BA1CA9" w:rsidRPr="00BA1CA9" w:rsidRDefault="00BA1CA9" w:rsidP="00BA1CA9">
      <w:pPr>
        <w:shd w:val="clear" w:color="auto" w:fill="FDFDFD"/>
        <w:jc w:val="both"/>
        <w:rPr>
          <w:rFonts w:eastAsia="Times New Roman"/>
        </w:rPr>
      </w:pPr>
    </w:p>
    <w:p w:rsidR="007C1A5F" w:rsidRPr="005330E1" w:rsidRDefault="007C6087" w:rsidP="007C6087">
      <w:pPr>
        <w:pStyle w:val="Odstavecseseznamem"/>
        <w:shd w:val="clear" w:color="auto" w:fill="FDFDFD"/>
        <w:jc w:val="both"/>
        <w:rPr>
          <w:rFonts w:eastAsia="Times New Roman"/>
        </w:rPr>
      </w:pPr>
      <w:r w:rsidRPr="005330E1">
        <w:rPr>
          <w:rFonts w:eastAsia="Times New Roman"/>
        </w:rPr>
        <w:t>R</w:t>
      </w:r>
      <w:r w:rsidR="007C1A5F" w:rsidRPr="005330E1">
        <w:rPr>
          <w:rFonts w:eastAsia="Times New Roman"/>
        </w:rPr>
        <w:t xml:space="preserve">ozložení prací se může měnit podle okolností, </w:t>
      </w:r>
      <w:r w:rsidRPr="005330E1">
        <w:rPr>
          <w:rFonts w:eastAsia="Times New Roman"/>
        </w:rPr>
        <w:t xml:space="preserve">v případě nerovnoměrné intenzity výskytu </w:t>
      </w:r>
      <w:r w:rsidR="007C1A5F" w:rsidRPr="005330E1">
        <w:rPr>
          <w:rFonts w:eastAsia="Times New Roman"/>
        </w:rPr>
        <w:t xml:space="preserve">archeologických situací </w:t>
      </w:r>
      <w:r w:rsidRPr="005330E1">
        <w:rPr>
          <w:rFonts w:eastAsia="Times New Roman"/>
        </w:rPr>
        <w:t>v jednotlivých lokalitách (úsecích) se předpokládá vzájemná výpomoc jednotlivých společníků</w:t>
      </w:r>
      <w:r w:rsidR="00BA1CA9">
        <w:rPr>
          <w:rFonts w:eastAsia="Times New Roman"/>
        </w:rPr>
        <w:t xml:space="preserve"> podle jejich předchozí dohody</w:t>
      </w:r>
      <w:r w:rsidRPr="005330E1">
        <w:rPr>
          <w:rFonts w:eastAsia="Times New Roman"/>
        </w:rPr>
        <w:t xml:space="preserve"> s tím, že koordinaci prací zajišťuje NPÚ.</w:t>
      </w:r>
    </w:p>
    <w:p w:rsidR="00770820" w:rsidRDefault="00555C31" w:rsidP="00CE2A37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>Náklady související s realizací VZ a plněním společníků</w:t>
      </w:r>
      <w:r w:rsidR="00CF2B1F">
        <w:t>,</w:t>
      </w:r>
      <w:r>
        <w:t xml:space="preserve"> v rozsahu dle předchozího bodu</w:t>
      </w:r>
      <w:r w:rsidR="00CF2B1F">
        <w:t>,</w:t>
      </w:r>
      <w:r>
        <w:t xml:space="preserve"> jsou nákladem </w:t>
      </w:r>
      <w:r w:rsidR="00BA1CA9">
        <w:t xml:space="preserve">každého jednotlivého společníka. </w:t>
      </w:r>
    </w:p>
    <w:p w:rsidR="00A72889" w:rsidRDefault="008D0E98" w:rsidP="008D0E98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 xml:space="preserve">Ve vztahu ke </w:t>
      </w:r>
      <w:r w:rsidR="00A26003">
        <w:t>svým subdodavatelům, vystupuje každý společník samostatně. Žádný ze spol</w:t>
      </w:r>
      <w:r w:rsidR="005330E1">
        <w:t>ečníků neručí za závazky jiného</w:t>
      </w:r>
      <w:r w:rsidR="00A26003">
        <w:t xml:space="preserve"> společníka ve vztahu k jeho subdodavatelům</w:t>
      </w:r>
      <w:r>
        <w:t>.</w:t>
      </w:r>
    </w:p>
    <w:p w:rsidR="00BF11D3" w:rsidRDefault="00A72889" w:rsidP="00BA1CA9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 xml:space="preserve">Pokud zadavatel </w:t>
      </w:r>
      <w:r w:rsidR="001B0235">
        <w:t>VZ (NET4GAS, s.r.o.</w:t>
      </w:r>
      <w:r w:rsidR="008D0E98">
        <w:t xml:space="preserve">) </w:t>
      </w:r>
      <w:r>
        <w:t xml:space="preserve">umožní samostatnou fakturaci společníka, za jeho díl činnosti na </w:t>
      </w:r>
      <w:r w:rsidR="00521E6D">
        <w:t xml:space="preserve">předmětu </w:t>
      </w:r>
      <w:r>
        <w:t>plnění VZ, pak budou společníci fakturovat vůči zadavateli samostatně</w:t>
      </w:r>
      <w:r w:rsidR="00BA1CA9">
        <w:t xml:space="preserve">. </w:t>
      </w:r>
      <w:r>
        <w:t>Pokud bude zadavatel požadovat společnou fakturaci, pak bude vůči zadavateli fakturovat NPÚ a podíl</w:t>
      </w:r>
      <w:r w:rsidR="001B0235">
        <w:t>y</w:t>
      </w:r>
      <w:r>
        <w:t xml:space="preserve"> přísluše</w:t>
      </w:r>
      <w:r w:rsidR="001B0235">
        <w:t>jící ostatním společníkům budou</w:t>
      </w:r>
      <w:r>
        <w:t xml:space="preserve"> ze strany NPÚ vyúčtován</w:t>
      </w:r>
      <w:r w:rsidR="001B0235">
        <w:t>y</w:t>
      </w:r>
      <w:r>
        <w:t xml:space="preserve"> na základě faktur vystavených</w:t>
      </w:r>
      <w:r w:rsidR="00A26003">
        <w:t xml:space="preserve"> </w:t>
      </w:r>
      <w:r w:rsidR="001B0235">
        <w:t>jednotlivými společníky</w:t>
      </w:r>
      <w:r>
        <w:t xml:space="preserve"> Národnímu památkovému ústavu. Tyto faktury mohou být vystaveny pouze v rozsahu, který byl</w:t>
      </w:r>
      <w:r w:rsidR="009F3CF5">
        <w:t>/bude</w:t>
      </w:r>
      <w:r>
        <w:t xml:space="preserve"> ze strany NP</w:t>
      </w:r>
      <w:r w:rsidR="009F3CF5">
        <w:t>Ú fakturován zadavateli</w:t>
      </w:r>
      <w:r w:rsidR="0009781C" w:rsidRPr="00BA1CA9">
        <w:rPr>
          <w:color w:val="FF0000"/>
        </w:rPr>
        <w:t xml:space="preserve"> </w:t>
      </w:r>
      <w:r w:rsidR="0009781C" w:rsidRPr="00BA1CA9">
        <w:t>(spla</w:t>
      </w:r>
      <w:r w:rsidR="00BA21D6" w:rsidRPr="00BA1CA9">
        <w:t>tnost 35 dnů</w:t>
      </w:r>
      <w:r w:rsidR="0009781C" w:rsidRPr="00BA1CA9">
        <w:t>)</w:t>
      </w:r>
      <w:r w:rsidR="00C237FB" w:rsidRPr="00BA1CA9">
        <w:t>,</w:t>
      </w:r>
      <w:r w:rsidR="00C237FB">
        <w:t xml:space="preserve"> o čemž bude NPÚ společníky neprodleně informovat. </w:t>
      </w:r>
      <w:r w:rsidR="00DB7E51">
        <w:t>Veškeré faktury musí obsahovat zákonem dané náležitosti.</w:t>
      </w:r>
      <w:r w:rsidR="00C237FB">
        <w:t xml:space="preserve"> </w:t>
      </w:r>
    </w:p>
    <w:p w:rsidR="001E07F3" w:rsidRDefault="001E07F3" w:rsidP="00BF11D3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>Podklady k fakturacím vůči zadavateli budou společníci zasílat</w:t>
      </w:r>
      <w:r w:rsidR="00BA1CA9">
        <w:t xml:space="preserve"> NPÚ</w:t>
      </w:r>
      <w:r>
        <w:t xml:space="preserve"> v měsíčních intervale</w:t>
      </w:r>
      <w:r w:rsidR="00BA21D6">
        <w:t xml:space="preserve">ch, vždy nejpozději </w:t>
      </w:r>
      <w:r w:rsidR="00BA21D6" w:rsidRPr="00BA1CA9">
        <w:t>do 5.</w:t>
      </w:r>
      <w:r w:rsidRPr="00BA1CA9">
        <w:t xml:space="preserve"> dne</w:t>
      </w:r>
      <w:r>
        <w:t xml:space="preserve"> následujícího měsíce po měsíci, ve kterém proběhlo plnění.</w:t>
      </w:r>
    </w:p>
    <w:p w:rsidR="003F0DD8" w:rsidRDefault="003F0DD8" w:rsidP="00BF11D3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 xml:space="preserve">Ve fakturacích mezi NPÚ a společníky, za práci vykonanou v přímém plnění zakázky, budou vždy použity stejné jednotkové/hodinové sazby jako mezi NET4GAS a NPÚ.  </w:t>
      </w:r>
    </w:p>
    <w:p w:rsidR="00BF11D3" w:rsidRDefault="00BF11D3" w:rsidP="00BF11D3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lastRenderedPageBreak/>
        <w:t>Fakturace kterého</w:t>
      </w:r>
      <w:r w:rsidR="001B0235">
        <w:t>koli společníka vůči</w:t>
      </w:r>
      <w:r w:rsidR="00431754">
        <w:t xml:space="preserve"> zadavateli, případně vůči NPÚ,</w:t>
      </w:r>
      <w:r w:rsidR="001B0235">
        <w:t xml:space="preserve"> je </w:t>
      </w:r>
      <w:r>
        <w:t xml:space="preserve">vždy podmíněna písemným odsouhlasením provedených prací ze strany vedoucího </w:t>
      </w:r>
      <w:r w:rsidR="00D40029">
        <w:t>archeologického týmu za NPÚ</w:t>
      </w:r>
      <w:r>
        <w:t>.</w:t>
      </w:r>
    </w:p>
    <w:p w:rsidR="001E07F3" w:rsidRPr="00BA1CA9" w:rsidRDefault="001E07F3" w:rsidP="00BF11D3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>Za správu společnosti, tj. administrativní činnosti ve prospěch všech společníků, bude</w:t>
      </w:r>
      <w:r w:rsidR="004850BD">
        <w:t xml:space="preserve"> po dobu trvání společnosti,</w:t>
      </w:r>
      <w:r>
        <w:t xml:space="preserve"> NPÚ fakturovat jednotlivým společníkům paušální měsíční poplatek, který bude vypočten jako </w:t>
      </w:r>
      <w:r w:rsidRPr="007C6087">
        <w:t xml:space="preserve">součin </w:t>
      </w:r>
      <w:r w:rsidR="004850BD" w:rsidRPr="007C6087">
        <w:t xml:space="preserve">5 Kč </w:t>
      </w:r>
      <w:r w:rsidR="004850BD">
        <w:t xml:space="preserve">a měsíčního </w:t>
      </w:r>
      <w:r>
        <w:t>počtu hodin společníkem fakturovaný</w:t>
      </w:r>
      <w:r w:rsidR="004850BD">
        <w:t xml:space="preserve">ch za práci na ZAV. K vypočtenému paušálu bude připočtena DPH v zákonné výši. Stejný výpočet, tj. </w:t>
      </w:r>
      <w:r w:rsidR="004850BD" w:rsidRPr="005330E1">
        <w:t xml:space="preserve">5 Kč </w:t>
      </w:r>
      <w:r w:rsidR="004850BD">
        <w:t xml:space="preserve">krát počet hodin bude uplatněn i v případě, že společníkům nebude fakturovat NPÚ, ale jiný společník za činnosti provedené ve prospěch všech společníků. </w:t>
      </w:r>
      <w:r w:rsidR="004850BD" w:rsidRPr="00BA1CA9">
        <w:t>Tato činnost jiného společníka musí být předem jasně definována a písemně potvrzena všemi společníky, co do rozsahu činnosti, tak do doby jejího trvání.</w:t>
      </w:r>
      <w:r w:rsidRPr="00BA1CA9">
        <w:t xml:space="preserve"> </w:t>
      </w:r>
      <w:r w:rsidR="00A9772F" w:rsidRPr="00BA1CA9">
        <w:t xml:space="preserve"> </w:t>
      </w:r>
    </w:p>
    <w:p w:rsidR="002834BB" w:rsidRDefault="002834BB" w:rsidP="00BF11D3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>Ustanovení v těchto stanovách neuvedené se řídí Smlouvou o sdružení ve společnosti a obecně závaznými právními předpisy.</w:t>
      </w:r>
    </w:p>
    <w:p w:rsidR="001118C2" w:rsidRDefault="001118C2" w:rsidP="001118C2">
      <w:pPr>
        <w:tabs>
          <w:tab w:val="num" w:pos="-7938"/>
          <w:tab w:val="left" w:pos="2977"/>
        </w:tabs>
        <w:ind w:left="426"/>
        <w:jc w:val="both"/>
      </w:pPr>
    </w:p>
    <w:p w:rsidR="00022D32" w:rsidRDefault="00022D32" w:rsidP="001118C2">
      <w:pPr>
        <w:tabs>
          <w:tab w:val="num" w:pos="-7938"/>
          <w:tab w:val="left" w:pos="2977"/>
        </w:tabs>
        <w:ind w:left="426"/>
        <w:jc w:val="both"/>
      </w:pPr>
    </w:p>
    <w:p w:rsidR="00022D32" w:rsidRPr="00D11F73" w:rsidRDefault="00022D32" w:rsidP="001118C2">
      <w:pPr>
        <w:tabs>
          <w:tab w:val="num" w:pos="-7938"/>
          <w:tab w:val="left" w:pos="2977"/>
        </w:tabs>
        <w:ind w:left="426"/>
        <w:jc w:val="both"/>
      </w:pPr>
    </w:p>
    <w:p w:rsidR="00FC3604" w:rsidRDefault="00FC3604"/>
    <w:p w:rsidR="00FC3604" w:rsidRDefault="004A139F">
      <w:r>
        <w:t>V Ostravě, dne ………………….</w:t>
      </w:r>
    </w:p>
    <w:p w:rsidR="00022D32" w:rsidRDefault="00022D32"/>
    <w:tbl>
      <w:tblPr>
        <w:tblW w:w="9498" w:type="dxa"/>
        <w:tblInd w:w="108" w:type="dxa"/>
        <w:tblLook w:val="04A0"/>
      </w:tblPr>
      <w:tblGrid>
        <w:gridCol w:w="4820"/>
        <w:gridCol w:w="4678"/>
      </w:tblGrid>
      <w:tr w:rsidR="00022D32" w:rsidRPr="00CB0A27" w:rsidTr="00A16C9F">
        <w:trPr>
          <w:trHeight w:val="2068"/>
        </w:trPr>
        <w:tc>
          <w:tcPr>
            <w:tcW w:w="4820" w:type="dxa"/>
            <w:shd w:val="clear" w:color="auto" w:fill="auto"/>
          </w:tcPr>
          <w:p w:rsidR="00022D32" w:rsidRPr="00CB0A27" w:rsidRDefault="00022D32" w:rsidP="00A16C9F">
            <w:pPr>
              <w:keepNext/>
              <w:tabs>
                <w:tab w:val="left" w:pos="0"/>
              </w:tabs>
              <w:jc w:val="both"/>
            </w:pPr>
          </w:p>
          <w:p w:rsidR="00022D32" w:rsidRDefault="00022D32" w:rsidP="00A16C9F">
            <w:pPr>
              <w:keepNext/>
              <w:tabs>
                <w:tab w:val="left" w:pos="0"/>
              </w:tabs>
              <w:jc w:val="both"/>
            </w:pPr>
          </w:p>
          <w:p w:rsidR="00022D32" w:rsidRDefault="00022D32" w:rsidP="00A16C9F">
            <w:pPr>
              <w:keepNext/>
              <w:tabs>
                <w:tab w:val="left" w:pos="0"/>
              </w:tabs>
              <w:jc w:val="both"/>
            </w:pPr>
          </w:p>
          <w:p w:rsidR="00022D32" w:rsidRPr="00CB0A27" w:rsidRDefault="00022D32" w:rsidP="00A16C9F">
            <w:pPr>
              <w:keepNext/>
              <w:tabs>
                <w:tab w:val="left" w:pos="0"/>
              </w:tabs>
              <w:jc w:val="both"/>
            </w:pPr>
          </w:p>
          <w:p w:rsidR="00022D32" w:rsidRPr="00CB0A27" w:rsidRDefault="00022D32" w:rsidP="00A16C9F">
            <w:pPr>
              <w:keepNext/>
              <w:tabs>
                <w:tab w:val="left" w:pos="0"/>
              </w:tabs>
              <w:jc w:val="both"/>
            </w:pPr>
            <w:r w:rsidRPr="00CB0A27">
              <w:t>…………………………….</w:t>
            </w:r>
          </w:p>
          <w:p w:rsidR="00022D32" w:rsidRPr="00CB0A27" w:rsidRDefault="00022D32" w:rsidP="00A16C9F">
            <w:pPr>
              <w:keepNext/>
              <w:tabs>
                <w:tab w:val="left" w:pos="0"/>
              </w:tabs>
              <w:jc w:val="both"/>
            </w:pPr>
            <w:r>
              <w:t>Mgr. Michal Zezula, Ph.D.</w:t>
            </w:r>
          </w:p>
          <w:p w:rsidR="00022D32" w:rsidRPr="00CB0A27" w:rsidRDefault="00022D32" w:rsidP="00A16C9F">
            <w:pPr>
              <w:keepNext/>
              <w:tabs>
                <w:tab w:val="left" w:pos="0"/>
              </w:tabs>
              <w:jc w:val="both"/>
            </w:pPr>
            <w:r>
              <w:t>ředitel NPÚ, ÚOP v Ostravě</w:t>
            </w:r>
          </w:p>
          <w:p w:rsidR="00022D32" w:rsidRDefault="00022D32" w:rsidP="00A16C9F">
            <w:pPr>
              <w:keepNext/>
              <w:tabs>
                <w:tab w:val="left" w:pos="0"/>
              </w:tabs>
              <w:jc w:val="both"/>
              <w:rPr>
                <w:b/>
              </w:rPr>
            </w:pPr>
          </w:p>
          <w:p w:rsidR="00022D32" w:rsidRDefault="00022D32" w:rsidP="00A16C9F">
            <w:pPr>
              <w:keepNext/>
              <w:tabs>
                <w:tab w:val="left" w:pos="0"/>
              </w:tabs>
              <w:jc w:val="both"/>
              <w:rPr>
                <w:b/>
              </w:rPr>
            </w:pPr>
          </w:p>
          <w:p w:rsidR="00022D32" w:rsidRDefault="00022D32" w:rsidP="00A16C9F">
            <w:pPr>
              <w:keepNext/>
              <w:tabs>
                <w:tab w:val="left" w:pos="0"/>
              </w:tabs>
              <w:jc w:val="both"/>
              <w:rPr>
                <w:b/>
              </w:rPr>
            </w:pPr>
          </w:p>
          <w:p w:rsidR="00022D32" w:rsidRDefault="00022D32" w:rsidP="00A16C9F">
            <w:pPr>
              <w:keepNext/>
              <w:tabs>
                <w:tab w:val="left" w:pos="0"/>
              </w:tabs>
              <w:jc w:val="both"/>
              <w:rPr>
                <w:b/>
              </w:rPr>
            </w:pPr>
          </w:p>
          <w:p w:rsidR="00022D32" w:rsidRDefault="00022D32" w:rsidP="00A16C9F">
            <w:pPr>
              <w:keepNext/>
              <w:tabs>
                <w:tab w:val="left" w:pos="0"/>
              </w:tabs>
              <w:jc w:val="both"/>
              <w:rPr>
                <w:b/>
              </w:rPr>
            </w:pPr>
          </w:p>
          <w:p w:rsidR="00022D32" w:rsidRPr="00CB0A27" w:rsidRDefault="00022D32" w:rsidP="00A16C9F">
            <w:pPr>
              <w:keepNext/>
              <w:tabs>
                <w:tab w:val="left" w:pos="0"/>
              </w:tabs>
              <w:jc w:val="both"/>
            </w:pPr>
            <w:r w:rsidRPr="00CB0A27">
              <w:t>…………………………….</w:t>
            </w:r>
          </w:p>
          <w:p w:rsidR="00022D32" w:rsidRDefault="00022D32" w:rsidP="00A16C9F">
            <w:pPr>
              <w:keepNext/>
              <w:tabs>
                <w:tab w:val="left" w:pos="0"/>
              </w:tabs>
              <w:rPr>
                <w:b/>
              </w:rPr>
            </w:pPr>
            <w:r>
              <w:t>Mgr. Marek Peška, Ph.D.</w:t>
            </w:r>
          </w:p>
          <w:p w:rsidR="00022D32" w:rsidRPr="00565565" w:rsidRDefault="00022D32" w:rsidP="00A16C9F">
            <w:pPr>
              <w:keepNext/>
              <w:tabs>
                <w:tab w:val="left" w:pos="0"/>
              </w:tabs>
              <w:jc w:val="both"/>
            </w:pPr>
            <w:r w:rsidRPr="00565565">
              <w:t xml:space="preserve">ředitel </w:t>
            </w:r>
            <w:proofErr w:type="spellStart"/>
            <w:r w:rsidRPr="00565565">
              <w:t>Archaia</w:t>
            </w:r>
            <w:proofErr w:type="spellEnd"/>
            <w:r w:rsidRPr="00565565">
              <w:t xml:space="preserve"> Brno</w:t>
            </w:r>
          </w:p>
          <w:p w:rsidR="00022D32" w:rsidRDefault="00022D32" w:rsidP="00A16C9F">
            <w:pPr>
              <w:keepNext/>
              <w:tabs>
                <w:tab w:val="left" w:pos="0"/>
              </w:tabs>
              <w:jc w:val="both"/>
              <w:rPr>
                <w:b/>
              </w:rPr>
            </w:pPr>
          </w:p>
          <w:p w:rsidR="00022D32" w:rsidRDefault="00022D32" w:rsidP="00A16C9F">
            <w:pPr>
              <w:keepNext/>
              <w:tabs>
                <w:tab w:val="left" w:pos="0"/>
              </w:tabs>
              <w:jc w:val="both"/>
              <w:rPr>
                <w:b/>
              </w:rPr>
            </w:pPr>
          </w:p>
          <w:p w:rsidR="00022D32" w:rsidRDefault="00022D32" w:rsidP="00A16C9F">
            <w:pPr>
              <w:keepNext/>
              <w:tabs>
                <w:tab w:val="left" w:pos="0"/>
              </w:tabs>
              <w:jc w:val="both"/>
              <w:rPr>
                <w:b/>
              </w:rPr>
            </w:pPr>
          </w:p>
          <w:p w:rsidR="00022D32" w:rsidRPr="00CB0A27" w:rsidRDefault="00022D32" w:rsidP="00A16C9F">
            <w:pPr>
              <w:keepNext/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022D32" w:rsidRPr="00CB0A27" w:rsidRDefault="00022D32" w:rsidP="00A16C9F">
            <w:pPr>
              <w:keepNext/>
              <w:tabs>
                <w:tab w:val="left" w:pos="0"/>
              </w:tabs>
              <w:jc w:val="both"/>
            </w:pPr>
          </w:p>
          <w:p w:rsidR="00022D32" w:rsidRDefault="00022D32" w:rsidP="00A16C9F">
            <w:pPr>
              <w:keepNext/>
              <w:tabs>
                <w:tab w:val="left" w:pos="0"/>
              </w:tabs>
              <w:jc w:val="both"/>
            </w:pPr>
          </w:p>
          <w:p w:rsidR="00022D32" w:rsidRDefault="00022D32" w:rsidP="00A16C9F">
            <w:pPr>
              <w:keepNext/>
              <w:tabs>
                <w:tab w:val="left" w:pos="0"/>
              </w:tabs>
              <w:jc w:val="both"/>
            </w:pPr>
          </w:p>
          <w:p w:rsidR="00022D32" w:rsidRPr="00CB0A27" w:rsidRDefault="00022D32" w:rsidP="00A16C9F">
            <w:pPr>
              <w:keepNext/>
              <w:tabs>
                <w:tab w:val="left" w:pos="0"/>
              </w:tabs>
              <w:jc w:val="both"/>
            </w:pPr>
          </w:p>
          <w:p w:rsidR="00022D32" w:rsidRPr="00CB0A27" w:rsidRDefault="00022D32" w:rsidP="00A16C9F">
            <w:pPr>
              <w:keepNext/>
              <w:tabs>
                <w:tab w:val="left" w:pos="0"/>
              </w:tabs>
              <w:jc w:val="both"/>
            </w:pPr>
            <w:r w:rsidRPr="00CB0A27">
              <w:t>…………………………….</w:t>
            </w:r>
          </w:p>
          <w:p w:rsidR="00022D32" w:rsidRDefault="00022D32" w:rsidP="00A16C9F">
            <w:pPr>
              <w:keepNext/>
              <w:tabs>
                <w:tab w:val="left" w:pos="0"/>
              </w:tabs>
            </w:pPr>
            <w:r>
              <w:t>doc. PhDr. Jaroslav Peška, Ph.D.</w:t>
            </w:r>
          </w:p>
          <w:p w:rsidR="00022D32" w:rsidRDefault="00022D32" w:rsidP="00A16C9F">
            <w:pPr>
              <w:keepNext/>
              <w:tabs>
                <w:tab w:val="left" w:pos="0"/>
              </w:tabs>
            </w:pPr>
            <w:r>
              <w:t>ředitel AC Olomouc</w:t>
            </w:r>
          </w:p>
          <w:p w:rsidR="00022D32" w:rsidRDefault="00022D32" w:rsidP="00A16C9F">
            <w:pPr>
              <w:keepNext/>
              <w:tabs>
                <w:tab w:val="left" w:pos="0"/>
              </w:tabs>
            </w:pPr>
          </w:p>
          <w:p w:rsidR="00022D32" w:rsidRDefault="00022D32" w:rsidP="00A16C9F">
            <w:pPr>
              <w:keepNext/>
              <w:tabs>
                <w:tab w:val="left" w:pos="0"/>
              </w:tabs>
            </w:pPr>
          </w:p>
          <w:p w:rsidR="00022D32" w:rsidRDefault="00022D32" w:rsidP="00A16C9F">
            <w:pPr>
              <w:keepNext/>
              <w:tabs>
                <w:tab w:val="left" w:pos="0"/>
              </w:tabs>
            </w:pPr>
          </w:p>
          <w:p w:rsidR="00022D32" w:rsidRDefault="00022D32" w:rsidP="00A16C9F">
            <w:pPr>
              <w:keepNext/>
              <w:tabs>
                <w:tab w:val="left" w:pos="0"/>
              </w:tabs>
            </w:pPr>
          </w:p>
          <w:p w:rsidR="00022D32" w:rsidRDefault="00022D32" w:rsidP="00A16C9F">
            <w:pPr>
              <w:keepNext/>
              <w:tabs>
                <w:tab w:val="left" w:pos="0"/>
              </w:tabs>
            </w:pPr>
          </w:p>
          <w:p w:rsidR="00022D32" w:rsidRPr="00CB0A27" w:rsidRDefault="00022D32" w:rsidP="00A16C9F">
            <w:pPr>
              <w:keepNext/>
              <w:tabs>
                <w:tab w:val="left" w:pos="0"/>
              </w:tabs>
              <w:jc w:val="both"/>
            </w:pPr>
            <w:r w:rsidRPr="00CB0A27">
              <w:t>…………………………….</w:t>
            </w:r>
          </w:p>
          <w:p w:rsidR="00022D32" w:rsidRDefault="00022D32" w:rsidP="00A16C9F">
            <w:pPr>
              <w:keepNext/>
              <w:tabs>
                <w:tab w:val="left" w:pos="0"/>
              </w:tabs>
            </w:pPr>
            <w:r>
              <w:t>Mgr. Andrea Matějíčková</w:t>
            </w:r>
          </w:p>
          <w:p w:rsidR="00022D32" w:rsidRPr="00CB0A27" w:rsidRDefault="00022D32" w:rsidP="00A16C9F">
            <w:pPr>
              <w:keepNext/>
              <w:tabs>
                <w:tab w:val="left" w:pos="0"/>
              </w:tabs>
            </w:pPr>
            <w:r>
              <w:t>ředitelka ÚAPP Brno</w:t>
            </w:r>
          </w:p>
        </w:tc>
      </w:tr>
    </w:tbl>
    <w:p w:rsidR="00022D32" w:rsidRDefault="00022D32"/>
    <w:p w:rsidR="00022D32" w:rsidRDefault="00022D32"/>
    <w:p w:rsidR="004A139F" w:rsidRDefault="004A139F"/>
    <w:sectPr w:rsidR="004A139F" w:rsidSect="00E30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B9A"/>
    <w:multiLevelType w:val="singleLevel"/>
    <w:tmpl w:val="E77063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1">
    <w:nsid w:val="0EEF1DDC"/>
    <w:multiLevelType w:val="hybridMultilevel"/>
    <w:tmpl w:val="36B67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54CBA"/>
    <w:multiLevelType w:val="hybridMultilevel"/>
    <w:tmpl w:val="651EBAB4"/>
    <w:lvl w:ilvl="0" w:tplc="B16E3E4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1E00861"/>
    <w:multiLevelType w:val="hybridMultilevel"/>
    <w:tmpl w:val="62443412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C635B01"/>
    <w:multiLevelType w:val="hybridMultilevel"/>
    <w:tmpl w:val="0BEA845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604"/>
    <w:rsid w:val="00020260"/>
    <w:rsid w:val="00022D32"/>
    <w:rsid w:val="00053E13"/>
    <w:rsid w:val="000627D6"/>
    <w:rsid w:val="0009781C"/>
    <w:rsid w:val="000F2679"/>
    <w:rsid w:val="001118C2"/>
    <w:rsid w:val="00113C09"/>
    <w:rsid w:val="00136439"/>
    <w:rsid w:val="00164898"/>
    <w:rsid w:val="001B0235"/>
    <w:rsid w:val="001C7A78"/>
    <w:rsid w:val="001E07F3"/>
    <w:rsid w:val="001E7519"/>
    <w:rsid w:val="0020233B"/>
    <w:rsid w:val="00225C92"/>
    <w:rsid w:val="00226414"/>
    <w:rsid w:val="002834BB"/>
    <w:rsid w:val="002D5A80"/>
    <w:rsid w:val="00363417"/>
    <w:rsid w:val="003A3452"/>
    <w:rsid w:val="003A6424"/>
    <w:rsid w:val="003D5BDF"/>
    <w:rsid w:val="003E2642"/>
    <w:rsid w:val="003F0DD8"/>
    <w:rsid w:val="00416D8F"/>
    <w:rsid w:val="004223CA"/>
    <w:rsid w:val="00431754"/>
    <w:rsid w:val="00461255"/>
    <w:rsid w:val="00461510"/>
    <w:rsid w:val="004850BD"/>
    <w:rsid w:val="004A139F"/>
    <w:rsid w:val="004D7475"/>
    <w:rsid w:val="004F2FD1"/>
    <w:rsid w:val="00521E6D"/>
    <w:rsid w:val="005330E1"/>
    <w:rsid w:val="00555C31"/>
    <w:rsid w:val="005778BE"/>
    <w:rsid w:val="0069253C"/>
    <w:rsid w:val="006B123A"/>
    <w:rsid w:val="006F1961"/>
    <w:rsid w:val="00770820"/>
    <w:rsid w:val="0079076F"/>
    <w:rsid w:val="007B078F"/>
    <w:rsid w:val="007C1A5F"/>
    <w:rsid w:val="007C6087"/>
    <w:rsid w:val="0081179B"/>
    <w:rsid w:val="00847930"/>
    <w:rsid w:val="008D0E98"/>
    <w:rsid w:val="009F3CF5"/>
    <w:rsid w:val="00A26003"/>
    <w:rsid w:val="00A72889"/>
    <w:rsid w:val="00A9772F"/>
    <w:rsid w:val="00B20BC3"/>
    <w:rsid w:val="00BA1CA9"/>
    <w:rsid w:val="00BA21D6"/>
    <w:rsid w:val="00BC6D9C"/>
    <w:rsid w:val="00BF11D3"/>
    <w:rsid w:val="00C237FB"/>
    <w:rsid w:val="00CE2A37"/>
    <w:rsid w:val="00CE5C35"/>
    <w:rsid w:val="00CF2A3F"/>
    <w:rsid w:val="00CF2B1F"/>
    <w:rsid w:val="00D309E3"/>
    <w:rsid w:val="00D40029"/>
    <w:rsid w:val="00D509B3"/>
    <w:rsid w:val="00D84F2E"/>
    <w:rsid w:val="00DB7E51"/>
    <w:rsid w:val="00E30045"/>
    <w:rsid w:val="00E61CAD"/>
    <w:rsid w:val="00F44566"/>
    <w:rsid w:val="00FC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8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D8F"/>
    <w:pPr>
      <w:ind w:left="720"/>
      <w:contextualSpacing/>
    </w:pPr>
  </w:style>
  <w:style w:type="character" w:customStyle="1" w:styleId="object">
    <w:name w:val="object"/>
    <w:basedOn w:val="Standardnpsmoodstavce"/>
    <w:rsid w:val="007C1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796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Bosák Pavel</dc:creator>
  <cp:keywords/>
  <dc:description/>
  <cp:lastModifiedBy>JP</cp:lastModifiedBy>
  <cp:revision>6</cp:revision>
  <dcterms:created xsi:type="dcterms:W3CDTF">2020-11-27T06:59:00Z</dcterms:created>
  <dcterms:modified xsi:type="dcterms:W3CDTF">2021-04-07T14:19:00Z</dcterms:modified>
</cp:coreProperties>
</file>