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81" w:rsidRDefault="001D0781" w:rsidP="0063618A">
      <w:pPr>
        <w:pStyle w:val="Nadpisobsahu"/>
        <w:jc w:val="center"/>
        <w:rPr>
          <w:rStyle w:val="Siln"/>
          <w:rFonts w:ascii="Times New Roman" w:hAnsi="Times New Roman" w:cs="Times New Roman"/>
          <w:color w:val="auto"/>
          <w:sz w:val="44"/>
          <w:szCs w:val="44"/>
        </w:rPr>
      </w:pPr>
      <w:bookmarkStart w:id="0" w:name="_Toc360914523"/>
      <w:r w:rsidRPr="001D0781">
        <w:rPr>
          <w:rStyle w:val="Siln"/>
          <w:rFonts w:ascii="Times New Roman" w:hAnsi="Times New Roman" w:cs="Times New Roman"/>
          <w:color w:val="auto"/>
          <w:sz w:val="44"/>
          <w:szCs w:val="44"/>
        </w:rPr>
        <w:t>smlouva</w:t>
      </w:r>
      <w:r w:rsidR="00204C36">
        <w:rPr>
          <w:rStyle w:val="Siln"/>
          <w:rFonts w:ascii="Times New Roman" w:hAnsi="Times New Roman" w:cs="Times New Roman"/>
          <w:color w:val="auto"/>
          <w:sz w:val="44"/>
          <w:szCs w:val="44"/>
        </w:rPr>
        <w:t xml:space="preserve"> o dílo</w:t>
      </w:r>
    </w:p>
    <w:p w:rsidR="001D0781" w:rsidRDefault="001D0781" w:rsidP="001D0781">
      <w:pPr>
        <w:pStyle w:val="Obyejn"/>
        <w:jc w:val="center"/>
      </w:pPr>
      <w:r>
        <w:t>uzavřená dle ust. § 2</w:t>
      </w:r>
      <w:r w:rsidR="00204C36">
        <w:t>586</w:t>
      </w:r>
      <w:r>
        <w:t xml:space="preserve"> a </w:t>
      </w:r>
      <w:r w:rsidRPr="00EF6A97">
        <w:t xml:space="preserve">násl. </w:t>
      </w:r>
      <w:r>
        <w:t>zákona č. 89/2012 Sb., občanský zákoník</w:t>
      </w:r>
      <w:r>
        <w:br/>
      </w:r>
    </w:p>
    <w:p w:rsidR="006255AD" w:rsidRPr="001D0781" w:rsidRDefault="001D0781" w:rsidP="00E16248">
      <w:pPr>
        <w:pStyle w:val="Nadpis1"/>
      </w:pPr>
      <w: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273E72" w:rsidRPr="00B60117" w:rsidTr="00273E72">
        <w:trPr>
          <w:trHeight w:val="454"/>
        </w:trPr>
        <w:tc>
          <w:tcPr>
            <w:tcW w:w="3397" w:type="dxa"/>
            <w:vAlign w:val="center"/>
          </w:tcPr>
          <w:p w:rsidR="00273E72" w:rsidRPr="00B60117" w:rsidRDefault="001D0781" w:rsidP="001D0781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Název</w:t>
            </w:r>
            <w:r w:rsidR="00273E72" w:rsidRPr="00B60117">
              <w:rPr>
                <w:rFonts w:cs="Times New Roman"/>
              </w:rPr>
              <w:t>:</w:t>
            </w:r>
          </w:p>
        </w:tc>
        <w:tc>
          <w:tcPr>
            <w:tcW w:w="5665" w:type="dxa"/>
            <w:vAlign w:val="center"/>
          </w:tcPr>
          <w:p w:rsidR="00521289" w:rsidRPr="00521289" w:rsidRDefault="00521289" w:rsidP="0052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Národní ústav lidové kultury,</w:t>
            </w:r>
          </w:p>
          <w:p w:rsidR="00521289" w:rsidRPr="00521289" w:rsidRDefault="00521289" w:rsidP="0052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Státní příspěvková organizace zřízená MK podle § 3 zák. 203/2006 Sb., Zřizovací listina č. j. 18724/2008 ze dne 19. 12. 2008</w:t>
            </w:r>
          </w:p>
          <w:p w:rsidR="00273E72" w:rsidRPr="00B60117" w:rsidRDefault="00273E72" w:rsidP="00521289">
            <w:pPr>
              <w:rPr>
                <w:rFonts w:cs="Times New Roman"/>
              </w:rPr>
            </w:pPr>
          </w:p>
        </w:tc>
      </w:tr>
      <w:tr w:rsidR="00273E72" w:rsidRPr="00B60117" w:rsidTr="00273E72">
        <w:trPr>
          <w:trHeight w:val="454"/>
        </w:trPr>
        <w:tc>
          <w:tcPr>
            <w:tcW w:w="3397" w:type="dxa"/>
            <w:vAlign w:val="center"/>
          </w:tcPr>
          <w:p w:rsidR="00273E72" w:rsidRPr="00B60117" w:rsidRDefault="001D0781" w:rsidP="001D0781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Sídlo</w:t>
            </w:r>
            <w:r w:rsidR="00273E72" w:rsidRPr="00B60117">
              <w:rPr>
                <w:rFonts w:cs="Times New Roman"/>
              </w:rPr>
              <w:t>:</w:t>
            </w:r>
          </w:p>
        </w:tc>
        <w:tc>
          <w:tcPr>
            <w:tcW w:w="5665" w:type="dxa"/>
            <w:vAlign w:val="center"/>
          </w:tcPr>
          <w:p w:rsidR="00273E72" w:rsidRPr="00B60117" w:rsidRDefault="00DF3737" w:rsidP="00EA07AE">
            <w:pPr>
              <w:pStyle w:val="Obyejn"/>
              <w:rPr>
                <w:rFonts w:cs="Times New Roman"/>
              </w:rPr>
            </w:pPr>
            <w:r w:rsidRPr="00DF3737">
              <w:rPr>
                <w:rFonts w:cs="Times New Roman"/>
              </w:rPr>
              <w:t>Zámek 672, 696 62 Strážnice</w:t>
            </w:r>
          </w:p>
        </w:tc>
      </w:tr>
      <w:tr w:rsidR="00273E72" w:rsidRPr="00B60117" w:rsidTr="00273E72">
        <w:trPr>
          <w:trHeight w:val="454"/>
        </w:trPr>
        <w:tc>
          <w:tcPr>
            <w:tcW w:w="3397" w:type="dxa"/>
            <w:vAlign w:val="center"/>
          </w:tcPr>
          <w:p w:rsidR="00273E72" w:rsidRPr="00B60117" w:rsidRDefault="001D0781" w:rsidP="001D0781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IČO/DIČ</w:t>
            </w:r>
            <w:r w:rsidR="00273E72" w:rsidRPr="00B60117">
              <w:rPr>
                <w:rFonts w:cs="Times New Roman"/>
              </w:rPr>
              <w:t>:</w:t>
            </w:r>
          </w:p>
        </w:tc>
        <w:tc>
          <w:tcPr>
            <w:tcW w:w="5665" w:type="dxa"/>
            <w:vAlign w:val="center"/>
          </w:tcPr>
          <w:p w:rsidR="00273E72" w:rsidRPr="00B60117" w:rsidRDefault="0052147F" w:rsidP="00EA07AE">
            <w:pPr>
              <w:pStyle w:val="Obyejn"/>
              <w:rPr>
                <w:rFonts w:cs="Times New Roman"/>
              </w:rPr>
            </w:pPr>
            <w:r w:rsidRPr="00233108">
              <w:rPr>
                <w:rFonts w:cs="Times New Roman"/>
              </w:rPr>
              <w:t>00094</w:t>
            </w:r>
            <w:r w:rsidR="00DF3737" w:rsidRPr="00233108">
              <w:rPr>
                <w:rFonts w:cs="Times New Roman"/>
              </w:rPr>
              <w:t>927</w:t>
            </w:r>
            <w:r w:rsidR="00B60117" w:rsidRPr="00B60117">
              <w:rPr>
                <w:rFonts w:cs="Times New Roman"/>
              </w:rPr>
              <w:t>/CZ</w:t>
            </w:r>
            <w:r w:rsidR="00DF3737">
              <w:rPr>
                <w:rFonts w:cs="Times New Roman"/>
              </w:rPr>
              <w:t>000</w:t>
            </w:r>
            <w:r w:rsidR="00DF3737" w:rsidRPr="00DF3737">
              <w:rPr>
                <w:rFonts w:cs="Times New Roman"/>
              </w:rPr>
              <w:t>94927</w:t>
            </w:r>
          </w:p>
        </w:tc>
      </w:tr>
      <w:tr w:rsidR="00521289" w:rsidRPr="00B60117" w:rsidTr="00D335E4">
        <w:trPr>
          <w:trHeight w:val="454"/>
        </w:trPr>
        <w:tc>
          <w:tcPr>
            <w:tcW w:w="3397" w:type="dxa"/>
            <w:vAlign w:val="center"/>
          </w:tcPr>
          <w:p w:rsidR="00521289" w:rsidRDefault="00521289" w:rsidP="00D335E4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Bankovní spojení, číslo účtu</w:t>
            </w:r>
          </w:p>
        </w:tc>
        <w:tc>
          <w:tcPr>
            <w:tcW w:w="5665" w:type="dxa"/>
            <w:vAlign w:val="center"/>
          </w:tcPr>
          <w:p w:rsidR="00521289" w:rsidRDefault="00506D83" w:rsidP="00D335E4">
            <w:pPr>
              <w:pStyle w:val="Obyejn"/>
              <w:rPr>
                <w:rFonts w:cs="Times New Roman"/>
              </w:rPr>
            </w:pPr>
            <w:r>
              <w:t>xxxxx</w:t>
            </w:r>
          </w:p>
        </w:tc>
      </w:tr>
      <w:tr w:rsidR="00273E72" w:rsidRPr="00B60117" w:rsidTr="00273E72">
        <w:trPr>
          <w:trHeight w:val="454"/>
        </w:trPr>
        <w:tc>
          <w:tcPr>
            <w:tcW w:w="3397" w:type="dxa"/>
            <w:vAlign w:val="center"/>
          </w:tcPr>
          <w:p w:rsidR="00273E72" w:rsidRPr="00B60117" w:rsidRDefault="001D0781" w:rsidP="00EA07AE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Osoba oprávněná zastupovat</w:t>
            </w:r>
            <w:r w:rsidR="00273E72" w:rsidRPr="00B60117">
              <w:rPr>
                <w:rFonts w:cs="Times New Roman"/>
              </w:rPr>
              <w:t>:</w:t>
            </w:r>
          </w:p>
        </w:tc>
        <w:tc>
          <w:tcPr>
            <w:tcW w:w="5665" w:type="dxa"/>
            <w:vAlign w:val="center"/>
          </w:tcPr>
          <w:p w:rsidR="00273E72" w:rsidRPr="00B60117" w:rsidRDefault="00521289" w:rsidP="00EA07AE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PhDr. Martin Šimša, Ph.D., ředitel</w:t>
            </w:r>
          </w:p>
        </w:tc>
      </w:tr>
    </w:tbl>
    <w:p w:rsidR="001D0781" w:rsidRPr="001D0781" w:rsidRDefault="001D0781" w:rsidP="001D0781">
      <w:pPr>
        <w:pStyle w:val="Obyejn"/>
        <w:rPr>
          <w:i/>
        </w:rPr>
      </w:pPr>
      <w:bookmarkStart w:id="1" w:name="_Toc380348619"/>
      <w:r w:rsidRPr="001D0781">
        <w:rPr>
          <w:i/>
        </w:rPr>
        <w:t>Dále „</w:t>
      </w:r>
      <w:r w:rsidR="00204C36">
        <w:rPr>
          <w:i/>
        </w:rPr>
        <w:t>objednatel</w:t>
      </w:r>
      <w:r w:rsidRPr="001D0781">
        <w:rPr>
          <w:i/>
        </w:rPr>
        <w:t>“</w:t>
      </w:r>
    </w:p>
    <w:p w:rsidR="001D0781" w:rsidRDefault="001D0781" w:rsidP="001D0781">
      <w:pPr>
        <w:pStyle w:val="Obyejn"/>
      </w:pPr>
    </w:p>
    <w:p w:rsidR="001D0781" w:rsidRDefault="001D0781" w:rsidP="001D0781">
      <w:pPr>
        <w:pStyle w:val="Obyej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D0781" w:rsidRPr="00B60117" w:rsidTr="00306353">
        <w:trPr>
          <w:trHeight w:val="454"/>
        </w:trPr>
        <w:tc>
          <w:tcPr>
            <w:tcW w:w="3397" w:type="dxa"/>
            <w:vAlign w:val="center"/>
          </w:tcPr>
          <w:p w:rsidR="001D0781" w:rsidRPr="00B60117" w:rsidRDefault="001D0781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Název</w:t>
            </w:r>
            <w:r w:rsidRPr="00B60117">
              <w:rPr>
                <w:rFonts w:cs="Times New Roman"/>
              </w:rPr>
              <w:t>:</w:t>
            </w:r>
          </w:p>
        </w:tc>
        <w:tc>
          <w:tcPr>
            <w:tcW w:w="5665" w:type="dxa"/>
            <w:vAlign w:val="center"/>
          </w:tcPr>
          <w:p w:rsidR="001D0781" w:rsidRPr="00B60117" w:rsidRDefault="00F57EC7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TRIFID KP, s.r.o.</w:t>
            </w:r>
          </w:p>
        </w:tc>
      </w:tr>
      <w:tr w:rsidR="001D0781" w:rsidRPr="00B60117" w:rsidTr="00306353">
        <w:trPr>
          <w:trHeight w:val="454"/>
        </w:trPr>
        <w:tc>
          <w:tcPr>
            <w:tcW w:w="3397" w:type="dxa"/>
            <w:vAlign w:val="center"/>
          </w:tcPr>
          <w:p w:rsidR="001D0781" w:rsidRPr="00B60117" w:rsidRDefault="001D0781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Sídlo</w:t>
            </w:r>
            <w:r w:rsidRPr="00B60117">
              <w:rPr>
                <w:rFonts w:cs="Times New Roman"/>
              </w:rPr>
              <w:t>:</w:t>
            </w:r>
          </w:p>
        </w:tc>
        <w:tc>
          <w:tcPr>
            <w:tcW w:w="5665" w:type="dxa"/>
            <w:vAlign w:val="center"/>
          </w:tcPr>
          <w:p w:rsidR="001D0781" w:rsidRPr="00B60117" w:rsidRDefault="00F57EC7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Hradišťská 71, 686 03 Staré Město</w:t>
            </w:r>
          </w:p>
        </w:tc>
      </w:tr>
      <w:tr w:rsidR="001D0781" w:rsidRPr="00B60117" w:rsidTr="00306353">
        <w:trPr>
          <w:trHeight w:val="454"/>
        </w:trPr>
        <w:tc>
          <w:tcPr>
            <w:tcW w:w="3397" w:type="dxa"/>
            <w:vAlign w:val="center"/>
          </w:tcPr>
          <w:p w:rsidR="001D0781" w:rsidRPr="00B60117" w:rsidRDefault="001D0781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IČO/DIČ</w:t>
            </w:r>
            <w:r w:rsidRPr="00B60117">
              <w:rPr>
                <w:rFonts w:cs="Times New Roman"/>
              </w:rPr>
              <w:t>:</w:t>
            </w:r>
          </w:p>
        </w:tc>
        <w:tc>
          <w:tcPr>
            <w:tcW w:w="5665" w:type="dxa"/>
            <w:vAlign w:val="center"/>
          </w:tcPr>
          <w:p w:rsidR="001D0781" w:rsidRPr="00B60117" w:rsidRDefault="00F57EC7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25501313/ CZ 25501313</w:t>
            </w:r>
          </w:p>
        </w:tc>
      </w:tr>
      <w:tr w:rsidR="001D0781" w:rsidRPr="00B60117" w:rsidTr="00306353">
        <w:trPr>
          <w:trHeight w:val="454"/>
        </w:trPr>
        <w:tc>
          <w:tcPr>
            <w:tcW w:w="3397" w:type="dxa"/>
            <w:vAlign w:val="center"/>
          </w:tcPr>
          <w:p w:rsidR="001D0781" w:rsidRDefault="001D0781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Zápis v OR:</w:t>
            </w:r>
          </w:p>
        </w:tc>
        <w:tc>
          <w:tcPr>
            <w:tcW w:w="5665" w:type="dxa"/>
            <w:vAlign w:val="center"/>
          </w:tcPr>
          <w:p w:rsidR="001D0781" w:rsidRPr="00B60117" w:rsidRDefault="001D0781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OR ved</w:t>
            </w:r>
            <w:r w:rsidR="00F57EC7">
              <w:rPr>
                <w:rFonts w:cs="Times New Roman"/>
              </w:rPr>
              <w:t>ený Krajským soudem  v Brně</w:t>
            </w:r>
            <w:r>
              <w:rPr>
                <w:rFonts w:cs="Times New Roman"/>
              </w:rPr>
              <w:t xml:space="preserve">, </w:t>
            </w:r>
            <w:r w:rsidR="00F57EC7">
              <w:rPr>
                <w:rFonts w:cs="Times New Roman"/>
              </w:rPr>
              <w:t>oddíl C</w:t>
            </w:r>
            <w:r>
              <w:rPr>
                <w:rFonts w:cs="Times New Roman"/>
              </w:rPr>
              <w:t>, vložka</w:t>
            </w:r>
            <w:r w:rsidR="00F57EC7">
              <w:rPr>
                <w:rFonts w:cs="Times New Roman"/>
              </w:rPr>
              <w:t xml:space="preserve"> 28235, ze dne </w:t>
            </w:r>
            <w:r w:rsidR="00F57EC7" w:rsidRPr="00233108">
              <w:rPr>
                <w:rFonts w:cs="Times New Roman"/>
              </w:rPr>
              <w:t>11.</w:t>
            </w:r>
            <w:r w:rsidR="0052147F" w:rsidRPr="00233108">
              <w:rPr>
                <w:rFonts w:cs="Times New Roman"/>
              </w:rPr>
              <w:t xml:space="preserve"> </w:t>
            </w:r>
            <w:r w:rsidR="00F57EC7" w:rsidRPr="00233108">
              <w:rPr>
                <w:rFonts w:cs="Times New Roman"/>
              </w:rPr>
              <w:t>3.</w:t>
            </w:r>
            <w:r w:rsidR="0052147F" w:rsidRPr="00233108">
              <w:rPr>
                <w:rFonts w:cs="Times New Roman"/>
              </w:rPr>
              <w:t xml:space="preserve"> </w:t>
            </w:r>
            <w:r w:rsidR="00F57EC7" w:rsidRPr="00233108">
              <w:rPr>
                <w:rFonts w:cs="Times New Roman"/>
              </w:rPr>
              <w:t>2004</w:t>
            </w:r>
          </w:p>
        </w:tc>
      </w:tr>
      <w:tr w:rsidR="001D0781" w:rsidRPr="00B60117" w:rsidTr="00306353">
        <w:trPr>
          <w:trHeight w:val="454"/>
        </w:trPr>
        <w:tc>
          <w:tcPr>
            <w:tcW w:w="3397" w:type="dxa"/>
            <w:vAlign w:val="center"/>
          </w:tcPr>
          <w:p w:rsidR="001D0781" w:rsidRDefault="001D0781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Bankovní spojení, číslo účtu</w:t>
            </w:r>
          </w:p>
        </w:tc>
        <w:tc>
          <w:tcPr>
            <w:tcW w:w="5665" w:type="dxa"/>
            <w:vAlign w:val="center"/>
          </w:tcPr>
          <w:p w:rsidR="001D0781" w:rsidRDefault="00506D83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xxxxx</w:t>
            </w:r>
          </w:p>
        </w:tc>
      </w:tr>
      <w:tr w:rsidR="001D0781" w:rsidRPr="00B60117" w:rsidTr="00306353">
        <w:trPr>
          <w:trHeight w:val="454"/>
        </w:trPr>
        <w:tc>
          <w:tcPr>
            <w:tcW w:w="3397" w:type="dxa"/>
            <w:vAlign w:val="center"/>
          </w:tcPr>
          <w:p w:rsidR="001D0781" w:rsidRDefault="001D0781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Osoba oprávněná zastupovat:</w:t>
            </w:r>
          </w:p>
        </w:tc>
        <w:tc>
          <w:tcPr>
            <w:tcW w:w="5665" w:type="dxa"/>
            <w:vAlign w:val="center"/>
          </w:tcPr>
          <w:p w:rsidR="001D0781" w:rsidRDefault="00F57EC7" w:rsidP="00306353">
            <w:pPr>
              <w:pStyle w:val="Obyejn"/>
              <w:rPr>
                <w:rFonts w:cs="Times New Roman"/>
              </w:rPr>
            </w:pPr>
            <w:r>
              <w:rPr>
                <w:rFonts w:cs="Times New Roman"/>
              </w:rPr>
              <w:t>Mgr. Ing. Eva Krchová, prokurista společnosti</w:t>
            </w:r>
          </w:p>
        </w:tc>
      </w:tr>
    </w:tbl>
    <w:p w:rsidR="001D0781" w:rsidRPr="001D0781" w:rsidRDefault="001D0781" w:rsidP="001D0781">
      <w:pPr>
        <w:pStyle w:val="Obyejn"/>
        <w:rPr>
          <w:rFonts w:eastAsia="Calibri"/>
          <w:i/>
        </w:rPr>
      </w:pPr>
      <w:bookmarkStart w:id="2" w:name="_Toc380348621"/>
      <w:bookmarkEnd w:id="0"/>
      <w:bookmarkEnd w:id="1"/>
      <w:r w:rsidRPr="001D0781">
        <w:rPr>
          <w:rFonts w:eastAsia="Calibri"/>
          <w:i/>
        </w:rPr>
        <w:t>Dále „</w:t>
      </w:r>
      <w:r w:rsidR="00204C36">
        <w:rPr>
          <w:rFonts w:eastAsia="Calibri"/>
          <w:i/>
        </w:rPr>
        <w:t>zhotovitel</w:t>
      </w:r>
      <w:r w:rsidRPr="001D0781">
        <w:rPr>
          <w:rFonts w:eastAsia="Calibri"/>
          <w:i/>
        </w:rPr>
        <w:t>“</w:t>
      </w:r>
    </w:p>
    <w:p w:rsidR="001D0781" w:rsidRDefault="001D0781" w:rsidP="001D0781">
      <w:pPr>
        <w:pStyle w:val="Obyejn"/>
        <w:rPr>
          <w:rFonts w:eastAsia="Calibri"/>
        </w:rPr>
      </w:pPr>
    </w:p>
    <w:p w:rsidR="001D0781" w:rsidRPr="001D0781" w:rsidRDefault="00204C36" w:rsidP="001D0781">
      <w:pPr>
        <w:pStyle w:val="Obyejn"/>
        <w:rPr>
          <w:rFonts w:eastAsia="Calibri"/>
          <w:i/>
        </w:rPr>
      </w:pPr>
      <w:r>
        <w:rPr>
          <w:rFonts w:eastAsia="Calibri"/>
          <w:i/>
        </w:rPr>
        <w:t>Objednatel</w:t>
      </w:r>
      <w:r w:rsidR="001D0781" w:rsidRPr="001D0781">
        <w:rPr>
          <w:rFonts w:eastAsia="Calibri"/>
          <w:i/>
        </w:rPr>
        <w:t xml:space="preserve"> a </w:t>
      </w:r>
      <w:r>
        <w:rPr>
          <w:rFonts w:eastAsia="Calibri"/>
          <w:i/>
        </w:rPr>
        <w:t>zhotovitel</w:t>
      </w:r>
      <w:r w:rsidR="001D0781" w:rsidRPr="001D0781">
        <w:rPr>
          <w:rFonts w:eastAsia="Calibri"/>
          <w:i/>
        </w:rPr>
        <w:t xml:space="preserve"> dále společně též smluvní strany</w:t>
      </w:r>
    </w:p>
    <w:p w:rsidR="001D0781" w:rsidRPr="0066427B" w:rsidRDefault="001D0781" w:rsidP="001D0781">
      <w:pPr>
        <w:rPr>
          <w:lang w:eastAsia="cs-CZ"/>
        </w:rPr>
      </w:pPr>
    </w:p>
    <w:p w:rsidR="001D0781" w:rsidRPr="00C774E2" w:rsidRDefault="001D0781" w:rsidP="001D0781">
      <w:pPr>
        <w:rPr>
          <w:rFonts w:ascii="Times New Roman" w:hAnsi="Times New Roman" w:cs="Times New Roman"/>
          <w:sz w:val="24"/>
          <w:szCs w:val="24"/>
        </w:rPr>
      </w:pPr>
      <w:r w:rsidRPr="00C774E2">
        <w:rPr>
          <w:rFonts w:ascii="Times New Roman" w:hAnsi="Times New Roman" w:cs="Times New Roman"/>
          <w:sz w:val="24"/>
          <w:szCs w:val="24"/>
        </w:rPr>
        <w:t>Smluvní strany uzavřely níže uvedeného dne tuto smlouvu</w:t>
      </w:r>
      <w:r w:rsidR="00204C36">
        <w:rPr>
          <w:rFonts w:ascii="Times New Roman" w:hAnsi="Times New Roman" w:cs="Times New Roman"/>
          <w:sz w:val="24"/>
          <w:szCs w:val="24"/>
        </w:rPr>
        <w:t xml:space="preserve"> o dílo</w:t>
      </w:r>
      <w:r w:rsidRPr="00C774E2">
        <w:rPr>
          <w:rFonts w:ascii="Times New Roman" w:hAnsi="Times New Roman" w:cs="Times New Roman"/>
          <w:sz w:val="24"/>
          <w:szCs w:val="24"/>
        </w:rPr>
        <w:t xml:space="preserve"> („smlouva“).</w:t>
      </w:r>
    </w:p>
    <w:p w:rsidR="001D0781" w:rsidRPr="001D0781" w:rsidRDefault="001D0781" w:rsidP="00E16248">
      <w:pPr>
        <w:pStyle w:val="Nadpis1"/>
      </w:pPr>
      <w:r w:rsidRPr="001D0781">
        <w:t>Předmět smlouvy</w:t>
      </w:r>
    </w:p>
    <w:p w:rsidR="001D0781" w:rsidRDefault="001D0781" w:rsidP="001D0781">
      <w:pPr>
        <w:pStyle w:val="Styl2"/>
      </w:pPr>
      <w:r w:rsidRPr="00D76357">
        <w:t xml:space="preserve">Předmětem této smlouvy je závazek </w:t>
      </w:r>
      <w:r w:rsidR="00204C36">
        <w:t>zhotovitele provést na svůj náklad a nebezpečí pro objednatele dílo a závazek objednatele dílo převzít a zaplatit cenu.</w:t>
      </w:r>
    </w:p>
    <w:p w:rsidR="00233108" w:rsidRPr="00233108" w:rsidRDefault="00233108" w:rsidP="0023310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33108">
        <w:rPr>
          <w:rFonts w:ascii="Times New Roman" w:hAnsi="Times New Roman" w:cs="Times New Roman"/>
          <w:color w:val="000000"/>
          <w:sz w:val="24"/>
          <w:szCs w:val="24"/>
        </w:rPr>
        <w:t xml:space="preserve">Dílem se rozumí zpracování grafického návrhu, výroba a instalace prvků expozice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33108">
        <w:rPr>
          <w:rFonts w:ascii="Times New Roman" w:hAnsi="Times New Roman" w:cs="Times New Roman"/>
          <w:color w:val="000000"/>
          <w:sz w:val="24"/>
          <w:szCs w:val="24"/>
        </w:rPr>
        <w:t>Výstava k 40. výročí otevření Muzea vesnice jihovýchodní Moravy a 100 let od narození architektů Otakara Máčela a Jaroslava Vajdiše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331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1289" w:rsidRDefault="00521289" w:rsidP="0052128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331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33108">
        <w:rPr>
          <w:rFonts w:ascii="Times New Roman" w:hAnsi="Times New Roman" w:cs="Times New Roman"/>
          <w:color w:val="000000"/>
          <w:sz w:val="24"/>
          <w:szCs w:val="24"/>
        </w:rPr>
        <w:t>-grafický návrh, výroba, instalace</w:t>
      </w:r>
    </w:p>
    <w:p w:rsidR="001D0781" w:rsidRDefault="00E937F3" w:rsidP="00E16248">
      <w:pPr>
        <w:pStyle w:val="Nadpis1"/>
      </w:pPr>
      <w:r>
        <w:t>Platnost smlouvy</w:t>
      </w:r>
      <w:r w:rsidR="00DF3737">
        <w:t xml:space="preserve"> a doba plnění</w:t>
      </w:r>
    </w:p>
    <w:p w:rsidR="00E16248" w:rsidRDefault="00E16248" w:rsidP="00E937F3">
      <w:pPr>
        <w:pStyle w:val="Styl2"/>
        <w:rPr>
          <w:lang w:eastAsia="en-US"/>
        </w:rPr>
      </w:pPr>
      <w:r>
        <w:rPr>
          <w:lang w:eastAsia="en-US"/>
        </w:rPr>
        <w:t>Tato smlouva se uzavírá na dobu určitou.</w:t>
      </w:r>
    </w:p>
    <w:p w:rsidR="00F57EC7" w:rsidRDefault="00DF3737" w:rsidP="00E937F3">
      <w:pPr>
        <w:pStyle w:val="Styl2"/>
        <w:rPr>
          <w:lang w:eastAsia="en-US"/>
        </w:rPr>
      </w:pPr>
      <w:r>
        <w:rPr>
          <w:lang w:eastAsia="en-US"/>
        </w:rPr>
        <w:t>Plnění díla bude zahájeno:</w:t>
      </w:r>
      <w:r w:rsidR="001F3FDA">
        <w:rPr>
          <w:lang w:eastAsia="en-US"/>
        </w:rPr>
        <w:t xml:space="preserve"> </w:t>
      </w:r>
      <w:r w:rsidR="00521289" w:rsidRPr="00521289">
        <w:rPr>
          <w:lang w:eastAsia="en-US"/>
        </w:rPr>
        <w:t>1. 4. 2021</w:t>
      </w:r>
    </w:p>
    <w:p w:rsidR="00DF3737" w:rsidRPr="00E937F3" w:rsidRDefault="00DF3737" w:rsidP="00E937F3">
      <w:pPr>
        <w:pStyle w:val="Styl2"/>
        <w:rPr>
          <w:lang w:eastAsia="en-US"/>
        </w:rPr>
      </w:pPr>
      <w:r>
        <w:rPr>
          <w:lang w:eastAsia="en-US"/>
        </w:rPr>
        <w:t xml:space="preserve">Plnění díla bude ukončeno: </w:t>
      </w:r>
      <w:r w:rsidR="00521289" w:rsidRPr="00521289">
        <w:rPr>
          <w:lang w:eastAsia="en-US"/>
        </w:rPr>
        <w:t>2</w:t>
      </w:r>
      <w:r w:rsidR="00521289">
        <w:rPr>
          <w:lang w:eastAsia="en-US"/>
        </w:rPr>
        <w:t>6</w:t>
      </w:r>
      <w:r w:rsidR="00521289" w:rsidRPr="00521289">
        <w:rPr>
          <w:lang w:eastAsia="en-US"/>
        </w:rPr>
        <w:t>. 4. 2021</w:t>
      </w:r>
    </w:p>
    <w:p w:rsidR="00E16248" w:rsidRPr="00233108" w:rsidRDefault="00204C36" w:rsidP="0052147F">
      <w:pPr>
        <w:pStyle w:val="Nadpis1"/>
      </w:pPr>
      <w:r w:rsidRPr="00233108">
        <w:t>Cena díla</w:t>
      </w:r>
    </w:p>
    <w:p w:rsidR="00DF3737" w:rsidRPr="00233108" w:rsidRDefault="00DF3737" w:rsidP="00DF3737">
      <w:pPr>
        <w:pStyle w:val="Styl2"/>
      </w:pPr>
      <w:r w:rsidRPr="00233108">
        <w:t xml:space="preserve">Cena díla byla stanovena na základě nabídky </w:t>
      </w:r>
      <w:r w:rsidR="0052147F" w:rsidRPr="00233108">
        <w:t xml:space="preserve">zhotovitele v NEN </w:t>
      </w:r>
      <w:r w:rsidRPr="00233108">
        <w:t xml:space="preserve">ze dne </w:t>
      </w:r>
      <w:r w:rsidR="001F3FDA" w:rsidRPr="00233108">
        <w:t>25. 3. 2021</w:t>
      </w:r>
      <w:r w:rsidR="00FF20FF" w:rsidRPr="00233108">
        <w:t xml:space="preserve"> </w:t>
      </w:r>
      <w:r w:rsidRPr="00233108">
        <w:t>a činí:</w:t>
      </w:r>
    </w:p>
    <w:p w:rsidR="001F3FDA" w:rsidRDefault="00DF3737" w:rsidP="00DF3737">
      <w:pPr>
        <w:pStyle w:val="Styl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  <w:lang w:eastAsia="cs-CZ"/>
        </w:rPr>
      </w:pPr>
      <w:r w:rsidRPr="005F1DCE">
        <w:rPr>
          <w:rFonts w:ascii="Times New Roman" w:hAnsi="Times New Roman"/>
          <w:sz w:val="24"/>
          <w:szCs w:val="24"/>
          <w:lang w:eastAsia="cs-CZ"/>
        </w:rPr>
        <w:t>Cena celkem bez DPH:</w:t>
      </w:r>
      <w:r w:rsidRPr="005F1DCE">
        <w:rPr>
          <w:rFonts w:ascii="Times New Roman" w:hAnsi="Times New Roman"/>
          <w:sz w:val="24"/>
          <w:szCs w:val="24"/>
          <w:lang w:eastAsia="cs-CZ"/>
        </w:rPr>
        <w:tab/>
      </w:r>
      <w:r w:rsidR="001F3FDA">
        <w:rPr>
          <w:rFonts w:ascii="Times New Roman" w:hAnsi="Times New Roman"/>
          <w:sz w:val="24"/>
          <w:szCs w:val="24"/>
          <w:lang w:eastAsia="cs-CZ"/>
        </w:rPr>
        <w:t>136 875,- Kč</w:t>
      </w:r>
      <w:r w:rsidRPr="005F1DCE">
        <w:rPr>
          <w:rFonts w:ascii="Times New Roman" w:hAnsi="Times New Roman"/>
          <w:sz w:val="24"/>
          <w:szCs w:val="24"/>
          <w:lang w:eastAsia="cs-CZ"/>
        </w:rPr>
        <w:tab/>
      </w:r>
      <w:r w:rsidRPr="005F1DCE">
        <w:rPr>
          <w:rFonts w:ascii="Times New Roman" w:hAnsi="Times New Roman"/>
          <w:sz w:val="24"/>
          <w:szCs w:val="24"/>
          <w:lang w:eastAsia="cs-CZ"/>
        </w:rPr>
        <w:tab/>
      </w:r>
    </w:p>
    <w:p w:rsidR="001F3FDA" w:rsidRDefault="00DF3737" w:rsidP="00DF3737">
      <w:pPr>
        <w:pStyle w:val="Styl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  <w:lang w:eastAsia="cs-CZ"/>
        </w:rPr>
      </w:pPr>
      <w:r w:rsidRPr="0052147F">
        <w:rPr>
          <w:rFonts w:ascii="Times New Roman" w:hAnsi="Times New Roman"/>
          <w:sz w:val="24"/>
          <w:szCs w:val="24"/>
          <w:lang w:eastAsia="cs-CZ"/>
        </w:rPr>
        <w:t>DPH:</w:t>
      </w:r>
      <w:r w:rsidRPr="0052147F">
        <w:rPr>
          <w:rFonts w:ascii="Times New Roman" w:hAnsi="Times New Roman"/>
          <w:sz w:val="24"/>
          <w:szCs w:val="24"/>
          <w:lang w:eastAsia="cs-CZ"/>
        </w:rPr>
        <w:tab/>
      </w:r>
      <w:r w:rsidRPr="0052147F">
        <w:rPr>
          <w:rFonts w:ascii="Times New Roman" w:hAnsi="Times New Roman"/>
          <w:sz w:val="24"/>
          <w:szCs w:val="24"/>
          <w:lang w:eastAsia="cs-CZ"/>
        </w:rPr>
        <w:tab/>
      </w:r>
      <w:r w:rsidRPr="0052147F">
        <w:rPr>
          <w:rFonts w:ascii="Times New Roman" w:hAnsi="Times New Roman"/>
          <w:sz w:val="24"/>
          <w:szCs w:val="24"/>
          <w:lang w:eastAsia="cs-CZ"/>
        </w:rPr>
        <w:tab/>
      </w:r>
      <w:r w:rsidRPr="0052147F">
        <w:rPr>
          <w:rFonts w:ascii="Times New Roman" w:hAnsi="Times New Roman"/>
          <w:sz w:val="24"/>
          <w:szCs w:val="24"/>
          <w:lang w:eastAsia="cs-CZ"/>
        </w:rPr>
        <w:tab/>
      </w:r>
      <w:r w:rsidR="001F3FDA" w:rsidRPr="0052147F">
        <w:rPr>
          <w:rFonts w:ascii="Times New Roman" w:hAnsi="Times New Roman"/>
          <w:sz w:val="24"/>
          <w:szCs w:val="24"/>
          <w:lang w:eastAsia="cs-CZ"/>
        </w:rPr>
        <w:t>28 743,75 Kč</w:t>
      </w:r>
      <w:r w:rsidRPr="005F1DCE">
        <w:rPr>
          <w:rFonts w:ascii="Times New Roman" w:hAnsi="Times New Roman"/>
          <w:sz w:val="24"/>
          <w:szCs w:val="24"/>
          <w:lang w:eastAsia="cs-CZ"/>
        </w:rPr>
        <w:tab/>
      </w:r>
      <w:r w:rsidRPr="005F1DCE">
        <w:rPr>
          <w:rFonts w:ascii="Times New Roman" w:hAnsi="Times New Roman"/>
          <w:sz w:val="24"/>
          <w:szCs w:val="24"/>
          <w:lang w:eastAsia="cs-CZ"/>
        </w:rPr>
        <w:tab/>
      </w:r>
    </w:p>
    <w:p w:rsidR="001F3FDA" w:rsidRDefault="00DF3737" w:rsidP="001F3FDA">
      <w:pPr>
        <w:pStyle w:val="Styl1"/>
        <w:numPr>
          <w:ilvl w:val="0"/>
          <w:numId w:val="0"/>
        </w:numPr>
        <w:ind w:left="851"/>
        <w:rPr>
          <w:rFonts w:ascii="Times New Roman" w:hAnsi="Times New Roman"/>
          <w:sz w:val="24"/>
          <w:szCs w:val="24"/>
          <w:lang w:eastAsia="cs-CZ"/>
        </w:rPr>
      </w:pPr>
      <w:r w:rsidRPr="005F1DCE">
        <w:rPr>
          <w:rFonts w:ascii="Times New Roman" w:hAnsi="Times New Roman"/>
          <w:sz w:val="24"/>
          <w:szCs w:val="24"/>
          <w:lang w:eastAsia="cs-CZ"/>
        </w:rPr>
        <w:t>Cena celkem s DPH:</w:t>
      </w:r>
      <w:r w:rsidRPr="005F1DCE">
        <w:rPr>
          <w:rFonts w:ascii="Times New Roman" w:hAnsi="Times New Roman"/>
          <w:sz w:val="24"/>
          <w:szCs w:val="24"/>
          <w:lang w:eastAsia="cs-CZ"/>
        </w:rPr>
        <w:tab/>
      </w:r>
      <w:r w:rsidR="001F3FDA">
        <w:rPr>
          <w:rFonts w:ascii="Times New Roman" w:hAnsi="Times New Roman"/>
          <w:sz w:val="24"/>
          <w:szCs w:val="24"/>
          <w:lang w:eastAsia="cs-CZ"/>
        </w:rPr>
        <w:t>165 618,75 Kč</w:t>
      </w:r>
      <w:r w:rsidRPr="005F1DCE">
        <w:rPr>
          <w:rFonts w:ascii="Times New Roman" w:hAnsi="Times New Roman"/>
          <w:sz w:val="24"/>
          <w:szCs w:val="24"/>
          <w:lang w:eastAsia="cs-CZ"/>
        </w:rPr>
        <w:tab/>
      </w:r>
      <w:r w:rsidRPr="005F1DCE">
        <w:rPr>
          <w:rFonts w:ascii="Times New Roman" w:hAnsi="Times New Roman"/>
          <w:sz w:val="24"/>
          <w:szCs w:val="24"/>
          <w:lang w:eastAsia="cs-CZ"/>
        </w:rPr>
        <w:tab/>
      </w:r>
    </w:p>
    <w:p w:rsidR="00DF3737" w:rsidRPr="0052147F" w:rsidRDefault="00DF3737" w:rsidP="001F3FDA">
      <w:pPr>
        <w:pStyle w:val="Styl1"/>
        <w:numPr>
          <w:ilvl w:val="0"/>
          <w:numId w:val="0"/>
        </w:numPr>
        <w:ind w:left="851"/>
        <w:rPr>
          <w:rFonts w:ascii="Times New Roman" w:hAnsi="Times New Roman"/>
          <w:sz w:val="24"/>
        </w:rPr>
      </w:pPr>
      <w:r w:rsidRPr="00233108">
        <w:rPr>
          <w:rFonts w:ascii="Times New Roman" w:hAnsi="Times New Roman"/>
          <w:sz w:val="24"/>
        </w:rPr>
        <w:t>Cena bez DPH je dohodnuta jako nejvýše přípustná po celou dobu platnosti této smlouvy</w:t>
      </w:r>
      <w:r w:rsidR="00233108">
        <w:rPr>
          <w:rFonts w:ascii="Times New Roman" w:hAnsi="Times New Roman"/>
          <w:sz w:val="24"/>
        </w:rPr>
        <w:t xml:space="preserve"> k realizaci jednotlivých částí díla a díla jako celku</w:t>
      </w:r>
      <w:r w:rsidRPr="00233108">
        <w:rPr>
          <w:rFonts w:ascii="Times New Roman" w:hAnsi="Times New Roman"/>
          <w:sz w:val="24"/>
        </w:rPr>
        <w:t>. Dojde-li v průběhu realizace ke změnám sazeb daně z přidané hodnoty, bude v takovém případě k ceně díla bez DPH připočtena DPH v aktuální sazbě platné v době vzniku zdanitelného plnění.</w:t>
      </w:r>
      <w:r w:rsidRPr="0052147F">
        <w:rPr>
          <w:rFonts w:ascii="Times New Roman" w:hAnsi="Times New Roman"/>
          <w:sz w:val="24"/>
        </w:rPr>
        <w:t xml:space="preserve"> </w:t>
      </w:r>
    </w:p>
    <w:p w:rsidR="00DF3737" w:rsidRDefault="00DF3737" w:rsidP="00DF3737">
      <w:pPr>
        <w:pStyle w:val="Styl2"/>
      </w:pPr>
      <w:r w:rsidRPr="005F1DCE">
        <w:t xml:space="preserve">Cena </w:t>
      </w:r>
      <w:r>
        <w:t xml:space="preserve">díla </w:t>
      </w:r>
      <w:r w:rsidRPr="005F1DCE">
        <w:t xml:space="preserve">obsahuje veškeré náklady zhotovitele nutné k úplné a řádné realizaci díla </w:t>
      </w:r>
      <w:r>
        <w:t xml:space="preserve">bez vad a nedodělků </w:t>
      </w:r>
      <w:r w:rsidRPr="005F1DCE">
        <w:t xml:space="preserve">a </w:t>
      </w:r>
      <w:r>
        <w:t xml:space="preserve">zohledňuje předpokládaný vývoj cen </w:t>
      </w:r>
      <w:r w:rsidRPr="005F1DCE">
        <w:t>až do konce její platnosti, rovněž obsahuje i předpokládaný vývoj kurzů české koruny k zahraničním měnám až do konce její platnosti.</w:t>
      </w:r>
    </w:p>
    <w:p w:rsidR="001D0781" w:rsidRDefault="00E16248" w:rsidP="00E16248">
      <w:pPr>
        <w:pStyle w:val="Nadpis1"/>
      </w:pPr>
      <w:r>
        <w:t>P</w:t>
      </w:r>
      <w:r w:rsidR="001D0781">
        <w:t>latební podmínky</w:t>
      </w:r>
    </w:p>
    <w:p w:rsidR="00E16248" w:rsidRPr="00E16248" w:rsidRDefault="00FF20FF" w:rsidP="00E16248">
      <w:pPr>
        <w:pStyle w:val="Styl2"/>
      </w:pPr>
      <w:r>
        <w:rPr>
          <w:lang w:eastAsia="en-US"/>
        </w:rPr>
        <w:t>Fakturace bude provedena</w:t>
      </w:r>
      <w:r w:rsidR="00233108">
        <w:rPr>
          <w:lang w:eastAsia="en-US"/>
        </w:rPr>
        <w:t xml:space="preserve"> po převzetí díla jako celku. </w:t>
      </w:r>
      <w:r w:rsidR="00E16248" w:rsidRPr="00384072">
        <w:t>Splatnost faktur</w:t>
      </w:r>
      <w:r>
        <w:t>y</w:t>
      </w:r>
      <w:r w:rsidR="00E16248" w:rsidRPr="00384072">
        <w:t xml:space="preserve"> </w:t>
      </w:r>
      <w:r>
        <w:t>(daňového dokladu</w:t>
      </w:r>
      <w:r w:rsidR="00E16248">
        <w:t xml:space="preserve">) </w:t>
      </w:r>
      <w:r w:rsidR="00E16248" w:rsidRPr="00384072">
        <w:t xml:space="preserve">činí </w:t>
      </w:r>
      <w:r w:rsidR="00521289">
        <w:t xml:space="preserve">30 </w:t>
      </w:r>
      <w:r w:rsidR="00E16248" w:rsidRPr="00521289">
        <w:t>dnů</w:t>
      </w:r>
      <w:r w:rsidR="00F57EC7">
        <w:t xml:space="preserve"> </w:t>
      </w:r>
      <w:r w:rsidR="00E16248" w:rsidRPr="00E16248">
        <w:t>ode</w:t>
      </w:r>
      <w:r w:rsidR="00E16248">
        <w:t xml:space="preserve"> dne jejich doručení </w:t>
      </w:r>
      <w:r w:rsidR="00204C36">
        <w:t>objednateli</w:t>
      </w:r>
      <w:r>
        <w:t xml:space="preserve"> za předpokladu, že faktura bude</w:t>
      </w:r>
      <w:r w:rsidR="00E16248" w:rsidRPr="00E16248">
        <w:t xml:space="preserve"> obsahovat veškeré náležitosti řádného daňového dokladu podle příslušných právních předpisů, zejména pak zákona o dani z přidané hodnoty a zákona o účetnictví v platném znění. V případě, že daňový doklad nebude mít odpovídající náležitosti, je </w:t>
      </w:r>
      <w:r w:rsidR="00204C36">
        <w:t>objednatel</w:t>
      </w:r>
      <w:r w:rsidR="00E16248" w:rsidRPr="00E16248">
        <w:t xml:space="preserve"> oprávněn zaslat</w:t>
      </w:r>
      <w:r w:rsidR="0063618A">
        <w:t xml:space="preserve"> jej ve lhůtě splatnosti zpět k </w:t>
      </w:r>
      <w:r w:rsidR="00E16248" w:rsidRPr="00E16248">
        <w:t xml:space="preserve">doplnění </w:t>
      </w:r>
      <w:r w:rsidR="00204C36">
        <w:t>zhotoviteli</w:t>
      </w:r>
      <w:r w:rsidR="00E16248" w:rsidRPr="00E16248">
        <w:t xml:space="preserve">, aniž se dostane do prodlení se splatností; lhůta splatnosti počíná běžet znovu od opětovného doručení náležitě doplněného či opraveného daňového dokladu </w:t>
      </w:r>
      <w:r w:rsidR="00204C36">
        <w:t>objednateli</w:t>
      </w:r>
      <w:r w:rsidR="00E16248" w:rsidRPr="00E16248">
        <w:t>.</w:t>
      </w:r>
    </w:p>
    <w:p w:rsidR="001D0781" w:rsidRPr="00384072" w:rsidRDefault="001D0781" w:rsidP="00E16248">
      <w:pPr>
        <w:pStyle w:val="Styl2"/>
      </w:pPr>
      <w:r w:rsidRPr="00384072">
        <w:t>DPH bude vyúčtována dle právních předpisů platných ke dni fakturace.</w:t>
      </w:r>
    </w:p>
    <w:p w:rsidR="001D0781" w:rsidRPr="00E16248" w:rsidRDefault="001D0781" w:rsidP="00E16248">
      <w:pPr>
        <w:pStyle w:val="Nadpis1"/>
      </w:pPr>
      <w:r w:rsidRPr="00E16248">
        <w:lastRenderedPageBreak/>
        <w:t>Smluvní sankce</w:t>
      </w:r>
    </w:p>
    <w:p w:rsidR="001D0781" w:rsidRPr="00384072" w:rsidRDefault="001D0781" w:rsidP="00E16248">
      <w:pPr>
        <w:pStyle w:val="Styl2"/>
      </w:pPr>
      <w:r>
        <w:t xml:space="preserve">V případě prodlení </w:t>
      </w:r>
      <w:r w:rsidR="00204C36">
        <w:t>objednatele</w:t>
      </w:r>
      <w:r>
        <w:t xml:space="preserve"> s úhradou faktury má </w:t>
      </w:r>
      <w:r w:rsidR="00204C36">
        <w:t>zhotovitel</w:t>
      </w:r>
      <w:r w:rsidRPr="00112D95">
        <w:t xml:space="preserve"> nárok účtovat úrok z prodlení ve výši 0,01 % z dlužné částky bez DPH za každý den prodlení.</w:t>
      </w:r>
    </w:p>
    <w:p w:rsidR="001D0781" w:rsidRPr="00233108" w:rsidRDefault="001D0781" w:rsidP="00E16248">
      <w:pPr>
        <w:pStyle w:val="Styl2"/>
      </w:pPr>
      <w:r w:rsidRPr="00233108">
        <w:t xml:space="preserve">V případě prodlení </w:t>
      </w:r>
      <w:r w:rsidR="00204C36" w:rsidRPr="00233108">
        <w:t>zhotovitele</w:t>
      </w:r>
      <w:r w:rsidRPr="00233108">
        <w:t xml:space="preserve"> s předáním dodávky je </w:t>
      </w:r>
      <w:r w:rsidR="00204C36" w:rsidRPr="00233108">
        <w:t>zhotovitel</w:t>
      </w:r>
      <w:r w:rsidRPr="00233108">
        <w:t xml:space="preserve"> povinen zaplatit </w:t>
      </w:r>
      <w:r w:rsidR="00204C36" w:rsidRPr="00233108">
        <w:t>objednateli</w:t>
      </w:r>
      <w:r w:rsidRPr="00233108">
        <w:t xml:space="preserve"> smluvní pokutu ve výši 0,01 % z ceny </w:t>
      </w:r>
      <w:r w:rsidR="0063618A" w:rsidRPr="00233108">
        <w:t>dílčí dodávky</w:t>
      </w:r>
      <w:r w:rsidRPr="00233108">
        <w:t xml:space="preserve"> za každý započatý den prodlení. Zaplacením smluvní pokuty není dotčen nárok na náhradu škody.</w:t>
      </w:r>
    </w:p>
    <w:p w:rsidR="001D0781" w:rsidRPr="00384072" w:rsidRDefault="001D0781" w:rsidP="00E16248">
      <w:pPr>
        <w:pStyle w:val="Styl2"/>
        <w:rPr>
          <w:b/>
          <w:bCs/>
        </w:rPr>
      </w:pPr>
      <w:r w:rsidRPr="00384072">
        <w:t>Jiné smluvní pokuty nejsou přípustné.</w:t>
      </w:r>
    </w:p>
    <w:p w:rsidR="001D0781" w:rsidRPr="00384072" w:rsidRDefault="001D0781" w:rsidP="00E16248">
      <w:pPr>
        <w:pStyle w:val="Styl2"/>
      </w:pPr>
      <w:r w:rsidRPr="00384072">
        <w:t>Sankci (smluvní pokutu, úrok z prodlení) vyúčtuje oprávněná strana straně povinné písemnou formou. Strana povinná je povinna uhradit v</w:t>
      </w:r>
      <w:r w:rsidR="00E16248">
        <w:t>yúčtované sankce nejpozději do 3</w:t>
      </w:r>
      <w:r w:rsidRPr="00384072">
        <w:t>0 kalendářních dnů ode dne obdržení příslušného vyúčtování.</w:t>
      </w:r>
    </w:p>
    <w:p w:rsidR="001D0781" w:rsidRPr="00384072" w:rsidRDefault="001D0781" w:rsidP="00E16248">
      <w:pPr>
        <w:pStyle w:val="Nadpis1"/>
      </w:pPr>
      <w:r w:rsidRPr="00384072">
        <w:t xml:space="preserve">Další </w:t>
      </w:r>
      <w:r w:rsidRPr="00ED08B4">
        <w:t>ujednání</w:t>
      </w:r>
    </w:p>
    <w:p w:rsidR="001D0781" w:rsidRDefault="00204C36" w:rsidP="00306353">
      <w:pPr>
        <w:pStyle w:val="Styl2"/>
      </w:pPr>
      <w:r>
        <w:t>Zhotovitel</w:t>
      </w:r>
      <w:r w:rsidR="00F57EC7">
        <w:t xml:space="preserve"> </w:t>
      </w:r>
      <w:r w:rsidR="00E16248">
        <w:t xml:space="preserve">odpovídá </w:t>
      </w:r>
      <w:r w:rsidR="00E16248" w:rsidRPr="00E16248">
        <w:t xml:space="preserve">za to, že </w:t>
      </w:r>
      <w:r>
        <w:t>každá část díla bude dodána</w:t>
      </w:r>
      <w:r w:rsidR="00E16248" w:rsidRPr="00E16248">
        <w:t xml:space="preserve"> v takové jakosti a provedení, kter</w:t>
      </w:r>
      <w:r>
        <w:t>á zaručuje, že vlastnosti díla</w:t>
      </w:r>
      <w:r w:rsidR="00E16248" w:rsidRPr="00E16248">
        <w:t xml:space="preserve"> odpovídají platným předpisům a normám a je zabezpečeno řádné užívání </w:t>
      </w:r>
      <w:r>
        <w:t>díla</w:t>
      </w:r>
      <w:r w:rsidR="00E16248" w:rsidRPr="00E16248">
        <w:t xml:space="preserve"> ze strany </w:t>
      </w:r>
      <w:r>
        <w:t>objednatele</w:t>
      </w:r>
      <w:r w:rsidR="00E16248" w:rsidRPr="00E16248">
        <w:t>.</w:t>
      </w:r>
    </w:p>
    <w:p w:rsidR="001D0781" w:rsidRPr="00384072" w:rsidRDefault="00204C36" w:rsidP="00E16248">
      <w:pPr>
        <w:pStyle w:val="Styl2"/>
      </w:pPr>
      <w:r>
        <w:t>Zhotovitel</w:t>
      </w:r>
      <w:r w:rsidR="001D0781" w:rsidRPr="00384072">
        <w:t xml:space="preserve"> je povinen na žádost </w:t>
      </w:r>
      <w:r>
        <w:t>objednatele</w:t>
      </w:r>
      <w:r w:rsidR="001D0781" w:rsidRPr="00384072">
        <w:t xml:space="preserve"> či příslušného kontrolního orgánu poskytnout jako osoba povinná součinnost při výkonu finanční kontroly (viz 2 písm. e) zákona č. 320/2001 Sb., o finanční kontrole).</w:t>
      </w:r>
    </w:p>
    <w:p w:rsidR="001D0781" w:rsidRPr="00384072" w:rsidRDefault="001D0781" w:rsidP="00FF20FF">
      <w:pPr>
        <w:pStyle w:val="Styl2"/>
      </w:pPr>
      <w:r w:rsidRPr="00384072">
        <w:t xml:space="preserve">Kontaktní osobou </w:t>
      </w:r>
      <w:r w:rsidR="00204C36">
        <w:t>objednatele</w:t>
      </w:r>
      <w:r w:rsidRPr="00384072">
        <w:t xml:space="preserve"> ve věcech této smlouvy je</w:t>
      </w:r>
      <w:r w:rsidR="00B301B6">
        <w:rPr>
          <w:lang w:eastAsia="en-US"/>
        </w:rPr>
        <w:t xml:space="preserve"> </w:t>
      </w:r>
      <w:r w:rsidR="00506D83">
        <w:rPr>
          <w:lang w:eastAsia="en-US"/>
        </w:rPr>
        <w:t>xxxxx</w:t>
      </w:r>
      <w:r>
        <w:t xml:space="preserve">, </w:t>
      </w:r>
      <w:r w:rsidRPr="00384072">
        <w:t>tel.</w:t>
      </w:r>
      <w:r w:rsidR="001F3FDA">
        <w:rPr>
          <w:lang w:eastAsia="en-US"/>
        </w:rPr>
        <w:t xml:space="preserve"> </w:t>
      </w:r>
      <w:r w:rsidR="00506D83">
        <w:rPr>
          <w:lang w:eastAsia="en-US"/>
        </w:rPr>
        <w:t>xxxxx</w:t>
      </w:r>
      <w:r w:rsidRPr="00ED08B4">
        <w:t>, e-mail:</w:t>
      </w:r>
      <w:r w:rsidR="0052147F">
        <w:rPr>
          <w:lang w:eastAsia="en-US"/>
        </w:rPr>
        <w:t xml:space="preserve"> </w:t>
      </w:r>
      <w:r w:rsidR="00506D83">
        <w:rPr>
          <w:lang w:eastAsia="en-US"/>
        </w:rPr>
        <w:t xml:space="preserve">xxxxx. </w:t>
      </w:r>
    </w:p>
    <w:p w:rsidR="001D0781" w:rsidRPr="00384072" w:rsidRDefault="001D0781" w:rsidP="00E16248">
      <w:pPr>
        <w:pStyle w:val="Styl2"/>
      </w:pPr>
      <w:r w:rsidRPr="00384072">
        <w:t xml:space="preserve">Kontaktní osobou </w:t>
      </w:r>
      <w:r w:rsidR="00204C36">
        <w:t>zhotovitele</w:t>
      </w:r>
      <w:r w:rsidRPr="00384072">
        <w:t xml:space="preserve"> ve věc</w:t>
      </w:r>
      <w:r w:rsidR="00B301B6">
        <w:t xml:space="preserve">ech této smlouvy je </w:t>
      </w:r>
      <w:r w:rsidR="00506D83">
        <w:t>xxxxx</w:t>
      </w:r>
      <w:r w:rsidRPr="00384072">
        <w:t>, tel.</w:t>
      </w:r>
      <w:r w:rsidR="00B301B6">
        <w:t xml:space="preserve"> </w:t>
      </w:r>
      <w:r w:rsidR="00506D83">
        <w:t>xxxxx</w:t>
      </w:r>
      <w:r w:rsidR="00B301B6">
        <w:t xml:space="preserve">, </w:t>
      </w:r>
      <w:r w:rsidR="00506D83">
        <w:t>xxxxx</w:t>
      </w:r>
      <w:r w:rsidRPr="00384072">
        <w:t xml:space="preserve">, e-mail: </w:t>
      </w:r>
      <w:r w:rsidR="00506D83">
        <w:t>xxxxx</w:t>
      </w:r>
      <w:r>
        <w:t>.</w:t>
      </w:r>
    </w:p>
    <w:p w:rsidR="001D0781" w:rsidRPr="00E16248" w:rsidRDefault="001D0781" w:rsidP="00E16248">
      <w:pPr>
        <w:pStyle w:val="Nadpis1"/>
      </w:pPr>
      <w:r w:rsidRPr="00E16248">
        <w:t>Závěrečná ujednání</w:t>
      </w:r>
    </w:p>
    <w:p w:rsidR="001D0781" w:rsidRPr="002D5E17" w:rsidRDefault="001D0781" w:rsidP="00E16248">
      <w:pPr>
        <w:pStyle w:val="Styl2"/>
        <w:rPr>
          <w:b/>
          <w:bCs/>
        </w:rPr>
      </w:pPr>
      <w:r w:rsidRPr="00384072">
        <w:t xml:space="preserve">Právní vztahy touto smlouvou výslovně neupravené se řídí právním řádem České republiky, zejména </w:t>
      </w:r>
      <w:r w:rsidRPr="00233108">
        <w:t xml:space="preserve">ustanoveními </w:t>
      </w:r>
      <w:r w:rsidR="002D5E17" w:rsidRPr="00233108">
        <w:t xml:space="preserve">zákona č. 89/2012 Sb., </w:t>
      </w:r>
      <w:r w:rsidRPr="00233108">
        <w:t>občanského zákoníku.</w:t>
      </w:r>
    </w:p>
    <w:p w:rsidR="002D5E17" w:rsidRPr="00233108" w:rsidRDefault="002D5E17" w:rsidP="00E16248">
      <w:pPr>
        <w:pStyle w:val="Styl2"/>
        <w:rPr>
          <w:b/>
          <w:bCs/>
          <w:sz w:val="32"/>
        </w:rPr>
      </w:pPr>
      <w:r w:rsidRPr="00233108">
        <w:rPr>
          <w:szCs w:val="20"/>
        </w:rPr>
        <w:t>Jakékoliv změny nebo doplňky této smlouvy jsou možné pouze písemnými dodatky k této smlouvě, podepsanými oběma stranami.</w:t>
      </w:r>
    </w:p>
    <w:p w:rsidR="002D5E17" w:rsidRPr="00233108" w:rsidRDefault="002D5E17" w:rsidP="00E16248">
      <w:pPr>
        <w:pStyle w:val="Styl2"/>
        <w:rPr>
          <w:b/>
          <w:bCs/>
          <w:sz w:val="40"/>
        </w:rPr>
      </w:pPr>
      <w:r w:rsidRPr="00233108">
        <w:rPr>
          <w:szCs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8" w:history="1">
        <w:r w:rsidRPr="00233108">
          <w:rPr>
            <w:rStyle w:val="Hypertextovodkaz"/>
            <w:szCs w:val="20"/>
          </w:rPr>
          <w:t>www.nulk.cz</w:t>
        </w:r>
      </w:hyperlink>
      <w:r w:rsidRPr="00233108">
        <w:rPr>
          <w:szCs w:val="20"/>
        </w:rPr>
        <w:t>. Subjekt údajů podpisem smlouvy potvrzuje, že mu výše uvedené informace byly řádně poskytnuty a bere je na vědomí.</w:t>
      </w:r>
    </w:p>
    <w:p w:rsidR="0052147F" w:rsidRPr="00233108" w:rsidRDefault="0052147F" w:rsidP="00E16248">
      <w:pPr>
        <w:pStyle w:val="Styl2"/>
        <w:rPr>
          <w:b/>
          <w:bCs/>
          <w:sz w:val="32"/>
        </w:rPr>
      </w:pPr>
      <w:r w:rsidRPr="00233108">
        <w:rPr>
          <w:szCs w:val="20"/>
        </w:rPr>
        <w:t>Tato smlouva nabývá platnosti a účinnosti dnem jejího uzavření, nestanoví-li zvláštní právní předpis jinak.</w:t>
      </w:r>
    </w:p>
    <w:p w:rsidR="0052147F" w:rsidRPr="00233108" w:rsidRDefault="0052147F" w:rsidP="0052147F">
      <w:pPr>
        <w:pStyle w:val="Styl2"/>
        <w:rPr>
          <w:bCs/>
        </w:rPr>
      </w:pPr>
      <w:r w:rsidRPr="00233108">
        <w:rPr>
          <w:bCs/>
        </w:rPr>
        <w:t>NÚLK je povinným subjektem dle § 2 odst. 1 zákona č. 340/2016 Sb. o registru smluv ve znění pozdějších předpisů. Smluvní strany souhlasí bez výhrad s obsahem a údaji smlouvy pro účel zveřejnění a dohodly se, že smlouvu v registru smluv uveřejní NÚLK.</w:t>
      </w:r>
    </w:p>
    <w:p w:rsidR="001D0781" w:rsidRPr="00384072" w:rsidRDefault="001D0781" w:rsidP="00E16248">
      <w:pPr>
        <w:pStyle w:val="Styl2"/>
        <w:rPr>
          <w:b/>
          <w:bCs/>
        </w:rPr>
      </w:pPr>
      <w:r w:rsidRPr="00384072">
        <w:t xml:space="preserve">Pokud by bylo jedno z výše uvedených ustanovení zcela nebo zčásti právně neúčinné, zůstává tím nedotčena právní účinnost ostatních ustanovení. </w:t>
      </w:r>
    </w:p>
    <w:p w:rsidR="001D0781" w:rsidRPr="00384072" w:rsidRDefault="001D0781" w:rsidP="00E16248">
      <w:pPr>
        <w:pStyle w:val="Styl2"/>
        <w:rPr>
          <w:b/>
          <w:bCs/>
        </w:rPr>
      </w:pPr>
      <w:r w:rsidRPr="00384072">
        <w:t xml:space="preserve">Tato smlouva je vyhotovena ve 2 stejnopisech, z nichž každý má platnost originálu. </w:t>
      </w:r>
      <w:r w:rsidR="00204C36">
        <w:t>Zhotovitel</w:t>
      </w:r>
      <w:r w:rsidRPr="00384072">
        <w:t xml:space="preserve"> i </w:t>
      </w:r>
      <w:r w:rsidR="00204C36">
        <w:t>objednatel</w:t>
      </w:r>
      <w:r w:rsidRPr="00384072">
        <w:t xml:space="preserve"> obdrží po jednom jejím stejnopisu.</w:t>
      </w:r>
    </w:p>
    <w:p w:rsidR="001D0781" w:rsidRPr="00E16248" w:rsidRDefault="001D0781" w:rsidP="00E16248">
      <w:pPr>
        <w:pStyle w:val="Styl2"/>
      </w:pPr>
      <w:r w:rsidRPr="00E16248">
        <w:t>Smluvní strany si smlouvu přečetly, s jejím obsahem souhlasí, smlouva vyjadřuje pravou, svobodnou a vážnou vůli smluvních stran a na důkaz toho k ní smluvní strany připojují svůj podpis.</w:t>
      </w:r>
    </w:p>
    <w:p w:rsidR="001D0781" w:rsidRPr="00E16248" w:rsidRDefault="001D0781" w:rsidP="001D0781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1D0781" w:rsidRPr="00204C36" w:rsidRDefault="001D0781" w:rsidP="001D0781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204C36">
        <w:rPr>
          <w:rFonts w:ascii="Times New Roman" w:hAnsi="Times New Roman" w:cs="Times New Roman"/>
          <w:sz w:val="24"/>
          <w:szCs w:val="24"/>
          <w:lang w:eastAsia="cs-CZ"/>
        </w:rPr>
        <w:t>Přílohy smlouvy:</w:t>
      </w:r>
    </w:p>
    <w:p w:rsidR="001D0781" w:rsidRPr="00E16248" w:rsidRDefault="001D0781" w:rsidP="001D0781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204C36">
        <w:rPr>
          <w:rFonts w:ascii="Times New Roman" w:hAnsi="Times New Roman" w:cs="Times New Roman"/>
          <w:sz w:val="24"/>
          <w:szCs w:val="24"/>
          <w:lang w:eastAsia="cs-CZ"/>
        </w:rPr>
        <w:t xml:space="preserve">Příloha č. </w:t>
      </w:r>
      <w:r w:rsidR="00E16248" w:rsidRPr="00204C36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1F3FD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301B6">
        <w:rPr>
          <w:rFonts w:ascii="Times New Roman" w:hAnsi="Times New Roman" w:cs="Times New Roman"/>
          <w:sz w:val="24"/>
          <w:szCs w:val="24"/>
          <w:lang w:eastAsia="cs-CZ"/>
        </w:rPr>
        <w:t>Položkový rozpočet dle nabídky</w:t>
      </w:r>
    </w:p>
    <w:p w:rsidR="002D5E17" w:rsidRDefault="002D5E17" w:rsidP="001D0781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1D0781" w:rsidRPr="00E16248" w:rsidRDefault="001D0781" w:rsidP="001D0781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16248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506D83">
        <w:rPr>
          <w:rFonts w:ascii="Times New Roman" w:hAnsi="Times New Roman" w:cs="Times New Roman"/>
          <w:sz w:val="24"/>
          <w:szCs w:val="24"/>
          <w:lang w:eastAsia="cs-CZ"/>
        </w:rPr>
        <w:t>e Strážnici</w:t>
      </w:r>
      <w:r w:rsidR="00E16248" w:rsidRPr="00E1624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06D83">
        <w:rPr>
          <w:rFonts w:ascii="Times New Roman" w:hAnsi="Times New Roman" w:cs="Times New Roman"/>
          <w:sz w:val="24"/>
          <w:szCs w:val="24"/>
          <w:lang w:eastAsia="cs-CZ"/>
        </w:rPr>
        <w:t xml:space="preserve">dne 8. 4. 2021 </w:t>
      </w:r>
      <w:r w:rsidR="00506D8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06D8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06D8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06D8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06D83">
        <w:rPr>
          <w:rFonts w:ascii="Times New Roman" w:hAnsi="Times New Roman" w:cs="Times New Roman"/>
          <w:sz w:val="24"/>
          <w:szCs w:val="24"/>
          <w:lang w:eastAsia="cs-CZ"/>
        </w:rPr>
        <w:tab/>
        <w:t>Ve Starém Městě</w:t>
      </w:r>
      <w:r w:rsidR="00B301B6">
        <w:rPr>
          <w:rFonts w:ascii="Times New Roman" w:hAnsi="Times New Roman" w:cs="Times New Roman"/>
          <w:sz w:val="24"/>
          <w:szCs w:val="24"/>
          <w:lang w:eastAsia="cs-CZ"/>
        </w:rPr>
        <w:t xml:space="preserve"> dne </w:t>
      </w:r>
      <w:r w:rsidR="00506D83">
        <w:rPr>
          <w:rFonts w:ascii="Times New Roman" w:hAnsi="Times New Roman" w:cs="Times New Roman"/>
          <w:sz w:val="24"/>
          <w:szCs w:val="24"/>
          <w:lang w:eastAsia="cs-CZ"/>
        </w:rPr>
        <w:t xml:space="preserve">8. 4. 2021 </w:t>
      </w:r>
    </w:p>
    <w:p w:rsidR="001D0781" w:rsidRPr="00E16248" w:rsidRDefault="001D0781" w:rsidP="001D0781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1D0781" w:rsidRPr="00E16248" w:rsidRDefault="001D0781" w:rsidP="001D0781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1D0781" w:rsidRPr="00E16248" w:rsidRDefault="001D0781" w:rsidP="00E16248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E16248">
        <w:rPr>
          <w:rFonts w:ascii="Times New Roman" w:hAnsi="Times New Roman" w:cs="Times New Roman"/>
          <w:sz w:val="24"/>
          <w:szCs w:val="24"/>
          <w:lang w:eastAsia="cs-CZ"/>
        </w:rPr>
        <w:t>____________________</w:t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</w:t>
      </w:r>
    </w:p>
    <w:p w:rsidR="001D0781" w:rsidRPr="00E16248" w:rsidRDefault="00C96A3A" w:rsidP="00E162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Objednatel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D5E17" w:rsidRPr="00233108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204C36">
        <w:rPr>
          <w:rFonts w:ascii="Times New Roman" w:hAnsi="Times New Roman" w:cs="Times New Roman"/>
          <w:sz w:val="24"/>
          <w:szCs w:val="24"/>
          <w:lang w:eastAsia="cs-CZ"/>
        </w:rPr>
        <w:t>hotovitel</w:t>
      </w:r>
      <w:r w:rsidR="001D0781"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1F3FDA" w:rsidRPr="002D5E17" w:rsidRDefault="001D0781" w:rsidP="002D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 w:cs="Times New Roman"/>
          <w:sz w:val="24"/>
          <w:szCs w:val="24"/>
          <w:lang w:eastAsia="cs-CZ"/>
        </w:rPr>
        <w:tab/>
      </w:r>
      <w:bookmarkEnd w:id="2"/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233108" w:rsidRDefault="00233108" w:rsidP="001D0781">
      <w:pPr>
        <w:pStyle w:val="Obyejn"/>
        <w:rPr>
          <w:rFonts w:eastAsia="Calibri"/>
        </w:rPr>
      </w:pPr>
    </w:p>
    <w:p w:rsidR="001F3FDA" w:rsidRDefault="001F3FDA" w:rsidP="001D0781">
      <w:pPr>
        <w:pStyle w:val="Obyejn"/>
        <w:rPr>
          <w:rFonts w:eastAsia="Calibri"/>
        </w:rPr>
      </w:pPr>
      <w:r>
        <w:rPr>
          <w:rFonts w:eastAsia="Calibri"/>
        </w:rPr>
        <w:t>Přílohač.1</w:t>
      </w:r>
    </w:p>
    <w:p w:rsidR="001F3FDA" w:rsidRDefault="001F3FDA" w:rsidP="001D0781">
      <w:pPr>
        <w:pStyle w:val="Obyejn"/>
        <w:rPr>
          <w:rFonts w:eastAsia="Calibri"/>
        </w:rPr>
      </w:pPr>
    </w:p>
    <w:p w:rsidR="001F3FDA" w:rsidRDefault="001F3FDA" w:rsidP="001F3FDA">
      <w:pPr>
        <w:rPr>
          <w:b/>
        </w:rPr>
      </w:pPr>
      <w:r>
        <w:rPr>
          <w:b/>
        </w:rPr>
        <w:t>Národní ústav lidové kultury</w:t>
      </w:r>
    </w:p>
    <w:p w:rsidR="001F3FDA" w:rsidRDefault="001F3FDA" w:rsidP="001F3FDA">
      <w:pPr>
        <w:rPr>
          <w:b/>
        </w:rPr>
      </w:pPr>
      <w:r>
        <w:rPr>
          <w:b/>
        </w:rPr>
        <w:t>Výstava k 40. výročí otevření Muzea vesnice jihovýchodní Moravy a 100 od narození architektů Otakara Máčela a Jaroslava Vajdiše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1859"/>
        <w:gridCol w:w="1739"/>
        <w:gridCol w:w="1698"/>
        <w:gridCol w:w="1509"/>
      </w:tblGrid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položka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Počet ks/(hod.)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Cena za ks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Cena celkem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Cena vč. DPH</w:t>
            </w:r>
          </w:p>
        </w:tc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Fotografie zvětšeniny (smart X 10 mm, 60-90 cm)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120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Default="00506D83" w:rsidP="001F1B23">
            <w:r>
              <w:t>xxxxx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Informační panely k architektům a MVJVM (smart X 10 mm, 90 x 120 cm)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Rozvinuté pohledy – barevné reprodukce (smart X 10 mm, 65 x 200 cm)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Default="00506D83" w:rsidP="001F1B23">
            <w:r>
              <w:t>xxxxx</w:t>
            </w: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Popisek na stěnu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r>
              <w:t>124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506D83" w:rsidP="001F1B23">
            <w:r>
              <w:t>xxxxx</w:t>
            </w:r>
          </w:p>
        </w:tc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1F3FDA" w:rsidP="001F1B23">
            <w:r w:rsidRPr="008B46E7">
              <w:t>Úvodní</w:t>
            </w:r>
            <w:r>
              <w:t xml:space="preserve"> samolepící</w:t>
            </w:r>
            <w:r w:rsidRPr="008B46E7">
              <w:t xml:space="preserve"> plakát</w:t>
            </w:r>
            <w:r>
              <w:t xml:space="preserve"> ve vstupní místnosti 170 x 170 cm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1F3FDA" w:rsidP="001F1B23">
            <w:r w:rsidRPr="008B46E7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506D83" w:rsidP="001F1B23">
            <w:r>
              <w:t>xxxxx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506D83" w:rsidP="001F1B23">
            <w:r>
              <w:t>xxxxx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506D83" w:rsidP="001F1B23">
            <w:r>
              <w:t>xxxxx</w:t>
            </w:r>
          </w:p>
        </w:tc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1F3FDA" w:rsidP="001F1B23">
            <w:r w:rsidRPr="00D72DE9">
              <w:t>Informační tabule areál MVJVM (AL sendvič, tl.=3 mm sendvič 700 x 200 cm)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D72DE9" w:rsidRDefault="001F3FDA" w:rsidP="001F1B23">
            <w:r w:rsidRPr="00D72DE9"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D72DE9" w:rsidRDefault="00506D83" w:rsidP="001F1B23">
            <w:r>
              <w:t>xxxxx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506D83" w:rsidP="001F1B23">
            <w:r>
              <w:t>xxxxx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506D83" w:rsidP="00506D83">
            <w:r>
              <w:t>xxxxx</w:t>
            </w:r>
          </w:p>
        </w:tc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D72DE9" w:rsidRDefault="001F3FDA" w:rsidP="001F1B23">
            <w:r>
              <w:t>Grafická příprava a instalace výstavy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D72DE9" w:rsidRDefault="001F3FDA" w:rsidP="001F1B23"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D72DE9" w:rsidRDefault="00506D83" w:rsidP="001F1B23">
            <w:r>
              <w:t>xxxxx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Default="00506D83" w:rsidP="001F1B23">
            <w:r>
              <w:t>xxxxx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Default="00506D83" w:rsidP="001F1B23">
            <w:r>
              <w:t>xxxxx</w:t>
            </w:r>
          </w:p>
        </w:tc>
        <w:bookmarkStart w:id="3" w:name="_GoBack"/>
        <w:bookmarkEnd w:id="3"/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1F7D2C" w:rsidRDefault="001F3FDA" w:rsidP="001F1B23">
            <w:pPr>
              <w:rPr>
                <w:highlight w:val="yellow"/>
              </w:rPr>
            </w:pPr>
            <w:r w:rsidRPr="00D72DE9">
              <w:t>Videoprezentace – časová smyčka ve vestibulu MVJVM + prezenace na web a Faceboook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Default="001F3FDA" w:rsidP="001F1B23"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506D83" w:rsidP="001F1B23">
            <w:r>
              <w:t>xxxxx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506D83" w:rsidP="001F1B23">
            <w:r>
              <w:t>xxxxx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Pr="008B46E7" w:rsidRDefault="00506D83" w:rsidP="001F1B23">
            <w:r>
              <w:t>xxxxx</w:t>
            </w:r>
          </w:p>
        </w:tc>
      </w:tr>
      <w:tr w:rsidR="001F3FDA" w:rsidTr="001F1B2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Default="001F3FDA" w:rsidP="001F1B23">
            <w:pPr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A" w:rsidRDefault="001F3FDA" w:rsidP="001F1B23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pPr>
              <w:rPr>
                <w:b/>
              </w:rPr>
            </w:pPr>
            <w:r>
              <w:rPr>
                <w:b/>
              </w:rPr>
              <w:t>136875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A" w:rsidRDefault="001F3FDA" w:rsidP="001F1B23">
            <w:pPr>
              <w:rPr>
                <w:b/>
              </w:rPr>
            </w:pPr>
            <w:r>
              <w:rPr>
                <w:b/>
              </w:rPr>
              <w:t>165618,75</w:t>
            </w:r>
          </w:p>
        </w:tc>
      </w:tr>
    </w:tbl>
    <w:p w:rsidR="001F3FDA" w:rsidRDefault="001F3FDA" w:rsidP="001F3FDA"/>
    <w:p w:rsidR="001F3FDA" w:rsidRDefault="001F3FDA" w:rsidP="001D0781">
      <w:pPr>
        <w:pStyle w:val="Obyejn"/>
        <w:rPr>
          <w:rFonts w:eastAsia="Calibri"/>
        </w:rPr>
      </w:pPr>
    </w:p>
    <w:sectPr w:rsidR="001F3FDA" w:rsidSect="006255A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97" w:rsidRDefault="00A41E97" w:rsidP="00DB442A">
      <w:pPr>
        <w:spacing w:after="0" w:line="240" w:lineRule="auto"/>
      </w:pPr>
      <w:r>
        <w:separator/>
      </w:r>
    </w:p>
  </w:endnote>
  <w:endnote w:type="continuationSeparator" w:id="0">
    <w:p w:rsidR="00A41E97" w:rsidRDefault="00A41E97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C1" w:rsidRPr="00273E72" w:rsidRDefault="00CB74C1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="005A63BE"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="005A63BE"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506D83">
      <w:rPr>
        <w:rFonts w:ascii="Times New Roman" w:eastAsia="Calibri" w:hAnsi="Times New Roman" w:cs="Times New Roman"/>
        <w:noProof/>
        <w:sz w:val="18"/>
        <w:lang w:val="en-US"/>
      </w:rPr>
      <w:t>2</w:t>
    </w:r>
    <w:r w:rsidR="005A63BE"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="00506D83">
      <w:fldChar w:fldCharType="begin"/>
    </w:r>
    <w:r w:rsidR="00506D83">
      <w:instrText xml:space="preserve"> NUMPAGES   \* MERGEFORMAT </w:instrText>
    </w:r>
    <w:r w:rsidR="00506D83">
      <w:fldChar w:fldCharType="separate"/>
    </w:r>
    <w:r w:rsidR="00506D83" w:rsidRPr="00506D83">
      <w:rPr>
        <w:rFonts w:ascii="Times New Roman" w:eastAsia="Calibri" w:hAnsi="Times New Roman" w:cs="Times New Roman"/>
        <w:noProof/>
        <w:sz w:val="18"/>
        <w:lang w:val="en-US"/>
      </w:rPr>
      <w:t>5</w:t>
    </w:r>
    <w:r w:rsidR="00506D83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C1" w:rsidRPr="00273E72" w:rsidRDefault="00CB74C1" w:rsidP="00C511BA">
    <w:pPr>
      <w:pStyle w:val="Podnadpis"/>
    </w:pPr>
  </w:p>
  <w:p w:rsidR="00CB74C1" w:rsidRDefault="00CB7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97" w:rsidRDefault="00A41E97" w:rsidP="00DB442A">
      <w:pPr>
        <w:spacing w:after="0" w:line="240" w:lineRule="auto"/>
      </w:pPr>
      <w:r>
        <w:separator/>
      </w:r>
    </w:p>
  </w:footnote>
  <w:footnote w:type="continuationSeparator" w:id="0">
    <w:p w:rsidR="00A41E97" w:rsidRDefault="00A41E97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C1" w:rsidRPr="00DF3737" w:rsidRDefault="00CB74C1" w:rsidP="006255A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3734418"/>
    <w:multiLevelType w:val="hybridMultilevel"/>
    <w:tmpl w:val="9C2E22EA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15F8D"/>
    <w:multiLevelType w:val="multilevel"/>
    <w:tmpl w:val="D2BC1638"/>
    <w:lvl w:ilvl="0">
      <w:start w:val="1"/>
      <w:numFmt w:val="decimal"/>
      <w:pStyle w:val="Nadpis1"/>
      <w:lvlText w:val="%1."/>
      <w:lvlJc w:val="left"/>
      <w:pPr>
        <w:ind w:left="2837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DB7183"/>
    <w:multiLevelType w:val="multilevel"/>
    <w:tmpl w:val="49BC3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774AD"/>
    <w:rsid w:val="000C6FEA"/>
    <w:rsid w:val="001620DE"/>
    <w:rsid w:val="001676B0"/>
    <w:rsid w:val="001D0781"/>
    <w:rsid w:val="001D650C"/>
    <w:rsid w:val="001E5799"/>
    <w:rsid w:val="001F3FDA"/>
    <w:rsid w:val="00204C36"/>
    <w:rsid w:val="00205732"/>
    <w:rsid w:val="00211A83"/>
    <w:rsid w:val="00233108"/>
    <w:rsid w:val="00273E72"/>
    <w:rsid w:val="002B0351"/>
    <w:rsid w:val="002D5E17"/>
    <w:rsid w:val="002F4B60"/>
    <w:rsid w:val="00306353"/>
    <w:rsid w:val="00336C35"/>
    <w:rsid w:val="00397F76"/>
    <w:rsid w:val="003B4C3F"/>
    <w:rsid w:val="003B7977"/>
    <w:rsid w:val="003D41AA"/>
    <w:rsid w:val="003D6121"/>
    <w:rsid w:val="003F6577"/>
    <w:rsid w:val="00440700"/>
    <w:rsid w:val="0046080E"/>
    <w:rsid w:val="004D11D4"/>
    <w:rsid w:val="00506D83"/>
    <w:rsid w:val="00516DE6"/>
    <w:rsid w:val="00521289"/>
    <w:rsid w:val="0052147F"/>
    <w:rsid w:val="0054612C"/>
    <w:rsid w:val="00565435"/>
    <w:rsid w:val="00566F68"/>
    <w:rsid w:val="005704D2"/>
    <w:rsid w:val="005A63BE"/>
    <w:rsid w:val="005C00A7"/>
    <w:rsid w:val="0060000A"/>
    <w:rsid w:val="006058DA"/>
    <w:rsid w:val="00624D11"/>
    <w:rsid w:val="006255AD"/>
    <w:rsid w:val="0063618A"/>
    <w:rsid w:val="00645ECD"/>
    <w:rsid w:val="00672FC1"/>
    <w:rsid w:val="007C0FF0"/>
    <w:rsid w:val="007C17B2"/>
    <w:rsid w:val="00805680"/>
    <w:rsid w:val="00872667"/>
    <w:rsid w:val="008A50FB"/>
    <w:rsid w:val="008F283D"/>
    <w:rsid w:val="0096085E"/>
    <w:rsid w:val="0096385E"/>
    <w:rsid w:val="009B79DA"/>
    <w:rsid w:val="00A000EE"/>
    <w:rsid w:val="00A41E97"/>
    <w:rsid w:val="00A755B7"/>
    <w:rsid w:val="00A95ACF"/>
    <w:rsid w:val="00AC3217"/>
    <w:rsid w:val="00B301B6"/>
    <w:rsid w:val="00B60117"/>
    <w:rsid w:val="00B67A00"/>
    <w:rsid w:val="00B67DB9"/>
    <w:rsid w:val="00B85C2F"/>
    <w:rsid w:val="00BF1C64"/>
    <w:rsid w:val="00C1489B"/>
    <w:rsid w:val="00C511BA"/>
    <w:rsid w:val="00C774E2"/>
    <w:rsid w:val="00C96A3A"/>
    <w:rsid w:val="00CB74C1"/>
    <w:rsid w:val="00CC5FAD"/>
    <w:rsid w:val="00D1067A"/>
    <w:rsid w:val="00D33D13"/>
    <w:rsid w:val="00DB442A"/>
    <w:rsid w:val="00DF0BE5"/>
    <w:rsid w:val="00DF3737"/>
    <w:rsid w:val="00E16248"/>
    <w:rsid w:val="00E87C8D"/>
    <w:rsid w:val="00E937F3"/>
    <w:rsid w:val="00E964A8"/>
    <w:rsid w:val="00EA07AE"/>
    <w:rsid w:val="00F202B7"/>
    <w:rsid w:val="00F31C4C"/>
    <w:rsid w:val="00F57EC7"/>
    <w:rsid w:val="00F76CA1"/>
    <w:rsid w:val="00FA0D75"/>
    <w:rsid w:val="00FD5FA1"/>
    <w:rsid w:val="00FF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83728"/>
  <w15:docId w15:val="{F7D58EFD-E48A-4853-8FE5-371E930E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16248"/>
    <w:pPr>
      <w:keepNext/>
      <w:keepLines/>
      <w:numPr>
        <w:numId w:val="12"/>
      </w:numPr>
      <w:spacing w:before="480" w:after="120"/>
      <w:ind w:left="851"/>
      <w:outlineLvl w:val="0"/>
    </w:pPr>
    <w:rPr>
      <w:rFonts w:ascii="Times New Roman" w:eastAsiaTheme="majorEastAsia" w:hAnsi="Times New Roman" w:cs="Times New Roman"/>
      <w:b/>
      <w:bC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248"/>
    <w:rPr>
      <w:rFonts w:ascii="Times New Roman" w:eastAsiaTheme="majorEastAsia" w:hAnsi="Times New Roman" w:cs="Times New Roman"/>
      <w:b/>
      <w:bC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nadpis">
    <w:name w:val="Subtitle"/>
    <w:aliases w:val="Podstyl"/>
    <w:basedOn w:val="Styl2"/>
    <w:next w:val="Normln"/>
    <w:link w:val="PodnadpisChar"/>
    <w:qFormat/>
    <w:rsid w:val="00C511BA"/>
    <w:pPr>
      <w:numPr>
        <w:ilvl w:val="0"/>
        <w:numId w:val="0"/>
      </w:numPr>
      <w:ind w:left="851"/>
    </w:pPr>
  </w:style>
  <w:style w:type="character" w:customStyle="1" w:styleId="PodnadpisChar">
    <w:name w:val="Podnadpis Char"/>
    <w:aliases w:val="Podstyl Char"/>
    <w:basedOn w:val="Standardnpsmoodstavce"/>
    <w:link w:val="Podnadpis"/>
    <w:rsid w:val="00C511BA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16DE6"/>
    <w:rPr>
      <w:color w:val="808080"/>
    </w:rPr>
  </w:style>
  <w:style w:type="paragraph" w:customStyle="1" w:styleId="cislovanibezne">
    <w:name w:val="cislovani bezne"/>
    <w:basedOn w:val="Normln"/>
    <w:rsid w:val="0054612C"/>
    <w:pPr>
      <w:numPr>
        <w:numId w:val="29"/>
      </w:numPr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nzev">
    <w:name w:val="Podnázev"/>
    <w:basedOn w:val="Normln"/>
    <w:link w:val="PodnzevChar"/>
    <w:qFormat/>
    <w:rsid w:val="001D0781"/>
    <w:pPr>
      <w:spacing w:after="0"/>
      <w:jc w:val="center"/>
    </w:pPr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1D0781"/>
    <w:pPr>
      <w:spacing w:after="0"/>
      <w:jc w:val="center"/>
    </w:pPr>
    <w:rPr>
      <w:rFonts w:ascii="Arial" w:eastAsia="Calibri" w:hAnsi="Arial" w:cs="Arial"/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1D0781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NzevzakzkyChar">
    <w:name w:val="Název zakázky Char"/>
    <w:basedOn w:val="Standardnpsmoodstavce"/>
    <w:link w:val="Nzevzakzky"/>
    <w:rsid w:val="001D0781"/>
    <w:rPr>
      <w:rFonts w:ascii="Arial" w:eastAsia="Calibri" w:hAnsi="Arial" w:cs="Arial"/>
      <w:b/>
      <w:caps/>
      <w:color w:val="182C68"/>
      <w:sz w:val="44"/>
      <w:szCs w:val="44"/>
    </w:rPr>
  </w:style>
  <w:style w:type="paragraph" w:customStyle="1" w:styleId="Tabulka">
    <w:name w:val="Tabulka"/>
    <w:basedOn w:val="Normln"/>
    <w:link w:val="TabulkaChar"/>
    <w:qFormat/>
    <w:rsid w:val="001D0781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1D0781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1D0781"/>
    <w:pPr>
      <w:spacing w:after="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Styl11">
    <w:name w:val="Styl 1.1."/>
    <w:basedOn w:val="Styl1"/>
    <w:link w:val="Styl11Char"/>
    <w:qFormat/>
    <w:rsid w:val="001D0781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NzevdokumentuChar">
    <w:name w:val="Název dokumentu Char"/>
    <w:basedOn w:val="NzevChar"/>
    <w:link w:val="Nzevdokumentu"/>
    <w:rsid w:val="001D0781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Styl11Char">
    <w:name w:val="Styl 1.1. Char"/>
    <w:basedOn w:val="Styl1Char"/>
    <w:link w:val="Styl11"/>
    <w:rsid w:val="001D0781"/>
    <w:rPr>
      <w:rFonts w:ascii="Arial" w:eastAsia="Calibri" w:hAnsi="Arial" w:cs="Arial"/>
      <w:sz w:val="20"/>
      <w:szCs w:val="20"/>
    </w:rPr>
  </w:style>
  <w:style w:type="character" w:customStyle="1" w:styleId="odst">
    <w:name w:val="odst"/>
    <w:basedOn w:val="Standardnpsmoodstavce"/>
    <w:rsid w:val="00204C36"/>
  </w:style>
  <w:style w:type="paragraph" w:styleId="Textbubliny">
    <w:name w:val="Balloon Text"/>
    <w:basedOn w:val="Normln"/>
    <w:link w:val="TextbublinyChar"/>
    <w:uiPriority w:val="99"/>
    <w:semiHidden/>
    <w:unhideWhenUsed/>
    <w:rsid w:val="00F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D7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96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A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A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6537-6E35-444B-A87B-22DFB4C0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Johnova</dc:creator>
  <cp:lastModifiedBy>epodatelna</cp:lastModifiedBy>
  <cp:revision>2</cp:revision>
  <dcterms:created xsi:type="dcterms:W3CDTF">2021-04-08T12:35:00Z</dcterms:created>
  <dcterms:modified xsi:type="dcterms:W3CDTF">2021-04-08T12:35:00Z</dcterms:modified>
</cp:coreProperties>
</file>