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62F" w:rsidRDefault="00EF762F" w:rsidP="00EF762F">
      <w:pPr>
        <w:jc w:val="right"/>
        <w:rPr>
          <w:rFonts w:ascii="Arial" w:hAnsi="Arial" w:cs="Arial"/>
          <w:b/>
          <w:color w:val="000000"/>
          <w:spacing w:val="60"/>
        </w:rPr>
      </w:pPr>
      <w:r>
        <w:rPr>
          <w:rFonts w:ascii="Arial" w:hAnsi="Arial" w:cs="Arial"/>
        </w:rPr>
        <w:t xml:space="preserve">                 </w:t>
      </w:r>
    </w:p>
    <w:p w:rsidR="0014299F" w:rsidRPr="00584DB2" w:rsidRDefault="0014299F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84DB2">
        <w:rPr>
          <w:rFonts w:ascii="Arial" w:hAnsi="Arial" w:cs="Arial"/>
          <w:b/>
        </w:rPr>
        <w:t xml:space="preserve">                                                                                       </w:t>
      </w:r>
    </w:p>
    <w:p w:rsidR="00007E48" w:rsidRPr="00584DB2" w:rsidRDefault="00007E48" w:rsidP="0014299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4DB2">
        <w:rPr>
          <w:rFonts w:ascii="Arial" w:hAnsi="Arial" w:cs="Arial"/>
          <w:b/>
        </w:rPr>
        <w:t>S M L O U V A     č.</w:t>
      </w:r>
      <w:r w:rsidR="00627633">
        <w:rPr>
          <w:rFonts w:ascii="Arial" w:hAnsi="Arial" w:cs="Arial"/>
          <w:b/>
        </w:rPr>
        <w:t xml:space="preserve"> 7221091126</w:t>
      </w:r>
    </w:p>
    <w:p w:rsidR="00007E48" w:rsidRPr="00584DB2" w:rsidRDefault="00964790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poskytnutí </w:t>
      </w:r>
      <w:r w:rsidR="00792141">
        <w:rPr>
          <w:rFonts w:ascii="Arial" w:hAnsi="Arial" w:cs="Arial"/>
          <w:b/>
        </w:rPr>
        <w:t xml:space="preserve">neinvestiční </w:t>
      </w:r>
      <w:r w:rsidR="00007E48" w:rsidRPr="00584DB2">
        <w:rPr>
          <w:rFonts w:ascii="Arial" w:hAnsi="Arial" w:cs="Arial"/>
          <w:b/>
        </w:rPr>
        <w:t xml:space="preserve">dotace z </w:t>
      </w:r>
      <w:r w:rsidR="00E6797B">
        <w:rPr>
          <w:rFonts w:ascii="Arial" w:hAnsi="Arial" w:cs="Arial"/>
          <w:b/>
        </w:rPr>
        <w:t>rozpočtu města Brna pro rok 2021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84DB2">
        <w:rPr>
          <w:rFonts w:ascii="Arial" w:hAnsi="Arial" w:cs="Arial"/>
        </w:rPr>
        <w:t>_______________________________________________________________________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84DB2">
        <w:rPr>
          <w:rFonts w:ascii="Arial" w:hAnsi="Arial" w:cs="Arial"/>
          <w:b/>
          <w:bCs/>
        </w:rPr>
        <w:t>I.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84DB2">
        <w:rPr>
          <w:rFonts w:ascii="Arial" w:hAnsi="Arial" w:cs="Arial"/>
          <w:b/>
          <w:bCs/>
        </w:rPr>
        <w:t>Smluvní strany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 w:rsidRPr="00584DB2">
        <w:rPr>
          <w:rFonts w:ascii="Arial" w:hAnsi="Arial" w:cs="Arial"/>
          <w:b/>
        </w:rPr>
        <w:t>Poskytovatel:</w:t>
      </w:r>
      <w:r w:rsidRPr="00584DB2">
        <w:rPr>
          <w:rFonts w:ascii="Arial" w:hAnsi="Arial" w:cs="Arial"/>
          <w:b/>
        </w:rPr>
        <w:tab/>
      </w:r>
      <w:r w:rsidRPr="00584DB2">
        <w:rPr>
          <w:rFonts w:ascii="Arial" w:hAnsi="Arial" w:cs="Arial"/>
          <w:b/>
        </w:rPr>
        <w:tab/>
        <w:t>Statutární město Brno</w:t>
      </w:r>
    </w:p>
    <w:p w:rsidR="00007E48" w:rsidRPr="00584DB2" w:rsidRDefault="00B313FA" w:rsidP="00007E48">
      <w:pPr>
        <w:overflowPunct w:val="0"/>
        <w:autoSpaceDE w:val="0"/>
        <w:autoSpaceDN w:val="0"/>
        <w:adjustRightInd w:val="0"/>
        <w:ind w:left="1416" w:firstLine="708"/>
        <w:rPr>
          <w:rFonts w:ascii="Arial" w:hAnsi="Arial" w:cs="Arial"/>
        </w:rPr>
      </w:pPr>
      <w:r w:rsidRPr="00584DB2">
        <w:rPr>
          <w:rFonts w:ascii="Arial" w:hAnsi="Arial" w:cs="Arial"/>
        </w:rPr>
        <w:t>Dominikánské nám. 1, 602</w:t>
      </w:r>
      <w:r w:rsidR="00007E48" w:rsidRPr="00584DB2">
        <w:rPr>
          <w:rFonts w:ascii="Arial" w:hAnsi="Arial" w:cs="Arial"/>
        </w:rPr>
        <w:t xml:space="preserve"> </w:t>
      </w:r>
      <w:r w:rsidRPr="00584DB2">
        <w:rPr>
          <w:rFonts w:ascii="Arial" w:hAnsi="Arial" w:cs="Arial"/>
        </w:rPr>
        <w:t>00</w:t>
      </w:r>
      <w:r w:rsidR="00007E48" w:rsidRPr="00584DB2">
        <w:rPr>
          <w:rFonts w:ascii="Arial" w:hAnsi="Arial" w:cs="Arial"/>
        </w:rPr>
        <w:t xml:space="preserve"> Brno-střed</w:t>
      </w:r>
    </w:p>
    <w:p w:rsidR="00007E48" w:rsidRPr="00584DB2" w:rsidRDefault="00007E48" w:rsidP="00007E48">
      <w:pPr>
        <w:keepNext/>
        <w:overflowPunct w:val="0"/>
        <w:autoSpaceDE w:val="0"/>
        <w:autoSpaceDN w:val="0"/>
        <w:adjustRightInd w:val="0"/>
        <w:ind w:left="1416" w:firstLine="708"/>
        <w:outlineLvl w:val="0"/>
        <w:rPr>
          <w:rFonts w:ascii="Arial" w:hAnsi="Arial" w:cs="Arial"/>
        </w:rPr>
      </w:pPr>
      <w:r w:rsidRPr="00584DB2">
        <w:rPr>
          <w:rFonts w:ascii="Arial" w:hAnsi="Arial" w:cs="Arial"/>
        </w:rPr>
        <w:t>IČ</w:t>
      </w:r>
      <w:r w:rsidR="00792141">
        <w:rPr>
          <w:rFonts w:ascii="Arial" w:hAnsi="Arial" w:cs="Arial"/>
        </w:rPr>
        <w:t>O</w:t>
      </w:r>
      <w:r w:rsidRPr="00584DB2">
        <w:rPr>
          <w:rFonts w:ascii="Arial" w:hAnsi="Arial" w:cs="Arial"/>
        </w:rPr>
        <w:t>: 44992785</w:t>
      </w:r>
    </w:p>
    <w:p w:rsidR="00007E48" w:rsidRPr="005A4D71" w:rsidRDefault="00007E48" w:rsidP="00007E48">
      <w:pPr>
        <w:overflowPunct w:val="0"/>
        <w:autoSpaceDE w:val="0"/>
        <w:autoSpaceDN w:val="0"/>
        <w:adjustRightInd w:val="0"/>
        <w:ind w:left="1416" w:firstLine="708"/>
        <w:rPr>
          <w:rFonts w:ascii="Arial" w:hAnsi="Arial" w:cs="Arial"/>
          <w:color w:val="FF0000"/>
        </w:rPr>
      </w:pPr>
      <w:r w:rsidRPr="00584DB2">
        <w:rPr>
          <w:rFonts w:ascii="Arial" w:hAnsi="Arial" w:cs="Arial"/>
        </w:rPr>
        <w:t xml:space="preserve">Bankovní </w:t>
      </w:r>
      <w:r w:rsidRPr="00423EB0">
        <w:rPr>
          <w:rFonts w:ascii="Arial" w:hAnsi="Arial" w:cs="Arial"/>
          <w:color w:val="000000" w:themeColor="text1"/>
        </w:rPr>
        <w:t xml:space="preserve">spojení: </w:t>
      </w:r>
      <w:r w:rsidR="005A4D71" w:rsidRPr="00423EB0">
        <w:rPr>
          <w:rFonts w:ascii="Arial" w:hAnsi="Arial" w:cs="Arial"/>
          <w:color w:val="000000" w:themeColor="text1"/>
        </w:rPr>
        <w:t>Česká spořitelna, a.s., č.</w:t>
      </w:r>
      <w:r w:rsidR="00964790">
        <w:rPr>
          <w:rFonts w:ascii="Arial" w:hAnsi="Arial" w:cs="Arial"/>
          <w:color w:val="000000" w:themeColor="text1"/>
        </w:rPr>
        <w:t xml:space="preserve"> </w:t>
      </w:r>
      <w:proofErr w:type="spellStart"/>
      <w:r w:rsidR="00964790">
        <w:rPr>
          <w:rFonts w:ascii="Arial" w:hAnsi="Arial" w:cs="Arial"/>
          <w:color w:val="000000" w:themeColor="text1"/>
        </w:rPr>
        <w:t>ú.</w:t>
      </w:r>
      <w:proofErr w:type="spellEnd"/>
      <w:r w:rsidR="00964790">
        <w:rPr>
          <w:rFonts w:ascii="Arial" w:hAnsi="Arial" w:cs="Arial"/>
          <w:color w:val="000000" w:themeColor="text1"/>
        </w:rPr>
        <w:t xml:space="preserve"> </w:t>
      </w:r>
      <w:r w:rsidR="005A4D71" w:rsidRPr="00423EB0">
        <w:rPr>
          <w:rFonts w:ascii="Arial" w:hAnsi="Arial" w:cs="Arial"/>
          <w:color w:val="000000" w:themeColor="text1"/>
        </w:rPr>
        <w:t>111211222/0800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1416" w:firstLine="708"/>
        <w:rPr>
          <w:rFonts w:ascii="Arial" w:hAnsi="Arial" w:cs="Arial"/>
          <w:bCs/>
        </w:rPr>
      </w:pPr>
      <w:r w:rsidRPr="00584DB2">
        <w:rPr>
          <w:rFonts w:ascii="Arial" w:hAnsi="Arial" w:cs="Arial"/>
        </w:rPr>
        <w:t>zástupce:</w:t>
      </w:r>
      <w:r w:rsidR="0071642F" w:rsidRPr="00584DB2">
        <w:rPr>
          <w:rFonts w:ascii="Arial" w:hAnsi="Arial" w:cs="Arial"/>
        </w:rPr>
        <w:t xml:space="preserve"> </w:t>
      </w:r>
      <w:r w:rsidR="0071642F" w:rsidRPr="00584DB2">
        <w:rPr>
          <w:rFonts w:ascii="Arial" w:hAnsi="Arial" w:cs="Arial"/>
          <w:bCs/>
        </w:rPr>
        <w:t>JUDr. Markéta Vaňková</w:t>
      </w:r>
      <w:r w:rsidRPr="00584DB2">
        <w:rPr>
          <w:rFonts w:ascii="Arial" w:hAnsi="Arial" w:cs="Arial"/>
          <w:bCs/>
        </w:rPr>
        <w:t>, primátor</w:t>
      </w:r>
      <w:r w:rsidR="0071642F" w:rsidRPr="00584DB2">
        <w:rPr>
          <w:rFonts w:ascii="Arial" w:hAnsi="Arial" w:cs="Arial"/>
          <w:bCs/>
        </w:rPr>
        <w:t>ka</w:t>
      </w:r>
    </w:p>
    <w:p w:rsidR="00007E48" w:rsidRPr="00423EB0" w:rsidRDefault="00CA2C95" w:rsidP="00007E48">
      <w:pPr>
        <w:overflowPunct w:val="0"/>
        <w:autoSpaceDE w:val="0"/>
        <w:autoSpaceDN w:val="0"/>
        <w:adjustRightInd w:val="0"/>
        <w:ind w:left="2124"/>
        <w:rPr>
          <w:rFonts w:ascii="Arial" w:hAnsi="Arial" w:cs="Arial"/>
          <w:b/>
          <w:color w:val="000000" w:themeColor="text1"/>
        </w:rPr>
      </w:pPr>
      <w:r w:rsidRPr="00584DB2">
        <w:rPr>
          <w:rFonts w:ascii="Arial" w:hAnsi="Arial" w:cs="Arial"/>
        </w:rPr>
        <w:t>k podpisu smlouvy pověřen</w:t>
      </w:r>
      <w:r w:rsidR="0088513E">
        <w:rPr>
          <w:rFonts w:ascii="Arial" w:hAnsi="Arial" w:cs="Arial"/>
        </w:rPr>
        <w:t xml:space="preserve">: </w:t>
      </w:r>
      <w:r w:rsidR="00007E48" w:rsidRPr="00584DB2">
        <w:rPr>
          <w:rFonts w:ascii="Arial" w:hAnsi="Arial" w:cs="Arial"/>
        </w:rPr>
        <w:t>vedoucí Odboru sociální péče Magistrátu města</w:t>
      </w:r>
      <w:r w:rsidR="00007E48" w:rsidRPr="00584DB2">
        <w:rPr>
          <w:rFonts w:ascii="Arial" w:hAnsi="Arial" w:cs="Arial"/>
          <w:i/>
        </w:rPr>
        <w:t xml:space="preserve"> </w:t>
      </w:r>
      <w:r w:rsidR="00007E48" w:rsidRPr="00584DB2">
        <w:rPr>
          <w:rFonts w:ascii="Arial" w:hAnsi="Arial" w:cs="Arial"/>
        </w:rPr>
        <w:t>Brna</w:t>
      </w:r>
      <w:r w:rsidR="006E7FBD">
        <w:rPr>
          <w:rFonts w:ascii="Arial" w:hAnsi="Arial" w:cs="Arial"/>
        </w:rPr>
        <w:t xml:space="preserve">, </w:t>
      </w:r>
      <w:bookmarkStart w:id="0" w:name="_Hlk30566071"/>
      <w:r w:rsidR="006E7FBD">
        <w:rPr>
          <w:rFonts w:ascii="Arial" w:hAnsi="Arial" w:cs="Arial"/>
        </w:rPr>
        <w:t>v souladu s čl. 11 Zásad pro poskytování dotací z rozpočtu města Brna pro vyhlášené programy</w:t>
      </w:r>
    </w:p>
    <w:bookmarkEnd w:id="0"/>
    <w:p w:rsidR="00007E48" w:rsidRPr="00584DB2" w:rsidRDefault="00007E48" w:rsidP="00007E48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BB5C29" w:rsidRPr="00584DB2" w:rsidRDefault="00007E48" w:rsidP="00BB5C29">
      <w:pPr>
        <w:overflowPunct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</w:rPr>
      </w:pPr>
      <w:r w:rsidRPr="00584DB2">
        <w:rPr>
          <w:rFonts w:ascii="Arial" w:hAnsi="Arial" w:cs="Arial"/>
          <w:b/>
          <w:bCs/>
        </w:rPr>
        <w:t>Příjemce</w:t>
      </w:r>
      <w:r w:rsidR="00BB5C29">
        <w:rPr>
          <w:rFonts w:ascii="Arial" w:hAnsi="Arial" w:cs="Arial"/>
        </w:rPr>
        <w:t>:</w:t>
      </w:r>
      <w:r w:rsidR="00BB5C29">
        <w:rPr>
          <w:rFonts w:ascii="Arial" w:hAnsi="Arial" w:cs="Arial"/>
        </w:rPr>
        <w:tab/>
        <w:t xml:space="preserve">Společnost Podané ruce, o. p. s., datum a číslo registrace: 1. 1. 2014, O 674, vedená u KS Brno, </w:t>
      </w:r>
      <w:proofErr w:type="spellStart"/>
      <w:r w:rsidR="00BB5C29">
        <w:rPr>
          <w:rFonts w:ascii="Arial" w:hAnsi="Arial" w:cs="Arial"/>
        </w:rPr>
        <w:t>Hilleho</w:t>
      </w:r>
      <w:proofErr w:type="spellEnd"/>
      <w:r w:rsidR="00BB5C29">
        <w:rPr>
          <w:rFonts w:ascii="Arial" w:hAnsi="Arial" w:cs="Arial"/>
        </w:rPr>
        <w:t xml:space="preserve"> 1842/5, 602 00 Brno</w:t>
      </w:r>
      <w:r w:rsidR="00BB5C29" w:rsidRPr="00584DB2">
        <w:rPr>
          <w:rFonts w:ascii="Arial" w:hAnsi="Arial" w:cs="Arial"/>
        </w:rPr>
        <w:t>, IČ</w:t>
      </w:r>
      <w:r w:rsidR="00BB5C29">
        <w:rPr>
          <w:rFonts w:ascii="Arial" w:hAnsi="Arial" w:cs="Arial"/>
        </w:rPr>
        <w:t>O: 60557621, bankovní spojení: 2231107576/8040, zastoupená Bc. Pavlem Novákem, na zákl</w:t>
      </w:r>
      <w:r w:rsidR="00A02B7A">
        <w:rPr>
          <w:rFonts w:ascii="Arial" w:hAnsi="Arial" w:cs="Arial"/>
        </w:rPr>
        <w:t>adě plné moci ze dne 1. 8. 2018</w:t>
      </w:r>
    </w:p>
    <w:p w:rsidR="00007E48" w:rsidRDefault="00007E48" w:rsidP="00AD6FFC">
      <w:pPr>
        <w:overflowPunct w:val="0"/>
        <w:autoSpaceDE w:val="0"/>
        <w:autoSpaceDN w:val="0"/>
        <w:adjustRightInd w:val="0"/>
        <w:ind w:left="2127" w:hanging="1767"/>
        <w:jc w:val="both"/>
        <w:rPr>
          <w:rFonts w:ascii="Arial" w:hAnsi="Arial" w:cs="Arial"/>
        </w:rPr>
      </w:pPr>
    </w:p>
    <w:p w:rsidR="00AD6FFC" w:rsidRPr="00584DB2" w:rsidRDefault="00AD6FFC" w:rsidP="00AD6FFC">
      <w:pPr>
        <w:overflowPunct w:val="0"/>
        <w:autoSpaceDE w:val="0"/>
        <w:autoSpaceDN w:val="0"/>
        <w:adjustRightInd w:val="0"/>
        <w:ind w:left="2127" w:hanging="1767"/>
        <w:jc w:val="both"/>
        <w:rPr>
          <w:rFonts w:ascii="Arial" w:hAnsi="Arial" w:cs="Arial"/>
          <w:bCs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600"/>
        <w:jc w:val="both"/>
        <w:rPr>
          <w:rFonts w:ascii="Arial" w:hAnsi="Arial" w:cs="Arial"/>
          <w:bCs/>
        </w:rPr>
      </w:pPr>
      <w:r w:rsidRPr="00584DB2">
        <w:rPr>
          <w:rFonts w:ascii="Arial" w:hAnsi="Arial" w:cs="Arial"/>
          <w:bCs/>
        </w:rPr>
        <w:t>uzavřeli níže uvedeného dne, měsíce a roku v souladu s ustanovením § 159 zákona č. 500/2004 Sb., správní řád, ve znění pozdějších předpisů tuto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600"/>
        <w:jc w:val="both"/>
        <w:rPr>
          <w:rFonts w:ascii="Arial" w:hAnsi="Arial" w:cs="Arial"/>
          <w:bCs/>
        </w:rPr>
      </w:pPr>
    </w:p>
    <w:p w:rsidR="00007E48" w:rsidRPr="00584DB2" w:rsidRDefault="00964790" w:rsidP="00007E48">
      <w:pPr>
        <w:overflowPunct w:val="0"/>
        <w:autoSpaceDE w:val="0"/>
        <w:autoSpaceDN w:val="0"/>
        <w:adjustRightInd w:val="0"/>
        <w:ind w:left="6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smlouvu o poskytnutí </w:t>
      </w:r>
      <w:r w:rsidR="00A07293">
        <w:rPr>
          <w:rFonts w:ascii="Arial" w:hAnsi="Arial" w:cs="Arial"/>
          <w:b/>
          <w:bCs/>
        </w:rPr>
        <w:t>dotace z rozpočtu</w:t>
      </w:r>
      <w:r w:rsidR="00E6797B">
        <w:rPr>
          <w:rFonts w:ascii="Arial" w:hAnsi="Arial" w:cs="Arial"/>
          <w:b/>
          <w:bCs/>
        </w:rPr>
        <w:t xml:space="preserve"> města Brna pro rok 2021</w:t>
      </w:r>
      <w:r>
        <w:rPr>
          <w:rFonts w:ascii="Arial" w:hAnsi="Arial" w:cs="Arial"/>
          <w:b/>
          <w:bCs/>
        </w:rPr>
        <w:t>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600"/>
        <w:jc w:val="both"/>
        <w:rPr>
          <w:rFonts w:ascii="Arial" w:hAnsi="Arial" w:cs="Arial"/>
          <w:bCs/>
          <w:i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84DB2">
        <w:rPr>
          <w:rFonts w:ascii="Arial" w:hAnsi="Arial" w:cs="Arial"/>
          <w:b/>
          <w:bCs/>
        </w:rPr>
        <w:t>II.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84DB2">
        <w:rPr>
          <w:rFonts w:ascii="Arial" w:hAnsi="Arial" w:cs="Arial"/>
          <w:b/>
          <w:bCs/>
        </w:rPr>
        <w:t>Účel smlouvy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07E48" w:rsidRPr="00584DB2" w:rsidRDefault="00007E48" w:rsidP="00927A19">
      <w:pPr>
        <w:overflowPunct w:val="0"/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584DB2">
        <w:rPr>
          <w:rFonts w:ascii="Arial" w:hAnsi="Arial" w:cs="Arial"/>
          <w:bCs/>
        </w:rPr>
        <w:t>Účel</w:t>
      </w:r>
      <w:r w:rsidR="006E7FBD">
        <w:rPr>
          <w:rFonts w:ascii="Arial" w:hAnsi="Arial" w:cs="Arial"/>
          <w:bCs/>
        </w:rPr>
        <w:t>em smlouvy je poskytnutí</w:t>
      </w:r>
      <w:r w:rsidRPr="00584DB2">
        <w:rPr>
          <w:rFonts w:ascii="Arial" w:hAnsi="Arial" w:cs="Arial"/>
          <w:bCs/>
        </w:rPr>
        <w:t xml:space="preserve"> finanční podpory z rozpočtu statutárního města</w:t>
      </w:r>
      <w:r w:rsidR="00927A19">
        <w:rPr>
          <w:rFonts w:ascii="Arial" w:hAnsi="Arial" w:cs="Arial"/>
          <w:bCs/>
        </w:rPr>
        <w:t xml:space="preserve"> </w:t>
      </w:r>
      <w:r w:rsidRPr="00584DB2">
        <w:rPr>
          <w:rFonts w:ascii="Arial" w:hAnsi="Arial" w:cs="Arial"/>
          <w:bCs/>
        </w:rPr>
        <w:t xml:space="preserve">Brna ve formě dotace (dále jen dotace) k zajištění projektu </w:t>
      </w:r>
      <w:r w:rsidR="00B313FA" w:rsidRPr="00584DB2">
        <w:rPr>
          <w:rFonts w:ascii="Arial" w:hAnsi="Arial" w:cs="Arial"/>
          <w:bCs/>
        </w:rPr>
        <w:t xml:space="preserve">protidrogové </w:t>
      </w:r>
      <w:r w:rsidR="00E6797B">
        <w:rPr>
          <w:rFonts w:ascii="Arial" w:hAnsi="Arial" w:cs="Arial"/>
          <w:bCs/>
        </w:rPr>
        <w:t>prevence v Brně na rok 2021</w:t>
      </w:r>
      <w:r w:rsidR="009B7603" w:rsidRPr="00584DB2">
        <w:rPr>
          <w:rFonts w:ascii="Arial" w:hAnsi="Arial" w:cs="Arial"/>
          <w:bCs/>
        </w:rPr>
        <w:t>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84DB2">
        <w:rPr>
          <w:rFonts w:ascii="Arial" w:hAnsi="Arial" w:cs="Arial"/>
          <w:b/>
          <w:bCs/>
        </w:rPr>
        <w:t>III.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84DB2">
        <w:rPr>
          <w:rFonts w:ascii="Arial" w:hAnsi="Arial" w:cs="Arial"/>
          <w:b/>
          <w:bCs/>
        </w:rPr>
        <w:t>Předmět smlouvy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Default="00007E48" w:rsidP="006843E9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ab/>
        <w:t xml:space="preserve">Předmětem této smlouvy je poskytnutí </w:t>
      </w:r>
      <w:r w:rsidRPr="00584DB2">
        <w:rPr>
          <w:rFonts w:ascii="Arial" w:hAnsi="Arial" w:cs="Arial"/>
          <w:bCs/>
        </w:rPr>
        <w:t>dotace</w:t>
      </w:r>
      <w:r w:rsidRPr="00584DB2">
        <w:rPr>
          <w:rFonts w:ascii="Arial" w:hAnsi="Arial" w:cs="Arial"/>
        </w:rPr>
        <w:t xml:space="preserve"> za podmí</w:t>
      </w:r>
      <w:r w:rsidR="00927A19">
        <w:rPr>
          <w:rFonts w:ascii="Arial" w:hAnsi="Arial" w:cs="Arial"/>
        </w:rPr>
        <w:t>nek uvedených v této smlouvě ze </w:t>
      </w:r>
      <w:r w:rsidRPr="00584DB2">
        <w:rPr>
          <w:rFonts w:ascii="Arial" w:hAnsi="Arial" w:cs="Arial"/>
        </w:rPr>
        <w:t>schválen</w:t>
      </w:r>
      <w:r w:rsidR="00AD6FFC">
        <w:rPr>
          <w:rFonts w:ascii="Arial" w:hAnsi="Arial" w:cs="Arial"/>
        </w:rPr>
        <w:t>ých prostředků ORJ 7200, pol. 5221, § 3541 v</w:t>
      </w:r>
      <w:r w:rsidRPr="00584DB2">
        <w:rPr>
          <w:rFonts w:ascii="Arial" w:hAnsi="Arial" w:cs="Arial"/>
        </w:rPr>
        <w:t xml:space="preserve"> r</w:t>
      </w:r>
      <w:r w:rsidR="00E6797B">
        <w:rPr>
          <w:rFonts w:ascii="Arial" w:hAnsi="Arial" w:cs="Arial"/>
        </w:rPr>
        <w:t>ozpočtu města Brna na rok 2021</w:t>
      </w:r>
      <w:r w:rsidR="0071642F" w:rsidRPr="00584DB2">
        <w:rPr>
          <w:rFonts w:ascii="Arial" w:hAnsi="Arial" w:cs="Arial"/>
        </w:rPr>
        <w:t xml:space="preserve"> </w:t>
      </w:r>
      <w:r w:rsidR="00AD6FFC">
        <w:rPr>
          <w:rFonts w:ascii="Arial" w:hAnsi="Arial" w:cs="Arial"/>
        </w:rPr>
        <w:t xml:space="preserve">příjemci na Projekt </w:t>
      </w:r>
      <w:r w:rsidR="00F70F3F">
        <w:rPr>
          <w:rFonts w:ascii="Arial" w:hAnsi="Arial" w:cs="Arial"/>
        </w:rPr>
        <w:t>č. 15</w:t>
      </w:r>
      <w:r w:rsidR="0054150A">
        <w:rPr>
          <w:rFonts w:ascii="Arial" w:hAnsi="Arial" w:cs="Arial"/>
        </w:rPr>
        <w:t xml:space="preserve"> </w:t>
      </w:r>
      <w:r w:rsidR="00EC62EE">
        <w:rPr>
          <w:rFonts w:ascii="Arial" w:hAnsi="Arial" w:cs="Arial"/>
        </w:rPr>
        <w:t>s </w:t>
      </w:r>
      <w:r w:rsidR="00D86213">
        <w:rPr>
          <w:rFonts w:ascii="Arial" w:hAnsi="Arial" w:cs="Arial"/>
        </w:rPr>
        <w:t>n</w:t>
      </w:r>
      <w:r w:rsidR="00F70F3F">
        <w:rPr>
          <w:rFonts w:ascii="Arial" w:hAnsi="Arial" w:cs="Arial"/>
        </w:rPr>
        <w:t>ázvem „Centrum prevence v Brně – Vyloučené lokality</w:t>
      </w:r>
      <w:r w:rsidR="0052510D">
        <w:rPr>
          <w:rFonts w:ascii="Arial" w:hAnsi="Arial" w:cs="Arial"/>
        </w:rPr>
        <w:t>.</w:t>
      </w:r>
      <w:r w:rsidR="0054150A">
        <w:rPr>
          <w:rFonts w:ascii="Arial" w:hAnsi="Arial" w:cs="Arial"/>
        </w:rPr>
        <w:t>“</w:t>
      </w:r>
    </w:p>
    <w:p w:rsidR="00AD6FFC" w:rsidRPr="00584DB2" w:rsidRDefault="00AD6FFC" w:rsidP="006843E9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center"/>
        <w:rPr>
          <w:rFonts w:ascii="Arial" w:hAnsi="Arial" w:cs="Arial"/>
          <w:b/>
        </w:rPr>
      </w:pPr>
      <w:r w:rsidRPr="00584DB2">
        <w:rPr>
          <w:rFonts w:ascii="Arial" w:hAnsi="Arial" w:cs="Arial"/>
          <w:b/>
        </w:rPr>
        <w:t>IV.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center"/>
        <w:rPr>
          <w:rFonts w:ascii="Arial" w:hAnsi="Arial" w:cs="Arial"/>
          <w:b/>
        </w:rPr>
      </w:pPr>
      <w:r w:rsidRPr="00584DB2">
        <w:rPr>
          <w:rFonts w:ascii="Arial" w:hAnsi="Arial" w:cs="Arial"/>
          <w:b/>
        </w:rPr>
        <w:t>Výše dotace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center"/>
        <w:rPr>
          <w:rFonts w:ascii="Arial" w:hAnsi="Arial" w:cs="Arial"/>
          <w:b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ab/>
        <w:t xml:space="preserve">Usnesením </w:t>
      </w:r>
      <w:r w:rsidRPr="00423EB0">
        <w:rPr>
          <w:rFonts w:ascii="Arial" w:hAnsi="Arial" w:cs="Arial"/>
          <w:color w:val="000000" w:themeColor="text1"/>
        </w:rPr>
        <w:t>zased</w:t>
      </w:r>
      <w:r w:rsidR="009B7603" w:rsidRPr="00423EB0">
        <w:rPr>
          <w:rFonts w:ascii="Arial" w:hAnsi="Arial" w:cs="Arial"/>
          <w:color w:val="000000" w:themeColor="text1"/>
        </w:rPr>
        <w:t xml:space="preserve">ání </w:t>
      </w:r>
      <w:r w:rsidR="005A4D71" w:rsidRPr="00423EB0">
        <w:rPr>
          <w:rFonts w:ascii="Arial" w:hAnsi="Arial" w:cs="Arial"/>
          <w:color w:val="000000" w:themeColor="text1"/>
        </w:rPr>
        <w:t>Z</w:t>
      </w:r>
      <w:r w:rsidR="009B7603" w:rsidRPr="00423EB0">
        <w:rPr>
          <w:rFonts w:ascii="Arial" w:hAnsi="Arial" w:cs="Arial"/>
          <w:color w:val="000000" w:themeColor="text1"/>
        </w:rPr>
        <w:t>astupitelstva</w:t>
      </w:r>
      <w:r w:rsidR="009B7603" w:rsidRPr="00584DB2">
        <w:rPr>
          <w:rFonts w:ascii="Arial" w:hAnsi="Arial" w:cs="Arial"/>
        </w:rPr>
        <w:t xml:space="preserve"> města Brna Z8</w:t>
      </w:r>
      <w:r w:rsidR="00E6797B">
        <w:rPr>
          <w:rFonts w:ascii="Arial" w:hAnsi="Arial" w:cs="Arial"/>
        </w:rPr>
        <w:t>/25</w:t>
      </w:r>
      <w:r w:rsidRPr="00584DB2">
        <w:rPr>
          <w:rFonts w:ascii="Arial" w:hAnsi="Arial" w:cs="Arial"/>
        </w:rPr>
        <w:t xml:space="preserve"> konaného ode dn</w:t>
      </w:r>
      <w:r w:rsidR="0071642F" w:rsidRPr="00584DB2">
        <w:rPr>
          <w:rFonts w:ascii="Arial" w:hAnsi="Arial" w:cs="Arial"/>
        </w:rPr>
        <w:t>e</w:t>
      </w:r>
      <w:r w:rsidR="00E6797B">
        <w:rPr>
          <w:rFonts w:ascii="Arial" w:hAnsi="Arial" w:cs="Arial"/>
        </w:rPr>
        <w:t xml:space="preserve"> 23. 3</w:t>
      </w:r>
      <w:r w:rsidR="00927A19">
        <w:rPr>
          <w:rFonts w:ascii="Arial" w:hAnsi="Arial" w:cs="Arial"/>
        </w:rPr>
        <w:t>.</w:t>
      </w:r>
      <w:r w:rsidR="00BE1AE4">
        <w:rPr>
          <w:rFonts w:ascii="Arial" w:hAnsi="Arial" w:cs="Arial"/>
        </w:rPr>
        <w:t xml:space="preserve"> </w:t>
      </w:r>
      <w:r w:rsidR="00E6797B">
        <w:rPr>
          <w:rFonts w:ascii="Arial" w:hAnsi="Arial" w:cs="Arial"/>
        </w:rPr>
        <w:t>2021</w:t>
      </w:r>
      <w:r w:rsidRPr="00584DB2">
        <w:rPr>
          <w:rFonts w:ascii="Arial" w:hAnsi="Arial" w:cs="Arial"/>
        </w:rPr>
        <w:t xml:space="preserve"> bylo příjemci schváleno poskytnutí neinvestiční dotace </w:t>
      </w:r>
      <w:r w:rsidR="00F70F3F">
        <w:rPr>
          <w:rFonts w:ascii="Arial" w:hAnsi="Arial" w:cs="Arial"/>
          <w:b/>
          <w:u w:val="single"/>
        </w:rPr>
        <w:t>v celkové výši 300</w:t>
      </w:r>
      <w:r w:rsidR="00E6797B">
        <w:rPr>
          <w:rFonts w:ascii="Arial" w:hAnsi="Arial" w:cs="Arial"/>
          <w:b/>
          <w:u w:val="single"/>
        </w:rPr>
        <w:t xml:space="preserve"> </w:t>
      </w:r>
      <w:r w:rsidRPr="00584DB2">
        <w:rPr>
          <w:rFonts w:ascii="Arial" w:hAnsi="Arial" w:cs="Arial"/>
          <w:b/>
          <w:u w:val="single"/>
        </w:rPr>
        <w:t xml:space="preserve">000,- Kč. </w:t>
      </w:r>
      <w:r w:rsidR="00AD6FFC">
        <w:rPr>
          <w:rFonts w:ascii="Arial" w:hAnsi="Arial" w:cs="Arial"/>
        </w:rPr>
        <w:t xml:space="preserve">(slovy: </w:t>
      </w:r>
      <w:proofErr w:type="spellStart"/>
      <w:r w:rsidR="00F70F3F">
        <w:rPr>
          <w:rFonts w:ascii="Arial" w:hAnsi="Arial" w:cs="Arial"/>
        </w:rPr>
        <w:t>třista</w:t>
      </w:r>
      <w:r w:rsidR="0054150A">
        <w:rPr>
          <w:rFonts w:ascii="Arial" w:hAnsi="Arial" w:cs="Arial"/>
        </w:rPr>
        <w:t>tisíc</w:t>
      </w:r>
      <w:r w:rsidR="00AD6FFC">
        <w:rPr>
          <w:rFonts w:ascii="Arial" w:hAnsi="Arial" w:cs="Arial"/>
        </w:rPr>
        <w:t>korun</w:t>
      </w:r>
      <w:proofErr w:type="spellEnd"/>
      <w:r w:rsidR="00AD6FFC">
        <w:rPr>
          <w:rFonts w:ascii="Arial" w:hAnsi="Arial" w:cs="Arial"/>
        </w:rPr>
        <w:t xml:space="preserve"> českých), a to na realizaci projektu.</w:t>
      </w:r>
    </w:p>
    <w:p w:rsidR="00007E48" w:rsidRPr="00584DB2" w:rsidRDefault="00007E48" w:rsidP="006843E9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4DB2">
        <w:rPr>
          <w:rFonts w:ascii="Arial" w:hAnsi="Arial" w:cs="Arial"/>
          <w:b/>
        </w:rPr>
        <w:t>V.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4DB2">
        <w:rPr>
          <w:rFonts w:ascii="Arial" w:hAnsi="Arial" w:cs="Arial"/>
          <w:b/>
        </w:rPr>
        <w:t>Podmínky použití dotace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5.1</w:t>
      </w:r>
      <w:r w:rsidRPr="00584DB2">
        <w:rPr>
          <w:rFonts w:ascii="Arial" w:hAnsi="Arial" w:cs="Arial"/>
        </w:rPr>
        <w:tab/>
        <w:t xml:space="preserve">Prostředky dotace budou po podpisu smlouvy poukázány bankovním převodem na účet příjemce ve lhůtě nejpozději do 30 dnů ode dne podpisu této smlouvy oběma smluvními stranami. 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/>
        <w:jc w:val="both"/>
        <w:rPr>
          <w:rFonts w:ascii="Arial" w:hAnsi="Arial" w:cs="Arial"/>
          <w:i/>
        </w:rPr>
      </w:pPr>
      <w:r w:rsidRPr="00584DB2">
        <w:rPr>
          <w:rFonts w:ascii="Arial" w:hAnsi="Arial" w:cs="Arial"/>
        </w:rPr>
        <w:t>Podmínkou převodu dotace je předložení vyúčtování dotace minulého roku.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5.2</w:t>
      </w:r>
      <w:r w:rsidRPr="00584DB2">
        <w:rPr>
          <w:rFonts w:ascii="Arial" w:hAnsi="Arial" w:cs="Arial"/>
          <w:b/>
        </w:rPr>
        <w:tab/>
      </w:r>
      <w:r w:rsidRPr="00584DB2">
        <w:rPr>
          <w:rFonts w:ascii="Arial" w:hAnsi="Arial" w:cs="Arial"/>
        </w:rPr>
        <w:t>Příjemce dotaci přijímá a zavazuje se použít dotaci m</w:t>
      </w:r>
      <w:r w:rsidR="00927A19">
        <w:rPr>
          <w:rFonts w:ascii="Arial" w:hAnsi="Arial" w:cs="Arial"/>
        </w:rPr>
        <w:t>aximálně hospodárným způsobem a </w:t>
      </w:r>
      <w:r w:rsidRPr="00584DB2">
        <w:rPr>
          <w:rFonts w:ascii="Arial" w:hAnsi="Arial" w:cs="Arial"/>
        </w:rPr>
        <w:t xml:space="preserve">výhradně k účelu, pro který byla schválena. Za dodržení účelu, na který byla dotace poskytnuta, a za pravdivost i správnost kompletního závěrečného finančního vyúčtování </w:t>
      </w:r>
      <w:r w:rsidRPr="00584DB2">
        <w:rPr>
          <w:rFonts w:ascii="Arial" w:hAnsi="Arial" w:cs="Arial"/>
        </w:rPr>
        <w:lastRenderedPageBreak/>
        <w:t>odpovídá osoba oprávněná jednat jménem příjemce, která tuto skutečnost na vyúčtování písemně potvrdí.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5.3</w:t>
      </w:r>
      <w:r w:rsidRPr="00584DB2">
        <w:rPr>
          <w:rFonts w:ascii="Arial" w:hAnsi="Arial" w:cs="Arial"/>
        </w:rPr>
        <w:tab/>
        <w:t>Předmětná dotace je určena k úhradě nákladů spojených s realizací projektu </w:t>
      </w:r>
      <w:r w:rsidR="00B313FA" w:rsidRPr="00584DB2">
        <w:rPr>
          <w:rFonts w:ascii="Arial" w:hAnsi="Arial" w:cs="Arial"/>
        </w:rPr>
        <w:t>protidrogové prevence</w:t>
      </w:r>
      <w:r w:rsidRPr="00584DB2">
        <w:rPr>
          <w:rFonts w:ascii="Arial" w:hAnsi="Arial" w:cs="Arial"/>
        </w:rPr>
        <w:t xml:space="preserve"> na území města Brna v souladu s předloženou žádostí. </w:t>
      </w:r>
      <w:r w:rsidR="006843E9">
        <w:rPr>
          <w:rFonts w:ascii="Arial" w:hAnsi="Arial" w:cs="Arial"/>
        </w:rPr>
        <w:t xml:space="preserve">Za uznatelné náklady se považují ty náklady, které věcně a časově souvisejí s realizací projektu v období </w:t>
      </w:r>
      <w:r w:rsidR="008D4CBF">
        <w:rPr>
          <w:rFonts w:ascii="Arial" w:hAnsi="Arial" w:cs="Arial"/>
        </w:rPr>
        <w:t>od 1. 1. do 31. </w:t>
      </w:r>
      <w:r w:rsidR="006843E9">
        <w:rPr>
          <w:rFonts w:ascii="Arial" w:hAnsi="Arial" w:cs="Arial"/>
        </w:rPr>
        <w:t>12. příslušného roku, na který jsou finanční prostředky poskytnuty. Za uznatelné výdaje lze považovat rovněž výdaje, které byly vyplaceny po 31. 12. příslušného roku</w:t>
      </w:r>
      <w:r w:rsidR="008D4CBF">
        <w:rPr>
          <w:rFonts w:ascii="Arial" w:hAnsi="Arial" w:cs="Arial"/>
        </w:rPr>
        <w:t>, za předpokladu, že náklad věcně a časově souvisí s obdobím do 31. 12. (např. mzdy za prosinec, vyplacené v lednu následujícího roku).</w:t>
      </w:r>
    </w:p>
    <w:p w:rsidR="00407DBC" w:rsidRPr="00423EB0" w:rsidRDefault="00407DBC" w:rsidP="00407DBC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 w:themeColor="text1"/>
        </w:rPr>
      </w:pPr>
    </w:p>
    <w:p w:rsidR="00407DBC" w:rsidRPr="00423EB0" w:rsidRDefault="00407DBC" w:rsidP="00407DBC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 xml:space="preserve">5.4.      </w:t>
      </w:r>
      <w:r w:rsidRPr="00423EB0">
        <w:rPr>
          <w:rFonts w:ascii="Arial" w:hAnsi="Arial" w:cs="Arial"/>
          <w:color w:val="000000" w:themeColor="text1"/>
        </w:rPr>
        <w:tab/>
        <w:t>Z poskytnuté dotace nelze hradit tyto náklady (neuznatelné náklady):</w:t>
      </w:r>
    </w:p>
    <w:p w:rsidR="00407DBC" w:rsidRPr="00423EB0" w:rsidRDefault="00407DBC" w:rsidP="00407DBC">
      <w:pPr>
        <w:pStyle w:val="Zkladntextodsazen"/>
        <w:numPr>
          <w:ilvl w:val="1"/>
          <w:numId w:val="2"/>
        </w:numPr>
        <w:ind w:left="993" w:hanging="284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>na pořízení nebo technické zhodnocení dlouhodobého hmotného a nehmotného majetku (dlouhodobým hmotným majetkem se rozumí majetek, jehož doba použitelnosti je delší než jeden rok a vstupní cena vyšší než 40.000,- Kč, dlouhodobým nehmotným majetkem se rozumí majetek, jehož doba použitelnosti je delší než jeden rok a vstupní cena vyšší než 60.000,- Kč),</w:t>
      </w:r>
    </w:p>
    <w:p w:rsidR="00407DBC" w:rsidRPr="00423EB0" w:rsidRDefault="00407DBC" w:rsidP="00407DBC">
      <w:pPr>
        <w:pStyle w:val="Zkladntextodsazen"/>
        <w:numPr>
          <w:ilvl w:val="1"/>
          <w:numId w:val="2"/>
        </w:numPr>
        <w:ind w:left="993" w:hanging="284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>odpisy majetku a ostatní náklady spadající pod účtovou skupi</w:t>
      </w:r>
      <w:r w:rsidR="00927A19">
        <w:rPr>
          <w:rFonts w:ascii="Arial" w:hAnsi="Arial" w:cs="Arial"/>
          <w:color w:val="000000" w:themeColor="text1"/>
          <w:sz w:val="20"/>
        </w:rPr>
        <w:t>nu číslo 55 – odpisy, rezervy a </w:t>
      </w:r>
      <w:r w:rsidRPr="00423EB0">
        <w:rPr>
          <w:rFonts w:ascii="Arial" w:hAnsi="Arial" w:cs="Arial"/>
          <w:color w:val="000000" w:themeColor="text1"/>
          <w:sz w:val="20"/>
        </w:rPr>
        <w:t>opravné položky,</w:t>
      </w:r>
    </w:p>
    <w:p w:rsidR="00407DBC" w:rsidRPr="00423EB0" w:rsidRDefault="00407DBC" w:rsidP="00407DBC">
      <w:pPr>
        <w:pStyle w:val="Zkladntextodsazen"/>
        <w:numPr>
          <w:ilvl w:val="1"/>
          <w:numId w:val="2"/>
        </w:numPr>
        <w:ind w:left="993" w:hanging="284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 xml:space="preserve">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</w:t>
      </w:r>
      <w:r w:rsidR="00927A19">
        <w:rPr>
          <w:rFonts w:ascii="Arial" w:hAnsi="Arial" w:cs="Arial"/>
          <w:color w:val="000000" w:themeColor="text1"/>
          <w:sz w:val="20"/>
        </w:rPr>
        <w:t>na </w:t>
      </w:r>
      <w:r w:rsidRPr="00423EB0">
        <w:rPr>
          <w:rFonts w:ascii="Arial" w:hAnsi="Arial" w:cs="Arial"/>
          <w:color w:val="000000" w:themeColor="text1"/>
          <w:sz w:val="20"/>
        </w:rPr>
        <w:t>rekreaci apod.),</w:t>
      </w:r>
    </w:p>
    <w:p w:rsidR="00407DBC" w:rsidRPr="00423EB0" w:rsidRDefault="00407DBC" w:rsidP="00407DBC">
      <w:pPr>
        <w:pStyle w:val="Zkladntextodsazen"/>
        <w:numPr>
          <w:ilvl w:val="1"/>
          <w:numId w:val="2"/>
        </w:numPr>
        <w:ind w:left="993" w:hanging="284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>daně a poplatky – účtová skupina 53 – daň silniční, daň z </w:t>
      </w:r>
      <w:r w:rsidR="00927A19">
        <w:rPr>
          <w:rFonts w:ascii="Arial" w:hAnsi="Arial" w:cs="Arial"/>
          <w:color w:val="000000" w:themeColor="text1"/>
          <w:sz w:val="20"/>
        </w:rPr>
        <w:t>nemovitých věcí, ostatní daně a </w:t>
      </w:r>
      <w:r w:rsidRPr="00423EB0">
        <w:rPr>
          <w:rFonts w:ascii="Arial" w:hAnsi="Arial" w:cs="Arial"/>
          <w:color w:val="000000" w:themeColor="text1"/>
          <w:sz w:val="20"/>
        </w:rPr>
        <w:t>poplatky (správní poplatky, poplatky za znečištění ovzduší, poplatky za televizi a rozhlas apod.),</w:t>
      </w:r>
    </w:p>
    <w:p w:rsidR="00407DBC" w:rsidRPr="00423EB0" w:rsidRDefault="00407DBC" w:rsidP="00407DBC">
      <w:pPr>
        <w:pStyle w:val="Zkladntextodsazen"/>
        <w:numPr>
          <w:ilvl w:val="1"/>
          <w:numId w:val="2"/>
        </w:numPr>
        <w:ind w:left="993" w:hanging="284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>DPH, o jejíž vrácení je možné podle příslušného právního předpisu žádat,</w:t>
      </w:r>
    </w:p>
    <w:p w:rsidR="00407DBC" w:rsidRPr="00423EB0" w:rsidRDefault="00407DBC" w:rsidP="00407DBC">
      <w:pPr>
        <w:pStyle w:val="Zkladntextodsazen"/>
        <w:numPr>
          <w:ilvl w:val="1"/>
          <w:numId w:val="2"/>
        </w:numPr>
        <w:ind w:left="993" w:hanging="284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>smluvní pokuty, úroky z prodlení, ostatní pokuty a penále, odpisy nedobytných pohledávek, úroky, kursové ztráty, dary, manka a škody, jiné ostatní náklady spadající pod účtovou skupinu 54,</w:t>
      </w:r>
    </w:p>
    <w:p w:rsidR="00407DBC" w:rsidRPr="00423EB0" w:rsidRDefault="00407DBC" w:rsidP="00407DBC">
      <w:pPr>
        <w:pStyle w:val="Zkladntextodsazen"/>
        <w:numPr>
          <w:ilvl w:val="1"/>
          <w:numId w:val="2"/>
        </w:numPr>
        <w:ind w:left="993" w:hanging="284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>finanční náklady – účtová skupina 56 s výjimkou bankovních poplatků spojených s vedením účtu, na který jsou finanční prostředky příjemci zasílány,</w:t>
      </w:r>
    </w:p>
    <w:p w:rsidR="00407DBC" w:rsidRPr="00423EB0" w:rsidRDefault="00407DBC" w:rsidP="00407DBC">
      <w:pPr>
        <w:pStyle w:val="Zkladntextodsazen"/>
        <w:numPr>
          <w:ilvl w:val="1"/>
          <w:numId w:val="2"/>
        </w:numPr>
        <w:ind w:left="993" w:hanging="284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>na pořádání workshopů, teambuild</w:t>
      </w:r>
      <w:r w:rsidR="006843E9">
        <w:rPr>
          <w:rFonts w:ascii="Arial" w:hAnsi="Arial" w:cs="Arial"/>
          <w:color w:val="000000" w:themeColor="text1"/>
          <w:sz w:val="20"/>
        </w:rPr>
        <w:t>ingů, výjezdních zasedání, nákup alkoholických nápojů, cigaret a jiných návykových látek, pohoštění apod.</w:t>
      </w:r>
    </w:p>
    <w:p w:rsidR="00407DBC" w:rsidRPr="00423EB0" w:rsidRDefault="00407DBC" w:rsidP="00407DBC">
      <w:pPr>
        <w:pStyle w:val="Zkladntextodsazen"/>
        <w:numPr>
          <w:ilvl w:val="1"/>
          <w:numId w:val="2"/>
        </w:numPr>
        <w:ind w:left="993" w:hanging="284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>nespecifikované náklady (tj. výdaje, které nelze účetně doložit).</w:t>
      </w:r>
    </w:p>
    <w:p w:rsidR="00007E48" w:rsidRPr="00423EB0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 w:themeColor="text1"/>
        </w:rPr>
      </w:pPr>
    </w:p>
    <w:p w:rsidR="00007E48" w:rsidRPr="00423EB0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>5.</w:t>
      </w:r>
      <w:r w:rsidR="00407DBC" w:rsidRPr="00423EB0">
        <w:rPr>
          <w:rFonts w:ascii="Arial" w:hAnsi="Arial" w:cs="Arial"/>
          <w:color w:val="000000" w:themeColor="text1"/>
        </w:rPr>
        <w:t>5</w:t>
      </w:r>
      <w:r w:rsidRPr="00423EB0">
        <w:rPr>
          <w:rFonts w:ascii="Arial" w:hAnsi="Arial" w:cs="Arial"/>
          <w:color w:val="000000" w:themeColor="text1"/>
        </w:rPr>
        <w:tab/>
        <w:t>Dotace poskytnutá podle této smlouvy je nepřenositelná na jiné fyzické nebo právnické osoby, pokud se nejedná o úhradu spojenou s realizací předmětu této smlouvy.</w:t>
      </w:r>
    </w:p>
    <w:p w:rsidR="00007E48" w:rsidRPr="00423EB0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 w:themeColor="text1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423EB0">
        <w:rPr>
          <w:rFonts w:ascii="Arial" w:hAnsi="Arial" w:cs="Arial"/>
          <w:color w:val="000000" w:themeColor="text1"/>
        </w:rPr>
        <w:t>5.</w:t>
      </w:r>
      <w:r w:rsidR="00407DBC" w:rsidRPr="00423EB0">
        <w:rPr>
          <w:rFonts w:ascii="Arial" w:hAnsi="Arial" w:cs="Arial"/>
          <w:color w:val="000000" w:themeColor="text1"/>
        </w:rPr>
        <w:t>6</w:t>
      </w:r>
      <w:r w:rsidRPr="00423EB0">
        <w:rPr>
          <w:rFonts w:ascii="Arial" w:hAnsi="Arial" w:cs="Arial"/>
          <w:color w:val="000000" w:themeColor="text1"/>
        </w:rPr>
        <w:tab/>
        <w:t>Příjemce je oprávněn čerpat dotaci k realizaci pro</w:t>
      </w:r>
      <w:r w:rsidR="0014006B">
        <w:rPr>
          <w:rFonts w:ascii="Arial" w:hAnsi="Arial" w:cs="Arial"/>
          <w:color w:val="000000" w:themeColor="text1"/>
        </w:rPr>
        <w:t>jektu nejpozději do 31. 12. 2021.</w:t>
      </w:r>
      <w:r w:rsidRPr="00423EB0">
        <w:rPr>
          <w:rFonts w:ascii="Arial" w:hAnsi="Arial" w:cs="Arial"/>
          <w:color w:val="000000" w:themeColor="text1"/>
        </w:rPr>
        <w:t xml:space="preserve"> Prostředky</w:t>
      </w:r>
      <w:r w:rsidRPr="00584DB2">
        <w:rPr>
          <w:rFonts w:ascii="Arial" w:hAnsi="Arial" w:cs="Arial"/>
        </w:rPr>
        <w:t xml:space="preserve"> dotace nelze převádět do roku následujícího.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4DB2">
        <w:rPr>
          <w:rFonts w:ascii="Arial" w:hAnsi="Arial" w:cs="Arial"/>
          <w:b/>
        </w:rPr>
        <w:t>VI.</w:t>
      </w:r>
    </w:p>
    <w:p w:rsidR="00007E48" w:rsidRPr="00584DB2" w:rsidRDefault="00007E48" w:rsidP="00007E48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584DB2">
        <w:rPr>
          <w:rFonts w:ascii="Arial" w:hAnsi="Arial" w:cs="Arial"/>
          <w:b/>
        </w:rPr>
        <w:t>Práva a povinnosti smluvních stran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6.1</w:t>
      </w:r>
      <w:r w:rsidRPr="00584DB2">
        <w:rPr>
          <w:rFonts w:ascii="Arial" w:hAnsi="Arial" w:cs="Arial"/>
        </w:rPr>
        <w:tab/>
        <w:t xml:space="preserve">Příjemce se zavazuje v souladu s platnou právní úpravou poskytnutou dotaci z rozpočtu města Brna vést v účetnictví odděleně od jiných zdrojů příjmů. </w:t>
      </w:r>
    </w:p>
    <w:p w:rsidR="00007E48" w:rsidRPr="00584DB2" w:rsidRDefault="00007E48" w:rsidP="00B313FA">
      <w:pPr>
        <w:overflowPunct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 xml:space="preserve">Příjemce odpovídá za řádné vedení a viditelné označení originálních účetních dokladů prokazujících použití dotace uvedením „hrazeno z dotace MMB ve výši </w:t>
      </w:r>
      <w:proofErr w:type="gramStart"/>
      <w:r w:rsidRPr="00584DB2">
        <w:rPr>
          <w:rFonts w:ascii="Arial" w:hAnsi="Arial" w:cs="Arial"/>
        </w:rPr>
        <w:t>…….</w:t>
      </w:r>
      <w:proofErr w:type="gramEnd"/>
      <w:r w:rsidRPr="00584DB2">
        <w:rPr>
          <w:rFonts w:ascii="Arial" w:hAnsi="Arial" w:cs="Arial"/>
        </w:rPr>
        <w:t>. Kč“.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423EB0" w:rsidRDefault="00007E48" w:rsidP="00007E48">
      <w:pPr>
        <w:overflowPunct w:val="0"/>
        <w:autoSpaceDE w:val="0"/>
        <w:autoSpaceDN w:val="0"/>
        <w:adjustRightInd w:val="0"/>
        <w:ind w:left="660" w:hanging="660"/>
        <w:jc w:val="both"/>
        <w:rPr>
          <w:rFonts w:ascii="Arial" w:hAnsi="Arial" w:cs="Arial"/>
          <w:b/>
          <w:color w:val="000000" w:themeColor="text1"/>
        </w:rPr>
      </w:pPr>
      <w:r w:rsidRPr="00584DB2">
        <w:rPr>
          <w:rFonts w:ascii="Arial" w:hAnsi="Arial" w:cs="Arial"/>
        </w:rPr>
        <w:t>6.</w:t>
      </w:r>
      <w:r w:rsidR="00B313FA" w:rsidRPr="00584DB2">
        <w:rPr>
          <w:rFonts w:ascii="Arial" w:hAnsi="Arial" w:cs="Arial"/>
        </w:rPr>
        <w:t>2</w:t>
      </w:r>
      <w:r w:rsidRPr="00584DB2">
        <w:rPr>
          <w:rFonts w:ascii="Arial" w:hAnsi="Arial" w:cs="Arial"/>
        </w:rPr>
        <w:tab/>
        <w:t xml:space="preserve">Příjemce je povinen předložit poskytovateli nejpozději v termínu do </w:t>
      </w:r>
      <w:r w:rsidR="007A4DE6" w:rsidRPr="00584DB2">
        <w:rPr>
          <w:rFonts w:ascii="Arial" w:hAnsi="Arial" w:cs="Arial"/>
        </w:rPr>
        <w:t>31</w:t>
      </w:r>
      <w:r w:rsidRPr="00584DB2">
        <w:rPr>
          <w:rFonts w:ascii="Arial" w:hAnsi="Arial" w:cs="Arial"/>
        </w:rPr>
        <w:t>. 1. následujícího kalendářního roku kompletní závěrečné vyúčtování poskytnuté dotace s potvrzením pravdivosti a správnosti finančního vyúčtování. Nejpozději v tomto termínu je rovněž povinen vrátit na účet poskytovatele případnou nepoužitou část prostředků dotace, a to tak, že v roce realizace projektu vrátí nevyčerpanou dotaci na účet uvedený v čl. I. této smlouvy a v roce následujícím pak na účet č</w:t>
      </w:r>
      <w:r w:rsidRPr="00423EB0">
        <w:rPr>
          <w:rFonts w:ascii="Arial" w:hAnsi="Arial" w:cs="Arial"/>
          <w:color w:val="000000" w:themeColor="text1"/>
        </w:rPr>
        <w:t xml:space="preserve">. </w:t>
      </w:r>
      <w:r w:rsidR="005A4D71" w:rsidRPr="00423EB0">
        <w:rPr>
          <w:rFonts w:ascii="Arial" w:hAnsi="Arial" w:cs="Arial"/>
          <w:color w:val="000000" w:themeColor="text1"/>
        </w:rPr>
        <w:t>111350222/0800</w:t>
      </w:r>
      <w:r w:rsidRPr="00423EB0">
        <w:rPr>
          <w:rFonts w:ascii="Arial" w:hAnsi="Arial" w:cs="Arial"/>
          <w:color w:val="000000" w:themeColor="text1"/>
        </w:rPr>
        <w:t>.</w:t>
      </w:r>
    </w:p>
    <w:p w:rsidR="00007E48" w:rsidRPr="00423EB0" w:rsidRDefault="00007E48" w:rsidP="00007E48">
      <w:pPr>
        <w:overflowPunct w:val="0"/>
        <w:autoSpaceDE w:val="0"/>
        <w:autoSpaceDN w:val="0"/>
        <w:adjustRightInd w:val="0"/>
        <w:ind w:left="660" w:hanging="660"/>
        <w:jc w:val="both"/>
        <w:rPr>
          <w:rFonts w:ascii="Arial" w:hAnsi="Arial" w:cs="Arial"/>
          <w:b/>
          <w:color w:val="000000" w:themeColor="text1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660" w:hanging="660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6.</w:t>
      </w:r>
      <w:r w:rsidR="00B313FA" w:rsidRPr="00584DB2">
        <w:rPr>
          <w:rFonts w:ascii="Arial" w:hAnsi="Arial" w:cs="Arial"/>
        </w:rPr>
        <w:t>3</w:t>
      </w:r>
      <w:r w:rsidRPr="00584DB2">
        <w:rPr>
          <w:rFonts w:ascii="Arial" w:hAnsi="Arial" w:cs="Arial"/>
        </w:rPr>
        <w:tab/>
        <w:t xml:space="preserve">Příjemce je v případě ukončení činnosti uvedené v čl. II. </w:t>
      </w:r>
      <w:r w:rsidR="00B313FA" w:rsidRPr="00584DB2">
        <w:rPr>
          <w:rFonts w:ascii="Arial" w:hAnsi="Arial" w:cs="Arial"/>
        </w:rPr>
        <w:t>t</w:t>
      </w:r>
      <w:r w:rsidRPr="00584DB2">
        <w:rPr>
          <w:rFonts w:ascii="Arial" w:hAnsi="Arial" w:cs="Arial"/>
        </w:rPr>
        <w:t>éto smlouvy</w:t>
      </w:r>
      <w:r w:rsidR="009B7603" w:rsidRPr="00584DB2">
        <w:rPr>
          <w:rFonts w:ascii="Arial" w:hAnsi="Arial" w:cs="Arial"/>
        </w:rPr>
        <w:t xml:space="preserve"> povinen</w:t>
      </w:r>
      <w:r w:rsidR="00927A19">
        <w:rPr>
          <w:rFonts w:ascii="Arial" w:hAnsi="Arial" w:cs="Arial"/>
        </w:rPr>
        <w:t xml:space="preserve"> bezodkladně a </w:t>
      </w:r>
      <w:r w:rsidRPr="00584DB2">
        <w:rPr>
          <w:rFonts w:ascii="Arial" w:hAnsi="Arial" w:cs="Arial"/>
        </w:rPr>
        <w:t>písemně informovat o této skutečnosti poskytovatele. Příjemce je dále povinen průběžně informovat poskytovatele o všech změnách, které by mohly při vymáhání zadržených nebo neoprávněně použitých prostředků dotace zhoršit jeho pozici věřitele nebo vymahatelnost jeho pohledávky, a to bezodkladně ode dne, kdy k takové události došlo.</w:t>
      </w:r>
      <w:r w:rsidRPr="00584DB2">
        <w:rPr>
          <w:rFonts w:ascii="Arial" w:hAnsi="Arial" w:cs="Arial"/>
        </w:rPr>
        <w:tab/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i/>
        </w:rPr>
      </w:pPr>
      <w:r w:rsidRPr="00584DB2">
        <w:rPr>
          <w:rFonts w:ascii="Arial" w:hAnsi="Arial" w:cs="Arial"/>
        </w:rPr>
        <w:t>6</w:t>
      </w:r>
      <w:r w:rsidR="00B313FA" w:rsidRPr="00584DB2">
        <w:rPr>
          <w:rFonts w:ascii="Arial" w:hAnsi="Arial" w:cs="Arial"/>
        </w:rPr>
        <w:t>.4</w:t>
      </w:r>
      <w:r w:rsidRPr="00584DB2">
        <w:rPr>
          <w:rFonts w:ascii="Arial" w:hAnsi="Arial" w:cs="Arial"/>
        </w:rPr>
        <w:tab/>
        <w:t>Příjemce se zavazuje písemně oznámit veškeré změny základních údajů v osobě příjemce, jako např. název příjemce, jméno osoby oprávněné jednat jménem příjemce,</w:t>
      </w:r>
      <w:r w:rsidRPr="00584DB2">
        <w:rPr>
          <w:rFonts w:ascii="Arial" w:hAnsi="Arial" w:cs="Arial"/>
          <w:i/>
        </w:rPr>
        <w:t xml:space="preserve"> </w:t>
      </w:r>
      <w:r w:rsidRPr="00584DB2">
        <w:rPr>
          <w:rFonts w:ascii="Arial" w:hAnsi="Arial" w:cs="Arial"/>
        </w:rPr>
        <w:t>jméno vedoucího zařízení, změnu sídla, telefonního čísla, bankovního účtu, apod., a to do 15 dnů ode dne nastalé změny.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i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i/>
        </w:rPr>
      </w:pPr>
      <w:r w:rsidRPr="00584DB2">
        <w:rPr>
          <w:rFonts w:ascii="Arial" w:hAnsi="Arial" w:cs="Arial"/>
          <w:iCs/>
        </w:rPr>
        <w:t>6.</w:t>
      </w:r>
      <w:r w:rsidR="00B313FA" w:rsidRPr="00584DB2">
        <w:rPr>
          <w:rFonts w:ascii="Arial" w:hAnsi="Arial" w:cs="Arial"/>
          <w:iCs/>
        </w:rPr>
        <w:t>5</w:t>
      </w:r>
      <w:r w:rsidRPr="00584DB2">
        <w:rPr>
          <w:rFonts w:ascii="Arial" w:hAnsi="Arial" w:cs="Arial"/>
          <w:iCs/>
        </w:rPr>
        <w:tab/>
        <w:t xml:space="preserve">Příjemce zároveň souhlasí se zveřejněním </w:t>
      </w:r>
      <w:r w:rsidRPr="00584DB2">
        <w:rPr>
          <w:rFonts w:ascii="Arial" w:hAnsi="Arial" w:cs="Arial"/>
        </w:rPr>
        <w:t>svého názvu, adresy sídla, dotačního titulu a výše poskytnuté dotace.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6.</w:t>
      </w:r>
      <w:r w:rsidR="00B313FA" w:rsidRPr="00584DB2">
        <w:rPr>
          <w:rFonts w:ascii="Arial" w:hAnsi="Arial" w:cs="Arial"/>
        </w:rPr>
        <w:t>6</w:t>
      </w:r>
      <w:r w:rsidRPr="00584DB2">
        <w:rPr>
          <w:rFonts w:ascii="Arial" w:hAnsi="Arial" w:cs="Arial"/>
        </w:rPr>
        <w:tab/>
        <w:t>Příjemce dotace je povinen uvádět v jakémkoliv kontaktu s veřejností, médii a při prezentaci projektu, že projekt je realizován za finanční podpory statutárního města Brna. Při poskytování informace, která se týká používání veřejných prostředků, se nepovažuje poskytnutí informace o rozsahu a příjemci těchto prostředků za porušení obchodního tajemství.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  <w:iCs/>
        </w:rPr>
      </w:pPr>
      <w:r w:rsidRPr="00584DB2">
        <w:rPr>
          <w:rFonts w:ascii="Arial" w:hAnsi="Arial" w:cs="Arial"/>
          <w:bCs/>
          <w:iCs/>
        </w:rPr>
        <w:t>6.</w:t>
      </w:r>
      <w:r w:rsidR="00B313FA" w:rsidRPr="00584DB2">
        <w:rPr>
          <w:rFonts w:ascii="Arial" w:hAnsi="Arial" w:cs="Arial"/>
          <w:bCs/>
          <w:iCs/>
        </w:rPr>
        <w:t>7</w:t>
      </w:r>
      <w:r w:rsidRPr="00584DB2">
        <w:rPr>
          <w:rFonts w:ascii="Arial" w:hAnsi="Arial" w:cs="Arial"/>
          <w:bCs/>
          <w:iCs/>
        </w:rPr>
        <w:tab/>
        <w:t>Prokáže-li se po poskytnutí dotace, že tato naplňuje znaky veřejné podpory dle čl. 107 až 109 Smlouvy o fungování Evropské unie (dříve čl. 87 až 90 Smlouvy o založení Evropského společenství), zavazuje se příjemce poskytnutou dotaci neprodleně vrátit zpět na účet poskytovatele, a to včetně úroků.</w:t>
      </w:r>
    </w:p>
    <w:p w:rsidR="00007E48" w:rsidRPr="00584DB2" w:rsidRDefault="00007E48" w:rsidP="008D4CB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584DB2">
        <w:rPr>
          <w:rFonts w:ascii="Arial" w:hAnsi="Arial" w:cs="Arial"/>
          <w:b/>
          <w:bCs/>
          <w:iCs/>
        </w:rPr>
        <w:t>VII.</w:t>
      </w:r>
    </w:p>
    <w:p w:rsidR="00007E48" w:rsidRPr="00584DB2" w:rsidRDefault="00007E48" w:rsidP="00007E48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584DB2">
        <w:rPr>
          <w:rFonts w:ascii="Arial" w:hAnsi="Arial" w:cs="Arial"/>
          <w:b/>
        </w:rPr>
        <w:t>Kontrola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814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 xml:space="preserve">  7.1</w:t>
      </w:r>
      <w:r w:rsidRPr="00584DB2">
        <w:rPr>
          <w:rFonts w:ascii="Arial" w:hAnsi="Arial" w:cs="Arial"/>
        </w:rPr>
        <w:tab/>
        <w:t>Příjemce je povinen poskytnout součinnost při výkonu kontrolní činnosti příslušnými orgány poskytovatele, kteří jsou oprávněni v souladu se zvlášt</w:t>
      </w:r>
      <w:r w:rsidR="00927A19">
        <w:rPr>
          <w:rFonts w:ascii="Arial" w:hAnsi="Arial" w:cs="Arial"/>
        </w:rPr>
        <w:t>ním právním předpisem (zákon č. </w:t>
      </w:r>
      <w:r w:rsidRPr="00584DB2">
        <w:rPr>
          <w:rFonts w:ascii="Arial" w:hAnsi="Arial" w:cs="Arial"/>
        </w:rPr>
        <w:t>320/2001 Sb., o finanční kontrole ve veřejné správě a o změně některých zákonů, ve znění pozdějších předpisů, zákon č. 250/2000 Sb., o rozpočtových pravidlech územních r</w:t>
      </w:r>
      <w:r w:rsidR="00927A19">
        <w:rPr>
          <w:rFonts w:ascii="Arial" w:hAnsi="Arial" w:cs="Arial"/>
        </w:rPr>
        <w:t>ozpočtů, ve </w:t>
      </w:r>
      <w:r w:rsidRPr="00584DB2">
        <w:rPr>
          <w:rFonts w:ascii="Arial" w:hAnsi="Arial" w:cs="Arial"/>
        </w:rPr>
        <w:t>znění pozdějších předpisů) kdykoliv kontrolovat dodržení podmínek, za kterých byla dotace poskytnuta. Příjemce je povinen zejména předložit kontrolním orgánům poskytovatele kdykoliv k nahlédnutí originály všech účetních dokladů prokazujících využití prostředků v souladu s účelem projektu. Příjemce je povinen realizovat nápravná opatření, která mu byla v rámci této kontroly uložena, a je povinen o splnění nápravných opatření písemně informovat poskytovatele.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7.2</w:t>
      </w:r>
      <w:r w:rsidRPr="00584DB2">
        <w:rPr>
          <w:rFonts w:ascii="Arial" w:hAnsi="Arial" w:cs="Arial"/>
        </w:rPr>
        <w:tab/>
        <w:t>Poskytovatel je oprávněn v zařízení příjemce provádět kontrolu rozsahu a odborné úrovně poskytovaných služeb odbornými zaměstnanci Odboru sociální péče Magistrátu města Brna pověřenými vedoucím tohoto odboru a příjemce se zavazuje poskytnout součinnost v souvislosti s touto kontrolou.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7E48" w:rsidRPr="00584DB2" w:rsidRDefault="00007E48" w:rsidP="00B313FA">
      <w:pPr>
        <w:jc w:val="center"/>
        <w:rPr>
          <w:rFonts w:ascii="Arial" w:hAnsi="Arial" w:cs="Arial"/>
          <w:b/>
          <w:bCs/>
        </w:rPr>
      </w:pPr>
      <w:r w:rsidRPr="00584DB2">
        <w:rPr>
          <w:rFonts w:ascii="Arial" w:hAnsi="Arial" w:cs="Arial"/>
          <w:b/>
          <w:bCs/>
        </w:rPr>
        <w:t>VIII.</w:t>
      </w:r>
    </w:p>
    <w:p w:rsidR="00007E48" w:rsidRPr="00584DB2" w:rsidRDefault="00007E48" w:rsidP="00B313F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84DB2">
        <w:rPr>
          <w:rFonts w:ascii="Arial" w:hAnsi="Arial" w:cs="Arial"/>
          <w:b/>
          <w:bCs/>
        </w:rPr>
        <w:t>Sankce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  <w:iCs/>
        </w:rPr>
      </w:pPr>
      <w:r w:rsidRPr="00584DB2">
        <w:rPr>
          <w:rFonts w:ascii="Arial" w:hAnsi="Arial" w:cs="Arial"/>
          <w:bCs/>
          <w:iCs/>
        </w:rPr>
        <w:t>8.1</w:t>
      </w:r>
      <w:r w:rsidRPr="00584DB2">
        <w:rPr>
          <w:rFonts w:ascii="Arial" w:hAnsi="Arial" w:cs="Arial"/>
          <w:bCs/>
          <w:iCs/>
        </w:rPr>
        <w:tab/>
        <w:t xml:space="preserve">Příjemce bere na vědomí, že porušení povinností stanovených touto smlouvou bude řešeno jako porušení rozpočtové kázně ve smyslu </w:t>
      </w:r>
      <w:proofErr w:type="spellStart"/>
      <w:r w:rsidRPr="00584DB2">
        <w:rPr>
          <w:rFonts w:ascii="Arial" w:hAnsi="Arial" w:cs="Arial"/>
          <w:bCs/>
          <w:iCs/>
        </w:rPr>
        <w:t>ust</w:t>
      </w:r>
      <w:proofErr w:type="spellEnd"/>
      <w:r w:rsidRPr="00584DB2">
        <w:rPr>
          <w:rFonts w:ascii="Arial" w:hAnsi="Arial" w:cs="Arial"/>
          <w:bCs/>
          <w:iCs/>
        </w:rPr>
        <w:t>. § 22 zákona č. 250/2000 Sb., o rozpočtových pravidlech územních rozpočtů, ve znění pozdějších předpisů.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8.2</w:t>
      </w:r>
      <w:r w:rsidRPr="00584DB2">
        <w:rPr>
          <w:rFonts w:ascii="Arial" w:hAnsi="Arial" w:cs="Arial"/>
        </w:rPr>
        <w:tab/>
        <w:t>Za méně závažná porušení povinností vyplývajících z této smlouvy se považují následující porušení a nepravdivá prohlášení, za které se uloží nižší odvod:</w:t>
      </w:r>
    </w:p>
    <w:p w:rsidR="00007E48" w:rsidRPr="00423EB0" w:rsidRDefault="00007E48" w:rsidP="00007E48">
      <w:pPr>
        <w:overflowPunct w:val="0"/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color w:val="000000" w:themeColor="text1"/>
        </w:rPr>
      </w:pPr>
      <w:r w:rsidRPr="00584DB2">
        <w:rPr>
          <w:rFonts w:ascii="Arial" w:hAnsi="Arial" w:cs="Arial"/>
        </w:rPr>
        <w:tab/>
        <w:t xml:space="preserve">a) za nepravdivá prohlášení o údajích uvedených v „Žádosti o dotaci z rozpočtu statutárního města Brna …“, činí odvod </w:t>
      </w:r>
      <w:r w:rsidR="00407DBC" w:rsidRPr="00423EB0">
        <w:rPr>
          <w:rFonts w:ascii="Arial" w:hAnsi="Arial" w:cs="Arial"/>
          <w:color w:val="000000" w:themeColor="text1"/>
        </w:rPr>
        <w:t xml:space="preserve">10 </w:t>
      </w:r>
      <w:r w:rsidRPr="00423EB0">
        <w:rPr>
          <w:rFonts w:ascii="Arial" w:hAnsi="Arial" w:cs="Arial"/>
          <w:color w:val="000000" w:themeColor="text1"/>
        </w:rPr>
        <w:t>% z poskytnuté dotace.</w:t>
      </w:r>
    </w:p>
    <w:p w:rsidR="00007E48" w:rsidRPr="00423EB0" w:rsidRDefault="00007E48" w:rsidP="00007E48">
      <w:pPr>
        <w:overflowPunct w:val="0"/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ab/>
        <w:t>b) za opožděné dodání vyúčtování podle článku VI. odst. 6.2 této smlouvy nejvýše o 10 dnů, činí odvod 1</w:t>
      </w:r>
      <w:r w:rsidR="00407DBC" w:rsidRPr="00423EB0">
        <w:rPr>
          <w:rFonts w:ascii="Arial" w:hAnsi="Arial" w:cs="Arial"/>
          <w:color w:val="000000" w:themeColor="text1"/>
        </w:rPr>
        <w:t>0</w:t>
      </w:r>
      <w:r w:rsidRPr="00423EB0">
        <w:rPr>
          <w:rFonts w:ascii="Arial" w:hAnsi="Arial" w:cs="Arial"/>
          <w:color w:val="000000" w:themeColor="text1"/>
        </w:rPr>
        <w:t xml:space="preserve"> % z poskytnuté dotace</w:t>
      </w:r>
      <w:r w:rsidRPr="00584DB2">
        <w:rPr>
          <w:rFonts w:ascii="Arial" w:hAnsi="Arial" w:cs="Arial"/>
        </w:rPr>
        <w:t>.</w:t>
      </w:r>
    </w:p>
    <w:p w:rsidR="00007E48" w:rsidRPr="00423EB0" w:rsidRDefault="00007E48" w:rsidP="00007E48">
      <w:pPr>
        <w:overflowPunct w:val="0"/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ab/>
        <w:t>c) za porušení povinnosti uvedené v článku VI. odst. 6.4 této smlouvy činí odvod 1</w:t>
      </w:r>
      <w:r w:rsidR="00407DBC" w:rsidRPr="00423EB0">
        <w:rPr>
          <w:rFonts w:ascii="Arial" w:hAnsi="Arial" w:cs="Arial"/>
          <w:color w:val="000000" w:themeColor="text1"/>
        </w:rPr>
        <w:t>0</w:t>
      </w:r>
      <w:r w:rsidRPr="00423EB0">
        <w:rPr>
          <w:rFonts w:ascii="Arial" w:hAnsi="Arial" w:cs="Arial"/>
          <w:color w:val="000000" w:themeColor="text1"/>
        </w:rPr>
        <w:t xml:space="preserve"> % z poskytnuté dotace.</w:t>
      </w:r>
    </w:p>
    <w:p w:rsidR="00007E48" w:rsidRPr="00423EB0" w:rsidRDefault="00007E48" w:rsidP="00007E48">
      <w:pPr>
        <w:overflowPunct w:val="0"/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color w:val="000000" w:themeColor="text1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8.3</w:t>
      </w:r>
      <w:r w:rsidRPr="00584DB2">
        <w:rPr>
          <w:rFonts w:ascii="Arial" w:hAnsi="Arial" w:cs="Arial"/>
        </w:rPr>
        <w:tab/>
        <w:t xml:space="preserve">V případě zániku osoby příjemce spojeného s právním nástupnictvím nového právního subjektu, který bude vykonávat činnosti shodné nebo obdobné s činností původního příjemce dotace, dotace se ponechává za předpokladu, že bude do 30 dnů od okamžiku účinnosti právního nástupnictví uzavřen dodatek k této smlouvě, upravující nové právní skutečnosti. 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18C2" w:rsidRPr="008D4CBF" w:rsidRDefault="00007E48" w:rsidP="008D4CBF">
      <w:pPr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8.4</w:t>
      </w:r>
      <w:r w:rsidRPr="00584DB2">
        <w:rPr>
          <w:rFonts w:ascii="Arial" w:hAnsi="Arial" w:cs="Arial"/>
        </w:rPr>
        <w:tab/>
        <w:t>Dotace či její část se považují za vrácené dnem, kdy byly připsány na účet poskytovatele.</w:t>
      </w:r>
      <w:r w:rsidRPr="00584DB2">
        <w:rPr>
          <w:rFonts w:ascii="Arial" w:hAnsi="Arial" w:cs="Arial"/>
          <w:b/>
          <w:bCs/>
        </w:rPr>
        <w:t xml:space="preserve"> </w:t>
      </w:r>
    </w:p>
    <w:p w:rsidR="00B618C2" w:rsidRPr="00423EB0" w:rsidRDefault="00B618C2" w:rsidP="00B618C2">
      <w:pPr>
        <w:jc w:val="center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b/>
          <w:color w:val="000000" w:themeColor="text1"/>
        </w:rPr>
        <w:t>IX.</w:t>
      </w:r>
    </w:p>
    <w:p w:rsidR="00B618C2" w:rsidRPr="00423EB0" w:rsidRDefault="00B618C2" w:rsidP="00B618C2">
      <w:pPr>
        <w:jc w:val="center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b/>
          <w:color w:val="000000" w:themeColor="text1"/>
        </w:rPr>
        <w:t>Ukončení smlouvy</w:t>
      </w:r>
    </w:p>
    <w:p w:rsidR="00B618C2" w:rsidRPr="00423EB0" w:rsidRDefault="00B618C2" w:rsidP="00B618C2">
      <w:pPr>
        <w:spacing w:before="240" w:after="240"/>
        <w:ind w:left="705" w:hanging="705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>9.1.</w:t>
      </w:r>
      <w:r w:rsidRPr="00423EB0">
        <w:rPr>
          <w:rFonts w:ascii="Arial" w:hAnsi="Arial" w:cs="Arial"/>
          <w:color w:val="000000" w:themeColor="text1"/>
        </w:rPr>
        <w:tab/>
        <w:t xml:space="preserve">Smlouvu lze ukončit na základě písemné dohody obou smluvních stran nebo písemnou výpovědí smlouvy, a to za podmínek dále stanovených. </w:t>
      </w:r>
    </w:p>
    <w:p w:rsidR="00B618C2" w:rsidRPr="00423EB0" w:rsidRDefault="00B618C2" w:rsidP="00B618C2">
      <w:pPr>
        <w:spacing w:before="240" w:after="240"/>
        <w:ind w:left="705" w:hanging="705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>9.2.</w:t>
      </w:r>
      <w:r w:rsidRPr="00423EB0">
        <w:rPr>
          <w:rFonts w:ascii="Arial" w:hAnsi="Arial" w:cs="Arial"/>
          <w:color w:val="000000" w:themeColor="text1"/>
        </w:rPr>
        <w:tab/>
        <w:t xml:space="preserve">Poskytovatel může smlouvu vypovědět jak před proplacením, tak i po proplacení dotace. </w:t>
      </w:r>
    </w:p>
    <w:p w:rsidR="00B618C2" w:rsidRPr="00423EB0" w:rsidRDefault="00B618C2" w:rsidP="00B618C2">
      <w:pPr>
        <w:spacing w:before="240" w:after="240"/>
        <w:ind w:left="705" w:hanging="705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>9.3.</w:t>
      </w:r>
      <w:r w:rsidRPr="00423EB0">
        <w:rPr>
          <w:rFonts w:ascii="Arial" w:hAnsi="Arial" w:cs="Arial"/>
          <w:color w:val="000000" w:themeColor="text1"/>
        </w:rPr>
        <w:tab/>
        <w:t xml:space="preserve">Výpovědním důvodem je porušení povinností příjemcem dotace stanovených touto smlouvou nebo obecně závaznými právními předpisy, kterého se příjemce dopustí zejména pokud: </w:t>
      </w:r>
    </w:p>
    <w:p w:rsidR="00B618C2" w:rsidRPr="00423EB0" w:rsidRDefault="00B618C2" w:rsidP="000A6E30">
      <w:pPr>
        <w:pStyle w:val="Odstavecseseznamem"/>
        <w:numPr>
          <w:ilvl w:val="0"/>
          <w:numId w:val="3"/>
        </w:numPr>
        <w:spacing w:beforeLines="60" w:before="144"/>
        <w:ind w:left="1134" w:hanging="425"/>
        <w:contextualSpacing/>
        <w:jc w:val="both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 xml:space="preserve">svým jednáním poruší rozpočtovou kázeň dle zákona č. 250/2000 Sb., o rozpočtových pravidlech územních rozpočtů, ve znění pozdějších předpisů,  </w:t>
      </w:r>
    </w:p>
    <w:p w:rsidR="00B618C2" w:rsidRPr="00423EB0" w:rsidRDefault="00B618C2" w:rsidP="000A6E30">
      <w:pPr>
        <w:pStyle w:val="Odstavecseseznamem"/>
        <w:numPr>
          <w:ilvl w:val="0"/>
          <w:numId w:val="3"/>
        </w:numPr>
        <w:spacing w:beforeLines="60" w:before="144"/>
        <w:ind w:left="1134" w:hanging="425"/>
        <w:contextualSpacing/>
        <w:jc w:val="both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>je on sám, případně jako právnická osoba či některá osoba tvořící statutární orgán příjemce odsouzen/a za trestný čin, jehož skutková podstata souvisí s předmětem podnikání nebo činností příjemce, nebo pro trestný čin hospodářský, ane</w:t>
      </w:r>
      <w:r w:rsidR="00927A19">
        <w:rPr>
          <w:rFonts w:ascii="Arial" w:hAnsi="Arial" w:cs="Arial"/>
          <w:color w:val="000000" w:themeColor="text1"/>
          <w:sz w:val="20"/>
        </w:rPr>
        <w:t>bo trestný čin proti majetku ve </w:t>
      </w:r>
      <w:r w:rsidRPr="00423EB0">
        <w:rPr>
          <w:rFonts w:ascii="Arial" w:hAnsi="Arial" w:cs="Arial"/>
          <w:color w:val="000000" w:themeColor="text1"/>
          <w:sz w:val="20"/>
        </w:rPr>
        <w:t xml:space="preserve">smyslu zákona č. 40/2009 Sb., trestní zákoník, ve znění pozdějších předpisů a zákona č. 418/2011 Sb., o trestní odpovědnosti právnických osob, ve znění pozdějších předpisů, </w:t>
      </w:r>
    </w:p>
    <w:p w:rsidR="00B618C2" w:rsidRPr="00423EB0" w:rsidRDefault="00B618C2" w:rsidP="000A6E30">
      <w:pPr>
        <w:pStyle w:val="Odstavecseseznamem"/>
        <w:numPr>
          <w:ilvl w:val="0"/>
          <w:numId w:val="3"/>
        </w:numPr>
        <w:spacing w:beforeLines="60" w:before="144"/>
        <w:ind w:left="1134" w:hanging="425"/>
        <w:contextualSpacing/>
        <w:jc w:val="both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 xml:space="preserve">bylo zahájeno insolvenční řízení podle zákona č. 182/2006 Sb., o úpadku a způsobech jeho řešení, ve znění pozdějších předpisů,  </w:t>
      </w:r>
    </w:p>
    <w:p w:rsidR="00B618C2" w:rsidRPr="00423EB0" w:rsidRDefault="00B618C2" w:rsidP="000A6E30">
      <w:pPr>
        <w:pStyle w:val="Odstavecseseznamem"/>
        <w:numPr>
          <w:ilvl w:val="0"/>
          <w:numId w:val="3"/>
        </w:numPr>
        <w:spacing w:beforeLines="60" w:before="144"/>
        <w:ind w:left="1134" w:hanging="425"/>
        <w:contextualSpacing/>
        <w:jc w:val="both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>příjemce uvedl nepravdivé, neúplné nebo zkreslené údaje, na které se váže uzavření této smlouvy,</w:t>
      </w:r>
    </w:p>
    <w:p w:rsidR="00B618C2" w:rsidRPr="00423EB0" w:rsidRDefault="00B618C2" w:rsidP="000A6E30">
      <w:pPr>
        <w:pStyle w:val="Odstavecseseznamem"/>
        <w:numPr>
          <w:ilvl w:val="0"/>
          <w:numId w:val="3"/>
        </w:numPr>
        <w:spacing w:beforeLines="60" w:before="144"/>
        <w:ind w:left="1134" w:hanging="425"/>
        <w:contextualSpacing/>
        <w:jc w:val="both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 xml:space="preserve">je v likvidaci, </w:t>
      </w:r>
    </w:p>
    <w:p w:rsidR="00B618C2" w:rsidRPr="00423EB0" w:rsidRDefault="00B618C2" w:rsidP="000A6E30">
      <w:pPr>
        <w:pStyle w:val="Odstavecseseznamem"/>
        <w:numPr>
          <w:ilvl w:val="0"/>
          <w:numId w:val="3"/>
        </w:numPr>
        <w:spacing w:beforeLines="60" w:before="144"/>
        <w:ind w:left="1134" w:hanging="425"/>
        <w:contextualSpacing/>
        <w:jc w:val="both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 xml:space="preserve">změní právní formu a stane se tak nezpůsobilým příjemcem dotace pro danou oblast podpory, </w:t>
      </w:r>
    </w:p>
    <w:p w:rsidR="00B618C2" w:rsidRPr="00423EB0" w:rsidRDefault="00B618C2" w:rsidP="000A6E30">
      <w:pPr>
        <w:pStyle w:val="Odstavecseseznamem"/>
        <w:numPr>
          <w:ilvl w:val="0"/>
          <w:numId w:val="3"/>
        </w:numPr>
        <w:spacing w:beforeLines="60" w:before="144"/>
        <w:ind w:left="1134" w:hanging="425"/>
        <w:contextualSpacing/>
        <w:jc w:val="both"/>
        <w:rPr>
          <w:rFonts w:ascii="Arial" w:hAnsi="Arial" w:cs="Arial"/>
          <w:color w:val="000000" w:themeColor="text1"/>
          <w:sz w:val="20"/>
        </w:rPr>
      </w:pPr>
      <w:r w:rsidRPr="00423EB0">
        <w:rPr>
          <w:rFonts w:ascii="Arial" w:hAnsi="Arial" w:cs="Arial"/>
          <w:color w:val="000000" w:themeColor="text1"/>
          <w:sz w:val="20"/>
        </w:rPr>
        <w:t xml:space="preserve">opakovaně neplní povinnosti stanovené smlouvou, i když byl k jejich nápravě vyzván poskytovatelem. </w:t>
      </w:r>
    </w:p>
    <w:p w:rsidR="00B618C2" w:rsidRPr="00423EB0" w:rsidRDefault="00B618C2" w:rsidP="000A6E30">
      <w:pPr>
        <w:pStyle w:val="Odstavecseseznamem"/>
        <w:spacing w:beforeLines="60" w:before="144"/>
        <w:ind w:left="870"/>
        <w:contextualSpacing/>
        <w:jc w:val="both"/>
        <w:rPr>
          <w:rFonts w:ascii="Arial" w:hAnsi="Arial" w:cs="Arial"/>
          <w:color w:val="000000" w:themeColor="text1"/>
          <w:sz w:val="20"/>
        </w:rPr>
      </w:pPr>
    </w:p>
    <w:p w:rsidR="00B618C2" w:rsidRPr="00423EB0" w:rsidRDefault="00B618C2" w:rsidP="00B618C2">
      <w:pPr>
        <w:spacing w:before="240" w:after="240"/>
        <w:ind w:left="709" w:hanging="709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>9.4.</w:t>
      </w:r>
      <w:r w:rsidRPr="00423EB0">
        <w:rPr>
          <w:rFonts w:ascii="Arial" w:hAnsi="Arial" w:cs="Arial"/>
          <w:color w:val="000000" w:themeColor="text1"/>
        </w:rPr>
        <w:tab/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B618C2" w:rsidRPr="00423EB0" w:rsidRDefault="00B618C2" w:rsidP="00B618C2">
      <w:pPr>
        <w:spacing w:before="240" w:after="240"/>
        <w:ind w:left="709" w:hanging="709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>9.5.</w:t>
      </w:r>
      <w:r w:rsidRPr="00423EB0">
        <w:rPr>
          <w:rFonts w:ascii="Arial" w:hAnsi="Arial" w:cs="Arial"/>
          <w:color w:val="000000" w:themeColor="text1"/>
        </w:rPr>
        <w:tab/>
        <w:t xml:space="preserve">Výpověď smlouvy musí být učiněna písemně a musí v ní být uvedeny důvody jejího udělení. </w:t>
      </w:r>
    </w:p>
    <w:p w:rsidR="00B618C2" w:rsidRPr="00423EB0" w:rsidRDefault="00B618C2" w:rsidP="00B618C2">
      <w:pPr>
        <w:spacing w:before="240" w:after="240"/>
        <w:ind w:left="709" w:hanging="709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>9.6.</w:t>
      </w:r>
      <w:r w:rsidRPr="00423EB0">
        <w:rPr>
          <w:rFonts w:ascii="Arial" w:hAnsi="Arial" w:cs="Arial"/>
          <w:color w:val="000000" w:themeColor="text1"/>
        </w:rPr>
        <w:tab/>
        <w:t xml:space="preserve">Výpovědní </w:t>
      </w:r>
      <w:r w:rsidR="007E56DC" w:rsidRPr="00423EB0">
        <w:rPr>
          <w:rFonts w:ascii="Arial" w:hAnsi="Arial" w:cs="Arial"/>
          <w:color w:val="000000" w:themeColor="text1"/>
        </w:rPr>
        <w:t>doba</w:t>
      </w:r>
      <w:r w:rsidRPr="00423EB0">
        <w:rPr>
          <w:rFonts w:ascii="Arial" w:hAnsi="Arial" w:cs="Arial"/>
          <w:color w:val="000000" w:themeColor="text1"/>
        </w:rPr>
        <w:t xml:space="preserve"> činí jeden (1) měsíc a začne běžet od prvn</w:t>
      </w:r>
      <w:r w:rsidR="00927A19">
        <w:rPr>
          <w:rFonts w:ascii="Arial" w:hAnsi="Arial" w:cs="Arial"/>
          <w:color w:val="000000" w:themeColor="text1"/>
        </w:rPr>
        <w:t>ího dne měsíce následujícího po </w:t>
      </w:r>
      <w:r w:rsidRPr="00423EB0">
        <w:rPr>
          <w:rFonts w:ascii="Arial" w:hAnsi="Arial" w:cs="Arial"/>
          <w:color w:val="000000" w:themeColor="text1"/>
        </w:rPr>
        <w:t>měsíci, v němž byla výpověď doručena příjemci dotace. Účinky doručení pro účely této smlouvy však nastávají i tehdy, pokud příjemce svým jednáním nebo opomenutím doručení zmařil.</w:t>
      </w:r>
    </w:p>
    <w:p w:rsidR="00B618C2" w:rsidRPr="00423EB0" w:rsidRDefault="00B618C2" w:rsidP="00B618C2">
      <w:pPr>
        <w:spacing w:before="240" w:after="240"/>
        <w:ind w:left="709" w:hanging="709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>9.7.</w:t>
      </w:r>
      <w:r w:rsidRPr="00423EB0">
        <w:rPr>
          <w:rFonts w:ascii="Arial" w:hAnsi="Arial" w:cs="Arial"/>
          <w:color w:val="000000" w:themeColor="text1"/>
        </w:rPr>
        <w:tab/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B618C2" w:rsidRPr="00423EB0" w:rsidRDefault="00B618C2" w:rsidP="00B618C2">
      <w:pPr>
        <w:spacing w:before="240" w:after="240"/>
        <w:ind w:left="709" w:hanging="709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>9.</w:t>
      </w:r>
      <w:r w:rsidR="007E56DC" w:rsidRPr="00423EB0">
        <w:rPr>
          <w:rFonts w:ascii="Arial" w:hAnsi="Arial" w:cs="Arial"/>
          <w:color w:val="000000" w:themeColor="text1"/>
        </w:rPr>
        <w:t>8</w:t>
      </w:r>
      <w:r w:rsidRPr="00423EB0">
        <w:rPr>
          <w:rFonts w:ascii="Arial" w:hAnsi="Arial" w:cs="Arial"/>
          <w:color w:val="000000" w:themeColor="text1"/>
        </w:rPr>
        <w:t>.</w:t>
      </w:r>
      <w:r w:rsidRPr="00423EB0">
        <w:rPr>
          <w:rFonts w:ascii="Arial" w:hAnsi="Arial" w:cs="Arial"/>
          <w:color w:val="000000" w:themeColor="text1"/>
        </w:rPr>
        <w:tab/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:rsidR="00B618C2" w:rsidRDefault="00B618C2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23EB0" w:rsidRDefault="00423EB0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23EB0" w:rsidRDefault="00423EB0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23EB0" w:rsidRDefault="00423EB0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23EB0" w:rsidRDefault="00423EB0" w:rsidP="00AD6FFC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84DB2">
        <w:rPr>
          <w:rFonts w:ascii="Arial" w:hAnsi="Arial" w:cs="Arial"/>
          <w:b/>
          <w:bCs/>
        </w:rPr>
        <w:t>X.</w:t>
      </w:r>
    </w:p>
    <w:p w:rsidR="00007E48" w:rsidRPr="00584DB2" w:rsidRDefault="00007E48" w:rsidP="00007E48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84DB2">
        <w:rPr>
          <w:rFonts w:ascii="Arial" w:hAnsi="Arial" w:cs="Arial"/>
          <w:b/>
          <w:bCs/>
        </w:rPr>
        <w:t>Závěrečná ustanovení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584DB2" w:rsidRDefault="007E56DC" w:rsidP="007E56DC">
      <w:pPr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10.1  </w:t>
      </w:r>
      <w:r w:rsidR="00927A19">
        <w:rPr>
          <w:rFonts w:ascii="Arial" w:hAnsi="Arial" w:cs="Arial"/>
        </w:rPr>
        <w:tab/>
      </w:r>
      <w:proofErr w:type="gramEnd"/>
      <w:r w:rsidR="00007E48" w:rsidRPr="00584DB2">
        <w:rPr>
          <w:rFonts w:ascii="Arial" w:hAnsi="Arial" w:cs="Arial"/>
        </w:rPr>
        <w:t>Změny a doplnění smlouvy mohou být provedeny pouze ve formě písemných, řádně číslovaných dodatků.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584DB2" w:rsidRDefault="007E56DC" w:rsidP="00007E48">
      <w:pPr>
        <w:overflowPunct w:val="0"/>
        <w:autoSpaceDE w:val="0"/>
        <w:autoSpaceDN w:val="0"/>
        <w:adjustRightInd w:val="0"/>
        <w:spacing w:after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07E48" w:rsidRPr="00584DB2">
        <w:rPr>
          <w:rFonts w:ascii="Arial" w:hAnsi="Arial" w:cs="Arial"/>
        </w:rPr>
        <w:t>.</w:t>
      </w:r>
      <w:r w:rsidR="00B313FA" w:rsidRPr="00584DB2">
        <w:rPr>
          <w:rFonts w:ascii="Arial" w:hAnsi="Arial" w:cs="Arial"/>
        </w:rPr>
        <w:t>2</w:t>
      </w:r>
      <w:r w:rsidR="00007E48" w:rsidRPr="00584DB2">
        <w:rPr>
          <w:rFonts w:ascii="Arial" w:hAnsi="Arial" w:cs="Arial"/>
        </w:rPr>
        <w:tab/>
        <w:t>Smluvní strany se ve smyslu § 167 odst. 1, písem. a) zák. č. 500/2004 Sb., správní řád, ve znění pozdějších předpisů dohodly, že příjemce i poskytovatel může podat písemný návrh na zruší veřejnoprávní smlouvy i bez udání důvodů. Součástí návrhu musí být vzájemné vypořádání práv a závazků.</w:t>
      </w:r>
    </w:p>
    <w:p w:rsidR="00007E48" w:rsidRPr="00423EB0" w:rsidRDefault="007E56DC" w:rsidP="00E6797B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709" w:right="113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10</w:t>
      </w:r>
      <w:r w:rsidR="00007E48" w:rsidRPr="00584DB2">
        <w:rPr>
          <w:rFonts w:ascii="Arial" w:hAnsi="Arial" w:cs="Arial"/>
        </w:rPr>
        <w:t>.</w:t>
      </w:r>
      <w:r w:rsidR="00B313FA" w:rsidRPr="00584DB2">
        <w:rPr>
          <w:rFonts w:ascii="Arial" w:hAnsi="Arial" w:cs="Arial"/>
        </w:rPr>
        <w:t>3</w:t>
      </w:r>
      <w:r w:rsidR="00007E48" w:rsidRPr="00584DB2">
        <w:rPr>
          <w:rFonts w:ascii="Arial" w:hAnsi="Arial" w:cs="Arial"/>
        </w:rPr>
        <w:tab/>
        <w:t>Smlouva nabývá platnosti dne</w:t>
      </w:r>
      <w:r w:rsidR="00423EB0">
        <w:rPr>
          <w:rFonts w:ascii="Arial" w:hAnsi="Arial" w:cs="Arial"/>
        </w:rPr>
        <w:t xml:space="preserve">m podpisu obou smluvních stran </w:t>
      </w:r>
      <w:r w:rsidRPr="00423EB0">
        <w:rPr>
          <w:rFonts w:ascii="Arial" w:hAnsi="Arial" w:cs="Arial"/>
          <w:color w:val="000000" w:themeColor="text1"/>
        </w:rPr>
        <w:t>a účinnosti dnem uveřejnění v rejstříku smluv.</w:t>
      </w:r>
    </w:p>
    <w:p w:rsidR="007E56DC" w:rsidRPr="00423EB0" w:rsidRDefault="007E56DC" w:rsidP="007E56DC">
      <w:pPr>
        <w:spacing w:before="120"/>
        <w:ind w:left="709" w:right="-96" w:hanging="709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bCs/>
          <w:color w:val="000000" w:themeColor="text1"/>
        </w:rPr>
        <w:t>10.</w:t>
      </w:r>
      <w:r w:rsidR="001A32A8" w:rsidRPr="00423EB0">
        <w:rPr>
          <w:rFonts w:ascii="Arial" w:hAnsi="Arial" w:cs="Arial"/>
          <w:bCs/>
          <w:color w:val="000000" w:themeColor="text1"/>
        </w:rPr>
        <w:t>4</w:t>
      </w:r>
      <w:r w:rsidRPr="00423EB0">
        <w:rPr>
          <w:rFonts w:ascii="Arial" w:hAnsi="Arial" w:cs="Arial"/>
          <w:bCs/>
          <w:color w:val="000000" w:themeColor="text1"/>
        </w:rPr>
        <w:t xml:space="preserve">.    Příjemce </w:t>
      </w:r>
      <w:r w:rsidRPr="00423EB0">
        <w:rPr>
          <w:rFonts w:ascii="Arial" w:hAnsi="Arial" w:cs="Arial"/>
          <w:color w:val="000000" w:themeColor="text1"/>
        </w:rPr>
        <w:t>není oprávněn proti svým jakýmkoliv případným pohl</w:t>
      </w:r>
      <w:r w:rsidR="00927A19">
        <w:rPr>
          <w:rFonts w:ascii="Arial" w:hAnsi="Arial" w:cs="Arial"/>
          <w:color w:val="000000" w:themeColor="text1"/>
        </w:rPr>
        <w:t>edávkám a/nebo jejich částem za </w:t>
      </w:r>
      <w:r w:rsidRPr="00423EB0">
        <w:rPr>
          <w:rFonts w:ascii="Arial" w:hAnsi="Arial" w:cs="Arial"/>
          <w:color w:val="000000" w:themeColor="text1"/>
        </w:rPr>
        <w:t>poskytovatelem</w:t>
      </w:r>
      <w:r w:rsidRPr="00423EB0">
        <w:rPr>
          <w:rFonts w:ascii="Arial" w:hAnsi="Arial" w:cs="Arial"/>
          <w:bCs/>
          <w:color w:val="000000" w:themeColor="text1"/>
        </w:rPr>
        <w:t xml:space="preserve"> </w:t>
      </w:r>
      <w:r w:rsidRPr="00423EB0">
        <w:rPr>
          <w:rFonts w:ascii="Arial" w:hAnsi="Arial" w:cs="Arial"/>
          <w:color w:val="000000" w:themeColor="text1"/>
        </w:rPr>
        <w:t>započíst poskytovatelovi</w:t>
      </w:r>
      <w:r w:rsidRPr="00423EB0">
        <w:rPr>
          <w:rFonts w:ascii="Arial" w:hAnsi="Arial" w:cs="Arial"/>
          <w:bCs/>
          <w:color w:val="000000" w:themeColor="text1"/>
        </w:rPr>
        <w:t xml:space="preserve"> </w:t>
      </w:r>
      <w:r w:rsidRPr="00423EB0">
        <w:rPr>
          <w:rFonts w:ascii="Arial" w:hAnsi="Arial" w:cs="Arial"/>
          <w:color w:val="000000" w:themeColor="text1"/>
        </w:rPr>
        <w:t>pohledávky a/nebo jejich části za příjemcem</w:t>
      </w:r>
      <w:r w:rsidRPr="00423EB0">
        <w:rPr>
          <w:rFonts w:ascii="Arial" w:hAnsi="Arial" w:cs="Arial"/>
          <w:bCs/>
          <w:color w:val="000000" w:themeColor="text1"/>
        </w:rPr>
        <w:t>.</w:t>
      </w:r>
    </w:p>
    <w:p w:rsidR="007E56DC" w:rsidRPr="00423EB0" w:rsidRDefault="007E56DC" w:rsidP="007E56DC">
      <w:pPr>
        <w:spacing w:before="120"/>
        <w:ind w:left="709" w:right="-96" w:hanging="709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>10.</w:t>
      </w:r>
      <w:r w:rsidR="001A32A8" w:rsidRPr="00423EB0">
        <w:rPr>
          <w:rFonts w:ascii="Arial" w:hAnsi="Arial" w:cs="Arial"/>
          <w:color w:val="000000" w:themeColor="text1"/>
        </w:rPr>
        <w:t>5</w:t>
      </w:r>
      <w:r w:rsidRPr="00423EB0">
        <w:rPr>
          <w:rFonts w:ascii="Arial" w:hAnsi="Arial" w:cs="Arial"/>
          <w:color w:val="000000" w:themeColor="text1"/>
        </w:rPr>
        <w:t xml:space="preserve">.    Postoupení práv a povinností z této smlouvy včetně případného postoupení pohledávek z této smlouvy, případně postoupení smlouvy jako celku a/nebo její části může příjemce platně uskutečnit pouze na základě předchozího písemného souhlasu poskytovatele. </w:t>
      </w:r>
    </w:p>
    <w:p w:rsidR="007E56DC" w:rsidRPr="00423EB0" w:rsidRDefault="007E56DC" w:rsidP="007E56DC">
      <w:pPr>
        <w:spacing w:before="120"/>
        <w:ind w:left="709" w:hanging="709"/>
        <w:jc w:val="both"/>
        <w:rPr>
          <w:rFonts w:ascii="Arial" w:hAnsi="Arial" w:cs="Arial"/>
          <w:color w:val="000000" w:themeColor="text1"/>
        </w:rPr>
      </w:pPr>
      <w:r w:rsidRPr="00423EB0">
        <w:rPr>
          <w:rFonts w:ascii="Arial" w:hAnsi="Arial" w:cs="Arial"/>
          <w:color w:val="000000" w:themeColor="text1"/>
        </w:rPr>
        <w:t>10.</w:t>
      </w:r>
      <w:r w:rsidR="001A32A8" w:rsidRPr="00423EB0">
        <w:rPr>
          <w:rFonts w:ascii="Arial" w:hAnsi="Arial" w:cs="Arial"/>
          <w:color w:val="000000" w:themeColor="text1"/>
        </w:rPr>
        <w:t>6</w:t>
      </w:r>
      <w:r w:rsidRPr="00423EB0">
        <w:rPr>
          <w:rFonts w:ascii="Arial" w:hAnsi="Arial" w:cs="Arial"/>
          <w:color w:val="000000" w:themeColor="text1"/>
        </w:rPr>
        <w:t>.    Ustanovení</w:t>
      </w:r>
      <w:r w:rsidRPr="00423EB0">
        <w:rPr>
          <w:rFonts w:ascii="Arial" w:hAnsi="Arial" w:cs="Arial"/>
          <w:bCs/>
          <w:color w:val="000000" w:themeColor="text1"/>
        </w:rPr>
        <w:t xml:space="preserve"> odstavce 1) </w:t>
      </w:r>
      <w:r w:rsidRPr="00423EB0">
        <w:rPr>
          <w:rFonts w:ascii="Arial" w:hAnsi="Arial" w:cs="Arial"/>
          <w:color w:val="000000" w:themeColor="text1"/>
        </w:rPr>
        <w:t>§ 1765 zákona č. 89/2012 sb., občanský zákoník, ve znění pozdějších předpisů (dále jen „zákon“) se neuplatní; každá ze stran na sebe ve smyslu ustanovení</w:t>
      </w:r>
      <w:r w:rsidRPr="00423EB0">
        <w:rPr>
          <w:rFonts w:ascii="Arial" w:hAnsi="Arial" w:cs="Arial"/>
          <w:bCs/>
          <w:color w:val="000000" w:themeColor="text1"/>
        </w:rPr>
        <w:t xml:space="preserve"> odstavce 2) </w:t>
      </w:r>
      <w:r w:rsidRPr="00423EB0">
        <w:rPr>
          <w:rFonts w:ascii="Arial" w:hAnsi="Arial" w:cs="Arial"/>
          <w:color w:val="000000" w:themeColor="text1"/>
        </w:rPr>
        <w:t>§ 1765 zákona převzala nebezpečí změny okolností.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584DB2" w:rsidRDefault="001A32A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07E48" w:rsidRPr="00584DB2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="00007E48" w:rsidRPr="00584DB2">
        <w:rPr>
          <w:rFonts w:ascii="Arial" w:hAnsi="Arial" w:cs="Arial"/>
        </w:rPr>
        <w:tab/>
        <w:t>Smlouva je sepsána v 5 vyhotoveních, každý s platností originálu, z nichž 1 výtisk obdrží příjemce a 4 exempláře smlouvy slouží pro potřeby poskytovatele.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</w:p>
    <w:p w:rsidR="00007E48" w:rsidRPr="00584DB2" w:rsidRDefault="001A32A8" w:rsidP="00E23643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07E48" w:rsidRPr="00584DB2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="00007E48" w:rsidRPr="00584DB2">
        <w:rPr>
          <w:rFonts w:ascii="Arial" w:hAnsi="Arial" w:cs="Arial"/>
        </w:rPr>
        <w:t xml:space="preserve">  </w:t>
      </w:r>
      <w:r w:rsidR="00007E48" w:rsidRPr="00584DB2">
        <w:rPr>
          <w:rFonts w:ascii="Arial" w:hAnsi="Arial" w:cs="Arial"/>
        </w:rPr>
        <w:tab/>
        <w:t>Statutární město Brno je při nakládání s veřejnými prostředky povinno dodržovat ustanovení zákona č. 106/1999 Sb., o svobodném přístupu k informacím, ve znění pozdějších předpisů (zejména § 9 odstavec 2 citovaného zákona).</w:t>
      </w:r>
      <w:r w:rsidR="00007E48" w:rsidRPr="00584DB2">
        <w:rPr>
          <w:rFonts w:ascii="Arial" w:hAnsi="Arial" w:cs="Arial"/>
        </w:rPr>
        <w:tab/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584DB2" w:rsidRDefault="001A32A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07E48" w:rsidRPr="00584DB2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="00007E48" w:rsidRPr="00584DB2">
        <w:rPr>
          <w:rFonts w:ascii="Arial" w:hAnsi="Arial" w:cs="Arial"/>
        </w:rPr>
        <w:t xml:space="preserve"> </w:t>
      </w:r>
      <w:r w:rsidR="00007E48" w:rsidRPr="00584DB2">
        <w:rPr>
          <w:rFonts w:ascii="Arial" w:hAnsi="Arial" w:cs="Arial"/>
        </w:rPr>
        <w:tab/>
        <w:t xml:space="preserve">Účastníci této smlouvy prohlašují, že souhlasí s jejím obsahem, že byla sepsána na základě pravdivých údajů, srozumitelně, vážně, dle jejich pravé a svobodné vůle, nikoliv v tísni a za nápadně nevýhodných podmínek. Na důkaz toho připojují oprávnění zástupci smluvních stran své podpisy. 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</w:p>
    <w:p w:rsidR="00007E48" w:rsidRPr="00423EB0" w:rsidRDefault="001A32A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10</w:t>
      </w:r>
      <w:r w:rsidR="00007E48" w:rsidRPr="00584DB2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007E48" w:rsidRPr="00584DB2">
        <w:rPr>
          <w:rFonts w:ascii="Arial" w:hAnsi="Arial" w:cs="Arial"/>
        </w:rPr>
        <w:tab/>
        <w:t>Příjemce podpisem této smlouvy výslovně prohlašuje,</w:t>
      </w:r>
      <w:r w:rsidR="00927A19">
        <w:rPr>
          <w:rFonts w:ascii="Arial" w:hAnsi="Arial" w:cs="Arial"/>
        </w:rPr>
        <w:t xml:space="preserve"> že se seznámil se Zásadami pro </w:t>
      </w:r>
      <w:r w:rsidR="00007E48" w:rsidRPr="00584DB2">
        <w:rPr>
          <w:rFonts w:ascii="Arial" w:hAnsi="Arial" w:cs="Arial"/>
        </w:rPr>
        <w:t xml:space="preserve">poskytování dotací </w:t>
      </w:r>
      <w:r w:rsidR="00007E48" w:rsidRPr="00423EB0">
        <w:rPr>
          <w:rFonts w:ascii="Arial" w:hAnsi="Arial" w:cs="Arial"/>
          <w:color w:val="000000" w:themeColor="text1"/>
        </w:rPr>
        <w:t xml:space="preserve">z rozpočtu města Brna pro vyhlášené programy schválenými Zastupitelstvem města Brna </w:t>
      </w:r>
      <w:r w:rsidR="007E56DC" w:rsidRPr="00423EB0">
        <w:rPr>
          <w:rFonts w:ascii="Arial" w:hAnsi="Arial" w:cs="Arial"/>
          <w:color w:val="000000" w:themeColor="text1"/>
        </w:rPr>
        <w:t xml:space="preserve">ve znění změn a doplňků </w:t>
      </w:r>
      <w:r w:rsidR="00007E48" w:rsidRPr="00423EB0">
        <w:rPr>
          <w:rFonts w:ascii="Arial" w:hAnsi="Arial" w:cs="Arial"/>
          <w:color w:val="000000" w:themeColor="text1"/>
        </w:rPr>
        <w:t>a Pravidly pro poskytování dotací z rozpočtu města Brna pro vyhlášené programy</w:t>
      </w:r>
      <w:r w:rsidR="007E56DC" w:rsidRPr="00423EB0">
        <w:rPr>
          <w:rFonts w:ascii="Arial" w:hAnsi="Arial" w:cs="Arial"/>
          <w:color w:val="000000" w:themeColor="text1"/>
        </w:rPr>
        <w:t>, ve znění změn a doplňků</w:t>
      </w:r>
      <w:r w:rsidR="00007E48" w:rsidRPr="00423EB0">
        <w:rPr>
          <w:rFonts w:ascii="Arial" w:hAnsi="Arial" w:cs="Arial"/>
          <w:color w:val="000000" w:themeColor="text1"/>
        </w:rPr>
        <w:t xml:space="preserve"> a zavazuje se je dodržovat.</w:t>
      </w:r>
    </w:p>
    <w:p w:rsidR="00007E48" w:rsidRPr="00423EB0" w:rsidRDefault="00007E48" w:rsidP="00007E48">
      <w:pPr>
        <w:overflowPunct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 w:themeColor="text1"/>
        </w:rPr>
      </w:pPr>
    </w:p>
    <w:p w:rsidR="00007E48" w:rsidRPr="00423EB0" w:rsidRDefault="00007E48" w:rsidP="00007E4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423EB0">
        <w:rPr>
          <w:rFonts w:ascii="Arial" w:hAnsi="Arial" w:cs="Arial"/>
          <w:b/>
          <w:bCs/>
          <w:color w:val="000000" w:themeColor="text1"/>
        </w:rPr>
        <w:t>X</w:t>
      </w:r>
      <w:r w:rsidR="001A32A8" w:rsidRPr="00423EB0">
        <w:rPr>
          <w:rFonts w:ascii="Arial" w:hAnsi="Arial" w:cs="Arial"/>
          <w:b/>
          <w:bCs/>
          <w:color w:val="000000" w:themeColor="text1"/>
        </w:rPr>
        <w:t>I</w:t>
      </w:r>
      <w:r w:rsidRPr="00423EB0">
        <w:rPr>
          <w:rFonts w:ascii="Arial" w:hAnsi="Arial" w:cs="Arial"/>
          <w:b/>
          <w:bCs/>
          <w:color w:val="000000" w:themeColor="text1"/>
        </w:rPr>
        <w:t>.</w:t>
      </w:r>
    </w:p>
    <w:p w:rsidR="00007E48" w:rsidRPr="00423EB0" w:rsidRDefault="00007E48" w:rsidP="00007E48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 w:themeColor="text1"/>
        </w:rPr>
      </w:pPr>
      <w:r w:rsidRPr="00423EB0">
        <w:rPr>
          <w:rFonts w:ascii="Arial" w:hAnsi="Arial" w:cs="Arial"/>
          <w:b/>
          <w:bCs/>
          <w:color w:val="000000" w:themeColor="text1"/>
        </w:rPr>
        <w:t>Doložka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3643" w:rsidRPr="00584DB2" w:rsidRDefault="00653D55" w:rsidP="00423EB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</w:t>
      </w:r>
      <w:r w:rsidR="00007E48" w:rsidRPr="00584DB2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="00007E48" w:rsidRPr="00584DB2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a</w:t>
      </w:r>
      <w:r w:rsidR="00007E48" w:rsidRPr="00584DB2">
        <w:rPr>
          <w:rFonts w:ascii="Arial" w:hAnsi="Arial" w:cs="Arial"/>
        </w:rPr>
        <w:t xml:space="preserve"> Zastupitelst</w:t>
      </w:r>
      <w:r w:rsidR="009B7603" w:rsidRPr="00584DB2">
        <w:rPr>
          <w:rFonts w:ascii="Arial" w:hAnsi="Arial" w:cs="Arial"/>
        </w:rPr>
        <w:t>vem města Brna na zasedání č. Z8</w:t>
      </w:r>
      <w:r w:rsidR="00E6797B">
        <w:rPr>
          <w:rFonts w:ascii="Arial" w:hAnsi="Arial" w:cs="Arial"/>
        </w:rPr>
        <w:t>/25 konaného dne 23. 3. 2021</w:t>
      </w:r>
      <w:r w:rsidR="00927A19">
        <w:rPr>
          <w:rFonts w:ascii="Arial" w:hAnsi="Arial" w:cs="Arial"/>
        </w:rPr>
        <w:t>.</w:t>
      </w:r>
    </w:p>
    <w:p w:rsidR="00E23643" w:rsidRPr="00584DB2" w:rsidRDefault="00E23643" w:rsidP="00E23643">
      <w:pPr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Smluvní strany berou na vědomí, že v souladu se zákonem č. 340/2015 Sb., o zvláštních podmínkách účinnosti některých smluv, uveřejňování těchto smluv a o registru smluv bude tato smlouva uveřejněna v registru smluv. Poskytovatel se zavazuje, že tuto smlouvu zašle sprá</w:t>
      </w:r>
      <w:r w:rsidR="00927A19">
        <w:rPr>
          <w:rFonts w:ascii="Arial" w:hAnsi="Arial" w:cs="Arial"/>
        </w:rPr>
        <w:t>vci registru smluv do 30 dnů od </w:t>
      </w:r>
      <w:r w:rsidRPr="00584DB2">
        <w:rPr>
          <w:rFonts w:ascii="Arial" w:hAnsi="Arial" w:cs="Arial"/>
        </w:rPr>
        <w:t>jejího uzavření.</w:t>
      </w:r>
    </w:p>
    <w:p w:rsidR="00E23643" w:rsidRPr="00584DB2" w:rsidRDefault="00E23643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3EB0" w:rsidRPr="00584DB2" w:rsidRDefault="00180252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 Brně dne</w:t>
      </w:r>
      <w:r w:rsidR="00817165">
        <w:rPr>
          <w:rFonts w:ascii="Arial" w:hAnsi="Arial" w:cs="Arial"/>
        </w:rPr>
        <w:t xml:space="preserve"> 30. 3. 2021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Brně dne</w:t>
      </w:r>
      <w:bookmarkStart w:id="1" w:name="_GoBack"/>
      <w:bookmarkEnd w:id="1"/>
      <w:r w:rsidR="00817165">
        <w:rPr>
          <w:rFonts w:ascii="Arial" w:hAnsi="Arial" w:cs="Arial"/>
        </w:rPr>
        <w:t xml:space="preserve"> 31. 3. 2021</w:t>
      </w: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E48" w:rsidRPr="00584DB2" w:rsidRDefault="00007E48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Za poskytovatele:</w:t>
      </w:r>
      <w:r w:rsidRPr="00584DB2">
        <w:rPr>
          <w:rFonts w:ascii="Arial" w:hAnsi="Arial" w:cs="Arial"/>
        </w:rPr>
        <w:tab/>
      </w:r>
      <w:r w:rsidRPr="00584DB2">
        <w:rPr>
          <w:rFonts w:ascii="Arial" w:hAnsi="Arial" w:cs="Arial"/>
        </w:rPr>
        <w:tab/>
      </w:r>
      <w:r w:rsidRPr="00584DB2">
        <w:rPr>
          <w:rFonts w:ascii="Arial" w:hAnsi="Arial" w:cs="Arial"/>
        </w:rPr>
        <w:tab/>
      </w:r>
      <w:r w:rsidRPr="00584DB2">
        <w:rPr>
          <w:rFonts w:ascii="Arial" w:hAnsi="Arial" w:cs="Arial"/>
        </w:rPr>
        <w:tab/>
      </w:r>
      <w:r w:rsidRPr="00584DB2">
        <w:rPr>
          <w:rFonts w:ascii="Arial" w:hAnsi="Arial" w:cs="Arial"/>
        </w:rPr>
        <w:tab/>
        <w:t>Za příjemce:</w:t>
      </w:r>
    </w:p>
    <w:p w:rsidR="00423EB0" w:rsidRDefault="00423EB0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3EB0" w:rsidRPr="00584DB2" w:rsidRDefault="00423EB0" w:rsidP="00007E4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3E36" w:rsidRDefault="00007E48" w:rsidP="00423EB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B2">
        <w:rPr>
          <w:rFonts w:ascii="Arial" w:hAnsi="Arial" w:cs="Arial"/>
        </w:rPr>
        <w:t>_____________________________</w:t>
      </w:r>
      <w:r w:rsidRPr="00584DB2">
        <w:rPr>
          <w:rFonts w:ascii="Arial" w:hAnsi="Arial" w:cs="Arial"/>
        </w:rPr>
        <w:tab/>
      </w:r>
      <w:r w:rsidRPr="00584DB2">
        <w:rPr>
          <w:rFonts w:ascii="Arial" w:hAnsi="Arial" w:cs="Arial"/>
        </w:rPr>
        <w:tab/>
      </w:r>
      <w:r w:rsidRPr="00584DB2">
        <w:rPr>
          <w:rFonts w:ascii="Arial" w:hAnsi="Arial" w:cs="Arial"/>
        </w:rPr>
        <w:tab/>
        <w:t>________________________________</w:t>
      </w:r>
    </w:p>
    <w:p w:rsidR="00817165" w:rsidRDefault="00817165" w:rsidP="0081716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PaedDr. Jan Polák, CSc.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Pavel Novák</w:t>
      </w:r>
    </w:p>
    <w:p w:rsidR="00817165" w:rsidRPr="00584DB2" w:rsidRDefault="00817165" w:rsidP="00423EB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817165" w:rsidRPr="00584DB2" w:rsidSect="00145F6E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274" w:rsidRDefault="00695274">
      <w:r>
        <w:separator/>
      </w:r>
    </w:p>
  </w:endnote>
  <w:endnote w:type="continuationSeparator" w:id="0">
    <w:p w:rsidR="00695274" w:rsidRDefault="0069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F6E" w:rsidRPr="00145F6E" w:rsidRDefault="00695274">
    <w:pPr>
      <w:pStyle w:val="Zpat"/>
      <w:jc w:val="right"/>
      <w:rPr>
        <w:sz w:val="24"/>
        <w:szCs w:val="24"/>
      </w:rPr>
    </w:pPr>
  </w:p>
  <w:p w:rsidR="004D3BDA" w:rsidRDefault="0069527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274" w:rsidRDefault="00695274">
      <w:r>
        <w:separator/>
      </w:r>
    </w:p>
  </w:footnote>
  <w:footnote w:type="continuationSeparator" w:id="0">
    <w:p w:rsidR="00695274" w:rsidRDefault="0069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299"/>
    <w:multiLevelType w:val="hybridMultilevel"/>
    <w:tmpl w:val="1D9E99FE"/>
    <w:lvl w:ilvl="0" w:tplc="43907B6C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9E07B98"/>
    <w:multiLevelType w:val="multilevel"/>
    <w:tmpl w:val="6D1C51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A52E77"/>
    <w:multiLevelType w:val="multilevel"/>
    <w:tmpl w:val="6E1EDF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48"/>
    <w:rsid w:val="00007E48"/>
    <w:rsid w:val="00075E31"/>
    <w:rsid w:val="00085FDA"/>
    <w:rsid w:val="000A6E30"/>
    <w:rsid w:val="000B6256"/>
    <w:rsid w:val="0014006B"/>
    <w:rsid w:val="0014299F"/>
    <w:rsid w:val="00180252"/>
    <w:rsid w:val="001A32A8"/>
    <w:rsid w:val="001C0E8A"/>
    <w:rsid w:val="001C1060"/>
    <w:rsid w:val="001D66A2"/>
    <w:rsid w:val="00220881"/>
    <w:rsid w:val="002737A4"/>
    <w:rsid w:val="0029447B"/>
    <w:rsid w:val="002E1208"/>
    <w:rsid w:val="00315FC3"/>
    <w:rsid w:val="00341461"/>
    <w:rsid w:val="003542E6"/>
    <w:rsid w:val="00372DE8"/>
    <w:rsid w:val="003856FF"/>
    <w:rsid w:val="003A662D"/>
    <w:rsid w:val="003F739C"/>
    <w:rsid w:val="00407DBC"/>
    <w:rsid w:val="00423EB0"/>
    <w:rsid w:val="00453E95"/>
    <w:rsid w:val="00470693"/>
    <w:rsid w:val="004B4416"/>
    <w:rsid w:val="004F25E3"/>
    <w:rsid w:val="0052510D"/>
    <w:rsid w:val="0054150A"/>
    <w:rsid w:val="00551439"/>
    <w:rsid w:val="00573B2B"/>
    <w:rsid w:val="00582476"/>
    <w:rsid w:val="00584DB2"/>
    <w:rsid w:val="005A4D71"/>
    <w:rsid w:val="005A5588"/>
    <w:rsid w:val="005E70B4"/>
    <w:rsid w:val="00627633"/>
    <w:rsid w:val="0065220C"/>
    <w:rsid w:val="00652CA3"/>
    <w:rsid w:val="00653D55"/>
    <w:rsid w:val="00662B5A"/>
    <w:rsid w:val="00663F56"/>
    <w:rsid w:val="00670DAF"/>
    <w:rsid w:val="0067107C"/>
    <w:rsid w:val="006843E9"/>
    <w:rsid w:val="00695274"/>
    <w:rsid w:val="006A0702"/>
    <w:rsid w:val="006B3E36"/>
    <w:rsid w:val="006E7FBD"/>
    <w:rsid w:val="0071642F"/>
    <w:rsid w:val="00716F69"/>
    <w:rsid w:val="007254F8"/>
    <w:rsid w:val="00792141"/>
    <w:rsid w:val="007A4DE6"/>
    <w:rsid w:val="007B56AD"/>
    <w:rsid w:val="007E56DC"/>
    <w:rsid w:val="007E74F6"/>
    <w:rsid w:val="008110D4"/>
    <w:rsid w:val="00811784"/>
    <w:rsid w:val="00817165"/>
    <w:rsid w:val="008553BD"/>
    <w:rsid w:val="0088513E"/>
    <w:rsid w:val="008A5E80"/>
    <w:rsid w:val="008A76F6"/>
    <w:rsid w:val="008C7835"/>
    <w:rsid w:val="008D4CBF"/>
    <w:rsid w:val="008F2DE9"/>
    <w:rsid w:val="00927A19"/>
    <w:rsid w:val="0094283E"/>
    <w:rsid w:val="00964790"/>
    <w:rsid w:val="00974937"/>
    <w:rsid w:val="00995158"/>
    <w:rsid w:val="009B7603"/>
    <w:rsid w:val="009E627C"/>
    <w:rsid w:val="009F0154"/>
    <w:rsid w:val="00A0145E"/>
    <w:rsid w:val="00A02B7A"/>
    <w:rsid w:val="00A06407"/>
    <w:rsid w:val="00A07293"/>
    <w:rsid w:val="00A302EA"/>
    <w:rsid w:val="00A3410A"/>
    <w:rsid w:val="00A55C31"/>
    <w:rsid w:val="00A82224"/>
    <w:rsid w:val="00A866D6"/>
    <w:rsid w:val="00AD6FFC"/>
    <w:rsid w:val="00AE535E"/>
    <w:rsid w:val="00B05CCD"/>
    <w:rsid w:val="00B313FA"/>
    <w:rsid w:val="00B618C2"/>
    <w:rsid w:val="00B74E4B"/>
    <w:rsid w:val="00BB1E81"/>
    <w:rsid w:val="00BB48E7"/>
    <w:rsid w:val="00BB5C29"/>
    <w:rsid w:val="00BE17FB"/>
    <w:rsid w:val="00BE1AE4"/>
    <w:rsid w:val="00BF36A0"/>
    <w:rsid w:val="00C023DD"/>
    <w:rsid w:val="00C04425"/>
    <w:rsid w:val="00C1706A"/>
    <w:rsid w:val="00C22DE7"/>
    <w:rsid w:val="00C26AA1"/>
    <w:rsid w:val="00C55A06"/>
    <w:rsid w:val="00CA0CBE"/>
    <w:rsid w:val="00CA2C95"/>
    <w:rsid w:val="00CA7816"/>
    <w:rsid w:val="00CE0224"/>
    <w:rsid w:val="00D568C6"/>
    <w:rsid w:val="00D7651B"/>
    <w:rsid w:val="00D86213"/>
    <w:rsid w:val="00DC4096"/>
    <w:rsid w:val="00E059A1"/>
    <w:rsid w:val="00E23643"/>
    <w:rsid w:val="00E6797B"/>
    <w:rsid w:val="00EB3C96"/>
    <w:rsid w:val="00EC06ED"/>
    <w:rsid w:val="00EC62EE"/>
    <w:rsid w:val="00ED5C82"/>
    <w:rsid w:val="00EE7FA0"/>
    <w:rsid w:val="00EF4F0F"/>
    <w:rsid w:val="00EF762F"/>
    <w:rsid w:val="00F432AE"/>
    <w:rsid w:val="00F47DB9"/>
    <w:rsid w:val="00F502A3"/>
    <w:rsid w:val="00F57894"/>
    <w:rsid w:val="00F70A62"/>
    <w:rsid w:val="00F70F3F"/>
    <w:rsid w:val="00F710DF"/>
    <w:rsid w:val="00F921E1"/>
    <w:rsid w:val="00FA3588"/>
    <w:rsid w:val="00FD2BD3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E00D"/>
  <w15:docId w15:val="{BEDFB1F7-D5BC-42F3-AF40-D544C402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7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07E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7E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7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7F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C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C9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407DBC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07DB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618C2"/>
    <w:pPr>
      <w:ind w:left="708"/>
    </w:pPr>
    <w:rPr>
      <w:rFonts w:ascii="Arial Narrow" w:hAnsi="Arial Narro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618C2"/>
    <w:rPr>
      <w:rFonts w:ascii="Arial Narrow" w:eastAsia="Times New Roman" w:hAnsi="Arial Narro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C9F8-522C-4523-8FF2-0D74372D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2237</Words>
  <Characters>13204</Characters>
  <Application>Microsoft Office Word</Application>
  <DocSecurity>0</DocSecurity>
  <Lines>110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IČO: 44992785</vt:lpstr>
      <vt:lpstr>    Práva a povinnosti smluvních stran</vt:lpstr>
      <vt:lpstr>    Kontrola</vt:lpstr>
      <vt:lpstr>    Závěrečná ustanovení</vt:lpstr>
      <vt:lpstr>    Doložka</vt:lpstr>
    </vt:vector>
  </TitlesOfParts>
  <Company>MMB</Company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Fiedlerová</dc:creator>
  <cp:lastModifiedBy>Lenka Štěpánková</cp:lastModifiedBy>
  <cp:revision>4</cp:revision>
  <cp:lastPrinted>2021-03-22T13:29:00Z</cp:lastPrinted>
  <dcterms:created xsi:type="dcterms:W3CDTF">2021-04-06T10:36:00Z</dcterms:created>
  <dcterms:modified xsi:type="dcterms:W3CDTF">2021-04-06T10:54:00Z</dcterms:modified>
</cp:coreProperties>
</file>