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E4" w:rsidRDefault="002F33E4">
      <w:pPr>
        <w:spacing w:after="0"/>
        <w:ind w:left="-1440" w:right="902"/>
      </w:pPr>
      <w:bookmarkStart w:id="0" w:name="_GoBack"/>
      <w:bookmarkEnd w:id="0"/>
    </w:p>
    <w:tbl>
      <w:tblPr>
        <w:tblStyle w:val="TableGrid"/>
        <w:tblW w:w="13472" w:type="dxa"/>
        <w:tblInd w:w="-4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74"/>
        <w:gridCol w:w="542"/>
        <w:gridCol w:w="677"/>
        <w:gridCol w:w="387"/>
        <w:gridCol w:w="6103"/>
        <w:gridCol w:w="268"/>
        <w:gridCol w:w="236"/>
        <w:gridCol w:w="831"/>
        <w:gridCol w:w="811"/>
        <w:gridCol w:w="698"/>
        <w:gridCol w:w="440"/>
        <w:gridCol w:w="559"/>
        <w:gridCol w:w="1082"/>
      </w:tblGrid>
      <w:tr w:rsidR="002F33E4">
        <w:trPr>
          <w:trHeight w:val="287"/>
        </w:trPr>
        <w:tc>
          <w:tcPr>
            <w:tcW w:w="9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F33E4" w:rsidRDefault="00CB6436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sz w:val="13"/>
              </w:rPr>
              <w:t>Příloha č. 1 Kupní smlouvy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F33E4" w:rsidRDefault="002F33E4"/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F33E4" w:rsidRDefault="002F33E4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F33E4" w:rsidRDefault="002F33E4"/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F33E4" w:rsidRDefault="002F33E4"/>
        </w:tc>
      </w:tr>
      <w:tr w:rsidR="002F33E4">
        <w:trPr>
          <w:trHeight w:val="250"/>
        </w:trPr>
        <w:tc>
          <w:tcPr>
            <w:tcW w:w="9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F33E4" w:rsidRDefault="00CB6436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1"/>
              </w:rPr>
              <w:t>Kalkulace vybavení učeben - Základní škola, Česká Lípa, 28. října 2733, příspěvková organizace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F33E4" w:rsidRDefault="002F33E4"/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F33E4" w:rsidRDefault="002F33E4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F33E4" w:rsidRDefault="002F33E4"/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F33E4" w:rsidRDefault="002F33E4"/>
        </w:tc>
      </w:tr>
      <w:tr w:rsidR="002F33E4">
        <w:trPr>
          <w:trHeight w:val="1004"/>
        </w:trPr>
        <w:tc>
          <w:tcPr>
            <w:tcW w:w="244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CC"/>
          </w:tcPr>
          <w:p w:rsidR="002F33E4" w:rsidRDefault="00CB6436">
            <w:pPr>
              <w:spacing w:after="116"/>
              <w:ind w:left="22"/>
              <w:jc w:val="both"/>
            </w:pPr>
            <w:r>
              <w:rPr>
                <w:rFonts w:ascii="Arial" w:eastAsia="Arial" w:hAnsi="Arial" w:cs="Arial"/>
                <w:b/>
                <w:sz w:val="12"/>
              </w:rPr>
              <w:t>Uchazeč název: AV MEDIA SYSTEMS, a.s.</w:t>
            </w:r>
          </w:p>
          <w:p w:rsidR="002F33E4" w:rsidRDefault="00CB6436">
            <w:pPr>
              <w:spacing w:after="91"/>
              <w:ind w:left="22"/>
            </w:pPr>
            <w:r>
              <w:rPr>
                <w:rFonts w:ascii="Arial" w:eastAsia="Arial" w:hAnsi="Arial" w:cs="Arial"/>
                <w:b/>
                <w:sz w:val="12"/>
              </w:rPr>
              <w:t>IČ uchazeče: 48108375</w:t>
            </w:r>
          </w:p>
          <w:p w:rsidR="002F33E4" w:rsidRDefault="00CB6436">
            <w:pPr>
              <w:spacing w:after="84"/>
              <w:ind w:left="22"/>
              <w:jc w:val="both"/>
            </w:pPr>
            <w:r>
              <w:rPr>
                <w:rFonts w:ascii="Arial" w:eastAsia="Arial" w:hAnsi="Arial" w:cs="Arial"/>
                <w:b/>
                <w:sz w:val="12"/>
              </w:rPr>
              <w:t xml:space="preserve">Adresa uchazeče: Praha – Hostivař,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Pražs</w:t>
            </w:r>
            <w:proofErr w:type="spellEnd"/>
          </w:p>
          <w:p w:rsidR="002F33E4" w:rsidRDefault="00CB6436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2"/>
              </w:rPr>
              <w:t xml:space="preserve">Datum: </w:t>
            </w:r>
            <w:proofErr w:type="gramStart"/>
            <w:r>
              <w:rPr>
                <w:rFonts w:ascii="Arial" w:eastAsia="Arial" w:hAnsi="Arial" w:cs="Arial"/>
                <w:b/>
                <w:sz w:val="12"/>
              </w:rPr>
              <w:t>26.3.2021</w:t>
            </w:r>
            <w:proofErr w:type="gramEnd"/>
          </w:p>
        </w:tc>
        <w:tc>
          <w:tcPr>
            <w:tcW w:w="743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CC"/>
            <w:vAlign w:val="bottom"/>
          </w:tcPr>
          <w:p w:rsidR="002F33E4" w:rsidRDefault="00CB6436">
            <w:pPr>
              <w:spacing w:after="0"/>
              <w:ind w:left="-36"/>
            </w:pP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ká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1335/63, PSČ: 102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CC"/>
          </w:tcPr>
          <w:p w:rsidR="002F33E4" w:rsidRDefault="002F33E4"/>
        </w:tc>
        <w:tc>
          <w:tcPr>
            <w:tcW w:w="11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CC"/>
          </w:tcPr>
          <w:p w:rsidR="002F33E4" w:rsidRDefault="002F33E4"/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CC"/>
          </w:tcPr>
          <w:p w:rsidR="002F33E4" w:rsidRDefault="002F33E4"/>
        </w:tc>
        <w:tc>
          <w:tcPr>
            <w:tcW w:w="10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CC"/>
          </w:tcPr>
          <w:p w:rsidR="002F33E4" w:rsidRDefault="002F33E4"/>
        </w:tc>
      </w:tr>
      <w:tr w:rsidR="002F33E4">
        <w:trPr>
          <w:trHeight w:val="47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F33E4" w:rsidRDefault="00CB6436">
            <w:pPr>
              <w:spacing w:after="0"/>
              <w:ind w:left="116"/>
            </w:pPr>
            <w:proofErr w:type="gramStart"/>
            <w:r>
              <w:rPr>
                <w:rFonts w:ascii="Arial" w:eastAsia="Arial" w:hAnsi="Arial" w:cs="Arial"/>
                <w:sz w:val="12"/>
              </w:rPr>
              <w:t>P.Č.</w:t>
            </w:r>
            <w:proofErr w:type="gramEnd"/>
          </w:p>
        </w:tc>
        <w:tc>
          <w:tcPr>
            <w:tcW w:w="37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F33E4" w:rsidRDefault="00CB6436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2"/>
              </w:rPr>
              <w:t>TV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F33E4" w:rsidRDefault="00CB6436">
            <w:pPr>
              <w:spacing w:after="0"/>
              <w:ind w:left="146"/>
            </w:pPr>
            <w:r>
              <w:rPr>
                <w:rFonts w:ascii="Arial" w:eastAsia="Arial" w:hAnsi="Arial" w:cs="Arial"/>
                <w:sz w:val="12"/>
              </w:rPr>
              <w:t>KCN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F33E4" w:rsidRDefault="00CB6436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>Kód položky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F33E4" w:rsidRDefault="00CB6436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>Popis / minimální technické parametry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F33E4" w:rsidRDefault="00CB6436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>MJ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:rsidR="002F33E4" w:rsidRDefault="00CB643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Množství celkem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:rsidR="002F33E4" w:rsidRDefault="00CB6436">
            <w:pPr>
              <w:spacing w:after="0" w:line="271" w:lineRule="auto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Jednotková cena bez </w:t>
            </w:r>
          </w:p>
          <w:p w:rsidR="002F33E4" w:rsidRDefault="00CB6436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>DPH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:rsidR="002F33E4" w:rsidRDefault="00CB6436">
            <w:pPr>
              <w:spacing w:after="7"/>
              <w:ind w:left="106"/>
            </w:pPr>
            <w:r>
              <w:rPr>
                <w:rFonts w:ascii="Arial" w:eastAsia="Arial" w:hAnsi="Arial" w:cs="Arial"/>
                <w:sz w:val="12"/>
              </w:rPr>
              <w:t xml:space="preserve">Cena celkem bez </w:t>
            </w:r>
          </w:p>
          <w:p w:rsidR="002F33E4" w:rsidRDefault="00CB6436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>DPH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:rsidR="002F33E4" w:rsidRDefault="00CB6436">
            <w:pPr>
              <w:spacing w:after="7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Sazba </w:t>
            </w:r>
          </w:p>
          <w:p w:rsidR="002F33E4" w:rsidRDefault="00CB6436">
            <w:pPr>
              <w:spacing w:after="0"/>
              <w:ind w:left="156"/>
            </w:pPr>
            <w:r>
              <w:rPr>
                <w:rFonts w:ascii="Arial" w:eastAsia="Arial" w:hAnsi="Arial" w:cs="Arial"/>
                <w:sz w:val="12"/>
              </w:rPr>
              <w:t>DPH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F33E4" w:rsidRDefault="00CB6436">
            <w:pPr>
              <w:spacing w:after="7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Cena celkem s </w:t>
            </w:r>
          </w:p>
          <w:p w:rsidR="002F33E4" w:rsidRDefault="00CB6436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>DPH</w:t>
            </w:r>
          </w:p>
        </w:tc>
      </w:tr>
      <w:tr w:rsidR="002F33E4">
        <w:trPr>
          <w:trHeight w:val="40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24"/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12"/>
              </w:rPr>
              <w:t>Intertaktivní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12"/>
              </w:rPr>
              <w:t xml:space="preserve"> tabule a příslušenství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color w:val="0000FF"/>
                <w:sz w:val="12"/>
              </w:rPr>
              <w:t>186 080,00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</w:tr>
      <w:tr w:rsidR="002F33E4">
        <w:trPr>
          <w:trHeight w:val="173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2"/>
              </w:rPr>
              <w:t>vlastní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24" w:right="3"/>
            </w:pPr>
            <w:r>
              <w:rPr>
                <w:rFonts w:ascii="Arial" w:eastAsia="Arial" w:hAnsi="Arial" w:cs="Arial"/>
                <w:sz w:val="12"/>
              </w:rPr>
              <w:t>Interaktivní tabule včetně dopravy, montáže a kabeláže, Prezentační SW včetně instalace na řídící PC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CB6436">
            <w:pPr>
              <w:spacing w:after="0"/>
              <w:ind w:left="24" w:right="3"/>
            </w:pPr>
            <w:r>
              <w:rPr>
                <w:rFonts w:ascii="Arial" w:eastAsia="Arial" w:hAnsi="Arial" w:cs="Arial"/>
                <w:sz w:val="12"/>
              </w:rPr>
              <w:t>Interaktivní tabule s poměrem stran 16:10. Úhlopříčka obrazu min. 220 cm. Dotyková technologie založená na principu 4 kamer pro přesné a intuitivní ovládán</w:t>
            </w:r>
            <w:r>
              <w:rPr>
                <w:rFonts w:ascii="Arial" w:eastAsia="Arial" w:hAnsi="Arial" w:cs="Arial"/>
                <w:sz w:val="12"/>
              </w:rPr>
              <w:t xml:space="preserve">í. Dotyk prstem, popisovačem, houbičkou nebo jiným předmětem.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Multidotyk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min. 4 současné dotyky a gesta. Odolný povrch s úpravou pro projekci obrazu bez odlesků. Včetně 2 popisovačů s přepínáním 4 barev, mazací houbičky. Propojení s přídavným projektorem. </w:t>
            </w:r>
            <w:r>
              <w:rPr>
                <w:rFonts w:ascii="Arial" w:eastAsia="Arial" w:hAnsi="Arial" w:cs="Arial"/>
                <w:sz w:val="12"/>
              </w:rPr>
              <w:t>Vč. instalace a dopravy Dodávka interaktivní tabule musí obsahovat i SW balíček, který obsahuje autorský nástroje učitele – SW pro přípravu interaktivních cvičení musí být plně kompatibilní (umožňovat otevřít soubor, spustit všechny aktivity, animace, ulož</w:t>
            </w:r>
            <w:r>
              <w:rPr>
                <w:rFonts w:ascii="Arial" w:eastAsia="Arial" w:hAnsi="Arial" w:cs="Arial"/>
                <w:sz w:val="12"/>
              </w:rPr>
              <w:t xml:space="preserve">it v původním formátu) se soubory s příponou notebook. Autorský nástroj musí být kompatibilní s operačními systémy Windows, Mac OS, Linux, prostředí musí být v českém jazyce. Dále musí existovat aplikace s obdobnými funkcemi pro tablety platformy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iOS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Balí</w:t>
            </w:r>
            <w:r>
              <w:rPr>
                <w:rFonts w:ascii="Arial" w:eastAsia="Arial" w:hAnsi="Arial" w:cs="Arial"/>
                <w:sz w:val="12"/>
              </w:rPr>
              <w:t xml:space="preserve">ček dále musí obsahovat nástroj pro rychlou přípravu digitálních učebních aktivit 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cloud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prostředí pro spolupráci žáků, řešení problémů prostřednictvím žákovských zařízení a umožňovat aktivaci na min. 4PC. 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2"/>
              </w:rPr>
              <w:t>kus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2,000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29 189,00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58 378,00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21,0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70 637,38</w:t>
            </w:r>
          </w:p>
        </w:tc>
      </w:tr>
      <w:tr w:rsidR="002F33E4">
        <w:trPr>
          <w:trHeight w:val="59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2"/>
              </w:rPr>
              <w:t>vlastní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CB6436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2"/>
              </w:rPr>
              <w:t>Projektor včetně dopravy, montáže a kabeláže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CB6436">
            <w:pPr>
              <w:spacing w:after="0" w:line="272" w:lineRule="auto"/>
              <w:ind w:left="24"/>
            </w:pPr>
            <w:r>
              <w:rPr>
                <w:rFonts w:ascii="Arial" w:eastAsia="Arial" w:hAnsi="Arial" w:cs="Arial"/>
                <w:sz w:val="12"/>
              </w:rPr>
              <w:t xml:space="preserve">Ultrakrátký projektor, svítivost 3500 ANSI/LM, LCD technologie, lampa s životností až 6 000 hodin (v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ECO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režimu), nativní rozlišení WXGA, poměr stran 16:10, Projekční poměr 0,36:1, hluč</w:t>
            </w:r>
            <w:r>
              <w:rPr>
                <w:rFonts w:ascii="Arial" w:eastAsia="Arial" w:hAnsi="Arial" w:cs="Arial"/>
                <w:sz w:val="12"/>
              </w:rPr>
              <w:t xml:space="preserve">nost 38 dB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normal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/ 32 dB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eco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. </w:t>
            </w:r>
          </w:p>
          <w:p w:rsidR="002F33E4" w:rsidRDefault="00CB6436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2"/>
              </w:rPr>
              <w:t>Záruka 60 měsíců na dataprojektor. Cena včetně dopravy, instalace a nezbytné propojovací kabeláže.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2"/>
              </w:rPr>
              <w:t>kus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2,000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28 900,00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57 800,00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21,0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69 938,00</w:t>
            </w:r>
          </w:p>
        </w:tc>
      </w:tr>
      <w:tr w:rsidR="002F33E4">
        <w:trPr>
          <w:trHeight w:val="73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2"/>
              </w:rPr>
              <w:t>vlastní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CB6436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2"/>
              </w:rPr>
              <w:t>Přídavné reproduktory včetně dopravy, montáže a kabeláže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2"/>
              </w:rPr>
              <w:t>Př</w:t>
            </w:r>
            <w:r>
              <w:rPr>
                <w:rFonts w:ascii="Arial" w:eastAsia="Arial" w:hAnsi="Arial" w:cs="Arial"/>
                <w:sz w:val="12"/>
              </w:rPr>
              <w:t xml:space="preserve">ídavné reproduktory s možností uchycení na pylonový pojezd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tabule,20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W.Cena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včetně dopravy, instalace a nezbytné propojovací kabeláže.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74"/>
            </w:pPr>
            <w:r>
              <w:rPr>
                <w:rFonts w:ascii="Arial" w:eastAsia="Arial" w:hAnsi="Arial" w:cs="Arial"/>
                <w:sz w:val="12"/>
              </w:rPr>
              <w:t>soubor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2,000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5 300,00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10 600,00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21,0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12 826,00</w:t>
            </w:r>
          </w:p>
        </w:tc>
      </w:tr>
      <w:tr w:rsidR="002F33E4">
        <w:trPr>
          <w:trHeight w:val="8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E4" w:rsidRDefault="002F33E4"/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2"/>
              </w:rPr>
              <w:t>vlastní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2"/>
              </w:rPr>
              <w:t>Pylonový pojezd s křídly včetně dopravy, montáže a kabeláže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2"/>
              </w:rPr>
              <w:t>Pylonový pojezd s křídly. Stabilní konstrukce z hliníkových profilů o výšce min.250cm. Rozsah posunu min. 70cm. Rozložení hmotnosti sestavy na stěnu a podlahu. Integrovaný úchyt pro držák projektoru. Boční křídla k interaktivní tabuli pro popisování fixem,</w:t>
            </w:r>
            <w:r>
              <w:rPr>
                <w:rFonts w:ascii="Arial" w:eastAsia="Arial" w:hAnsi="Arial" w:cs="Arial"/>
                <w:sz w:val="12"/>
              </w:rPr>
              <w:t xml:space="preserve"> křídou nebo v kombinaci. Cena včetně dopravy, instalace.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2"/>
              </w:rPr>
              <w:t>kus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2,000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29 651,00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59 302,00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21,0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E4" w:rsidRDefault="00CB6436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2"/>
              </w:rPr>
              <w:t>71 755,42</w:t>
            </w:r>
          </w:p>
        </w:tc>
      </w:tr>
      <w:tr w:rsidR="002F33E4">
        <w:tblPrEx>
          <w:tblCellMar>
            <w:top w:w="18" w:type="dxa"/>
          </w:tblCellMar>
        </w:tblPrEx>
        <w:trPr>
          <w:gridBefore w:val="4"/>
          <w:gridAfter w:val="3"/>
          <w:wBefore w:w="2057" w:type="dxa"/>
          <w:wAfter w:w="2079" w:type="dxa"/>
          <w:trHeight w:val="161"/>
        </w:trPr>
        <w:tc>
          <w:tcPr>
            <w:tcW w:w="6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3E4" w:rsidRDefault="00CB6436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Celkem bez DPH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33E4" w:rsidRDefault="00CB6436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>186 080,00 Kč</w:t>
            </w:r>
          </w:p>
        </w:tc>
      </w:tr>
      <w:tr w:rsidR="002F33E4">
        <w:tblPrEx>
          <w:tblCellMar>
            <w:top w:w="18" w:type="dxa"/>
          </w:tblCellMar>
        </w:tblPrEx>
        <w:trPr>
          <w:gridBefore w:val="4"/>
          <w:gridAfter w:val="3"/>
          <w:wBefore w:w="2057" w:type="dxa"/>
          <w:wAfter w:w="2079" w:type="dxa"/>
          <w:trHeight w:val="161"/>
        </w:trPr>
        <w:tc>
          <w:tcPr>
            <w:tcW w:w="6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3E4" w:rsidRDefault="00CB6436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Celkem s DPH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33E4" w:rsidRDefault="00CB6436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>225 156,80 Kč</w:t>
            </w:r>
          </w:p>
        </w:tc>
      </w:tr>
    </w:tbl>
    <w:p w:rsidR="00CB6436" w:rsidRDefault="00CB6436"/>
    <w:sectPr w:rsidR="00CB6436">
      <w:pgSz w:w="16840" w:h="11900" w:orient="landscape"/>
      <w:pgMar w:top="114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E4"/>
    <w:rsid w:val="002F33E4"/>
    <w:rsid w:val="004D57AD"/>
    <w:rsid w:val="00C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56A28-41BD-4C11-A044-D647D3D8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KS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KS</dc:title>
  <dc:subject/>
  <dc:creator>smetana</dc:creator>
  <cp:keywords/>
  <cp:lastModifiedBy>Urbancová Olga</cp:lastModifiedBy>
  <cp:revision>2</cp:revision>
  <dcterms:created xsi:type="dcterms:W3CDTF">2021-04-08T09:42:00Z</dcterms:created>
  <dcterms:modified xsi:type="dcterms:W3CDTF">2021-04-08T09:42:00Z</dcterms:modified>
</cp:coreProperties>
</file>