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89" w:after="8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1900" w:h="16840"/>
          <w:pgMar w:top="1686" w:left="1127" w:right="1024" w:bottom="1420" w:header="0" w:footer="3" w:gutter="0"/>
          <w:pgNumType w:start="1"/>
          <w:cols w:space="720"/>
          <w:noEndnote/>
          <w:rtlGutter w:val="0"/>
          <w:docGrid w:linePitch="360"/>
        </w:sectPr>
      </w:pPr>
    </w:p>
    <w:p>
      <w:pPr>
        <w:widowControl w:val="0"/>
        <w:spacing w:line="1" w:lineRule="exact"/>
      </w:pPr>
      <w:r>
        <mc:AlternateContent>
          <mc:Choice Requires="wps">
            <w:drawing>
              <wp:anchor distT="0" distB="1496695" distL="114300" distR="114300" simplePos="0" relativeHeight="125829378" behindDoc="0" locked="0" layoutInCell="1" allowOverlap="1">
                <wp:simplePos x="0" y="0"/>
                <wp:positionH relativeFrom="page">
                  <wp:posOffset>901700</wp:posOffset>
                </wp:positionH>
                <wp:positionV relativeFrom="paragraph">
                  <wp:posOffset>1502410</wp:posOffset>
                </wp:positionV>
                <wp:extent cx="1155065" cy="1520825"/>
                <wp:wrapSquare wrapText="bothSides"/>
                <wp:docPr id="7" name="Shape 7"/>
                <a:graphic xmlns:a="http://schemas.openxmlformats.org/drawingml/2006/main">
                  <a:graphicData uri="http://schemas.microsoft.com/office/word/2010/wordprocessingShape">
                    <wps:wsp>
                      <wps:cNvSpPr txBox="1"/>
                      <wps:spPr>
                        <a:xfrm>
                          <a:ext cx="1155065" cy="1520825"/>
                        </a:xfrm>
                        <a:prstGeom prst="rect"/>
                        <a:noFill/>
                      </wps:spPr>
                      <wps:txbx>
                        <w:txbxContent>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Kupující: se sídlem: zastoupený:</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Zřizovatel:</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(dále jen kupující)</w:t>
                            </w:r>
                          </w:p>
                        </w:txbxContent>
                      </wps:txbx>
                      <wps:bodyPr lIns="0" tIns="0" rIns="0" bIns="0">
                        <a:noAutoFit/>
                      </wps:bodyPr>
                    </wps:wsp>
                  </a:graphicData>
                </a:graphic>
              </wp:anchor>
            </w:drawing>
          </mc:Choice>
          <mc:Fallback>
            <w:pict>
              <v:shape id="_x0000_s1033" type="#_x0000_t202" style="position:absolute;margin-left:71.pt;margin-top:118.3pt;width:90.950000000000003pt;height:119.75pt;z-index:-125829375;mso-wrap-distance-left:9.pt;mso-wrap-distance-right:9.pt;mso-wrap-distance-bottom:117.84999999999999pt;mso-position-horizontal-relative:page" filled="f" stroked="f">
                <v:textbox inset="0,0,0,0">
                  <w:txbxContent>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Kupující: se sídlem: zastoupený:</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Zřizovatel:</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(dále jen kupující)</w:t>
                      </w:r>
                    </w:p>
                  </w:txbxContent>
                </v:textbox>
                <w10:wrap type="square" anchorx="page"/>
              </v:shape>
            </w:pict>
          </mc:Fallback>
        </mc:AlternateContent>
      </w:r>
      <w:r>
        <mc:AlternateContent>
          <mc:Choice Requires="wps">
            <w:drawing>
              <wp:anchor distT="2139950" distB="0" distL="114300" distR="208915" simplePos="0" relativeHeight="125829380" behindDoc="0" locked="0" layoutInCell="1" allowOverlap="1">
                <wp:simplePos x="0" y="0"/>
                <wp:positionH relativeFrom="page">
                  <wp:posOffset>901700</wp:posOffset>
                </wp:positionH>
                <wp:positionV relativeFrom="paragraph">
                  <wp:posOffset>3642360</wp:posOffset>
                </wp:positionV>
                <wp:extent cx="1060450" cy="877570"/>
                <wp:wrapSquare wrapText="bothSides"/>
                <wp:docPr id="9" name="Shape 9"/>
                <a:graphic xmlns:a="http://schemas.openxmlformats.org/drawingml/2006/main">
                  <a:graphicData uri="http://schemas.microsoft.com/office/word/2010/wordprocessingShape">
                    <wps:wsp>
                      <wps:cNvSpPr txBox="1"/>
                      <wps:spPr>
                        <a:xfrm>
                          <a:ext cx="1060450" cy="877570"/>
                        </a:xfrm>
                        <a:prstGeom prst="rect"/>
                        <a:noFill/>
                      </wps:spPr>
                      <wps:txbx>
                        <w:txbxContent>
                          <w:p>
                            <w:pPr>
                              <w:pStyle w:val="Style6"/>
                              <w:keepNext w:val="0"/>
                              <w:keepLines w:val="0"/>
                              <w:widowControl w:val="0"/>
                              <w:shd w:val="clear" w:color="auto" w:fill="auto"/>
                              <w:tabs>
                                <w:tab w:pos="2050"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Prodávající: Obchodní firma: se sídlem: zastoupený:</w:t>
                            </w:r>
                          </w:p>
                        </w:txbxContent>
                      </wps:txbx>
                      <wps:bodyPr lIns="0" tIns="0" rIns="0" bIns="0">
                        <a:noAutoFit/>
                      </wps:bodyPr>
                    </wps:wsp>
                  </a:graphicData>
                </a:graphic>
              </wp:anchor>
            </w:drawing>
          </mc:Choice>
          <mc:Fallback>
            <w:pict>
              <v:shape id="_x0000_s1035" type="#_x0000_t202" style="position:absolute;margin-left:71.pt;margin-top:286.80000000000001pt;width:83.5pt;height:69.099999999999994pt;z-index:-125829373;mso-wrap-distance-left:9.pt;mso-wrap-distance-top:168.5pt;mso-wrap-distance-right:16.449999999999999pt;mso-position-horizontal-relative:page" filled="f" stroked="f">
                <v:textbox inset="0,0,0,0">
                  <w:txbxContent>
                    <w:p>
                      <w:pPr>
                        <w:pStyle w:val="Style6"/>
                        <w:keepNext w:val="0"/>
                        <w:keepLines w:val="0"/>
                        <w:widowControl w:val="0"/>
                        <w:shd w:val="clear" w:color="auto" w:fill="auto"/>
                        <w:tabs>
                          <w:tab w:pos="2050"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Prodávající: Obchodní firma: se sídlem: zastoupený:</w:t>
                      </w:r>
                    </w:p>
                  </w:txbxContent>
                </v:textbox>
                <w10:wrap type="square" anchorx="page"/>
              </v:shape>
            </w:pict>
          </mc:Fallback>
        </mc:AlternateContent>
      </w:r>
    </w:p>
    <w:p>
      <w:pPr>
        <w:pStyle w:val="Style8"/>
        <w:keepNext/>
        <w:keepLines/>
        <w:widowControl w:val="0"/>
        <w:shd w:val="clear" w:color="auto" w:fill="auto"/>
        <w:bidi w:val="0"/>
        <w:spacing w:before="0" w:after="3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 U P N Í S M L O U V A</w:t>
      </w:r>
      <w:bookmarkEnd w:id="0"/>
      <w:bookmarkEnd w:id="1"/>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kupujícího: N-DO-21-2020-II</w:t>
      </w:r>
    </w:p>
    <w:p>
      <w:pPr>
        <w:pStyle w:val="Style1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smlouvy prodávajícího: 141/21</w:t>
      </w:r>
    </w:p>
    <w:p>
      <w:pPr>
        <w:pStyle w:val="Style12"/>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1</w:t>
      </w:r>
      <w:bookmarkEnd w:id="2"/>
      <w:bookmarkEnd w:id="3"/>
    </w:p>
    <w:p>
      <w:pPr>
        <w:pStyle w:val="Style12"/>
        <w:keepNext/>
        <w:keepLines/>
        <w:widowControl w:val="0"/>
        <w:shd w:val="clear" w:color="auto" w:fill="auto"/>
        <w:bidi w:val="0"/>
        <w:spacing w:before="0" w:after="28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Smluvní strany</w:t>
      </w:r>
      <w:bookmarkEnd w:id="4"/>
      <w:bookmarkEnd w:id="5"/>
    </w:p>
    <w:p>
      <w:pPr>
        <w:pStyle w:val="Style12"/>
        <w:keepNext/>
        <w:keepLines/>
        <w:widowControl w:val="0"/>
        <w:shd w:val="clear" w:color="auto" w:fill="auto"/>
        <w:bidi w:val="0"/>
        <w:spacing w:before="0" w:after="0" w:line="271"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 xml:space="preserve">Krajská správa a údržba silnic Vysočiny, příspěvková organizace </w:t>
      </w:r>
      <w:r>
        <w:rPr>
          <w:b w:val="0"/>
          <w:bCs w:val="0"/>
          <w:color w:val="000000"/>
          <w:spacing w:val="0"/>
          <w:w w:val="100"/>
          <w:position w:val="0"/>
          <w:shd w:val="clear" w:color="auto" w:fill="auto"/>
          <w:lang w:val="cs-CZ" w:eastAsia="cs-CZ" w:bidi="cs-CZ"/>
        </w:rPr>
        <w:t>Kosovská 1122/16, 586 01 Jihlava</w:t>
      </w:r>
      <w:bookmarkEnd w:id="6"/>
      <w:bookmarkEnd w:id="7"/>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Ing. Radovan Necid, ředitel organizace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00090450</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CZ00090450</w:t>
      </w:r>
    </w:p>
    <w:p>
      <w:pPr>
        <w:pStyle w:val="Style6"/>
        <w:keepNext w:val="0"/>
        <w:keepLines w:val="0"/>
        <w:widowControl w:val="0"/>
        <w:shd w:val="clear" w:color="auto" w:fill="auto"/>
        <w:bidi w:val="0"/>
        <w:spacing w:before="0" w:after="1680" w:line="271" w:lineRule="auto"/>
        <w:ind w:left="0" w:right="0" w:firstLine="0"/>
        <w:jc w:val="left"/>
      </w:pPr>
      <w:r>
        <w:rPr>
          <w:color w:val="000000"/>
          <w:spacing w:val="0"/>
          <w:w w:val="100"/>
          <w:position w:val="0"/>
          <w:shd w:val="clear" w:color="auto" w:fill="auto"/>
          <w:lang w:val="cs-CZ" w:eastAsia="cs-CZ" w:bidi="cs-CZ"/>
        </w:rPr>
        <w:t>Kraj Vysočina</w:t>
      </w:r>
    </w:p>
    <w:p>
      <w:pPr>
        <w:pStyle w:val="Style12"/>
        <w:keepNext/>
        <w:keepLines/>
        <w:widowControl w:val="0"/>
        <w:shd w:val="clear" w:color="auto" w:fill="auto"/>
        <w:bidi w:val="0"/>
        <w:spacing w:before="0" w:after="0" w:line="271"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KOBIT, spol. s r.o.</w:t>
      </w:r>
      <w:bookmarkEnd w:id="8"/>
      <w:bookmarkEnd w:id="9"/>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Rozvojová 269, 165 00 Praha 6/ Konecchlumského 1100, 506 01 Jičín Ing. Petrem Nožičkou, jednatelem společnosti</w:t>
      </w:r>
    </w:p>
    <w:p>
      <w:pPr>
        <w:pStyle w:val="Style6"/>
        <w:keepNext w:val="0"/>
        <w:keepLines w:val="0"/>
        <w:widowControl w:val="0"/>
        <w:shd w:val="clear" w:color="auto" w:fill="auto"/>
        <w:tabs>
          <w:tab w:pos="2050" w:val="left"/>
        </w:tabs>
        <w:bidi w:val="0"/>
        <w:spacing w:before="0" w:after="0" w:line="271" w:lineRule="auto"/>
        <w:ind w:left="0" w:right="0" w:firstLine="0"/>
        <w:jc w:val="left"/>
      </w:pPr>
      <w:r>
        <w:rPr>
          <w:color w:val="000000"/>
          <w:spacing w:val="0"/>
          <w:w w:val="100"/>
          <w:position w:val="0"/>
          <w:shd w:val="clear" w:color="auto" w:fill="auto"/>
          <w:lang w:val="cs-CZ" w:eastAsia="cs-CZ" w:bidi="cs-CZ"/>
        </w:rPr>
        <w:t>zapsán v obchodním rejstříku u MS v Praze, oddíl C, vložka 5528 IČO:</w:t>
        <w:tab/>
        <w:t>44792247</w:t>
      </w:r>
    </w:p>
    <w:p>
      <w:pPr>
        <w:pStyle w:val="Style6"/>
        <w:keepNext w:val="0"/>
        <w:keepLines w:val="0"/>
        <w:widowControl w:val="0"/>
        <w:shd w:val="clear" w:color="auto" w:fill="auto"/>
        <w:tabs>
          <w:tab w:pos="2050" w:val="left"/>
        </w:tabs>
        <w:bidi w:val="0"/>
        <w:spacing w:before="0" w:after="0" w:line="271" w:lineRule="auto"/>
        <w:ind w:left="0" w:right="0" w:firstLine="0"/>
        <w:jc w:val="left"/>
      </w:pPr>
      <w:r>
        <w:rPr>
          <w:color w:val="000000"/>
          <w:spacing w:val="0"/>
          <w:w w:val="100"/>
          <w:position w:val="0"/>
          <w:shd w:val="clear" w:color="auto" w:fill="auto"/>
          <w:lang w:val="cs-CZ" w:eastAsia="cs-CZ" w:bidi="cs-CZ"/>
        </w:rPr>
        <w:t>DIČ:</w:t>
        <w:tab/>
        <w:t>CZ44792247</w:t>
      </w:r>
    </w:p>
    <w:p>
      <w:pPr>
        <w:pStyle w:val="Style6"/>
        <w:keepNext w:val="0"/>
        <w:keepLines w:val="0"/>
        <w:widowControl w:val="0"/>
        <w:shd w:val="clear" w:color="auto" w:fill="auto"/>
        <w:bidi w:val="0"/>
        <w:spacing w:before="0" w:after="640" w:line="271" w:lineRule="auto"/>
        <w:ind w:left="0" w:right="0" w:firstLine="0"/>
        <w:jc w:val="left"/>
      </w:pPr>
      <w:r>
        <w:rPr>
          <w:color w:val="000000"/>
          <w:spacing w:val="0"/>
          <w:w w:val="100"/>
          <w:position w:val="0"/>
          <w:shd w:val="clear" w:color="auto" w:fill="auto"/>
          <w:lang w:val="cs-CZ" w:eastAsia="cs-CZ" w:bidi="cs-CZ"/>
        </w:rPr>
        <w:t>(dále jen prodávající)</w:t>
      </w:r>
    </w:p>
    <w:p>
      <w:pPr>
        <w:pStyle w:val="Style6"/>
        <w:keepNext w:val="0"/>
        <w:keepLines w:val="0"/>
        <w:widowControl w:val="0"/>
        <w:shd w:val="clear" w:color="auto" w:fill="auto"/>
        <w:bidi w:val="0"/>
        <w:spacing w:before="0" w:after="120" w:line="271"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2079 a násl. zákona č. 89/2012 Sb., občanského zákoníku (dále jen „OZ“) </w:t>
      </w:r>
      <w:r>
        <w:rPr>
          <w:color w:val="000000"/>
          <w:spacing w:val="0"/>
          <w:w w:val="100"/>
          <w:position w:val="0"/>
          <w:shd w:val="clear" w:color="auto" w:fill="auto"/>
          <w:lang w:val="cs-CZ" w:eastAsia="cs-CZ" w:bidi="cs-CZ"/>
        </w:rPr>
        <w:t xml:space="preserve">a za účelem realizace nákupu zboží definovaného v této kupní smlouvě navazující na výběr nejvhodnější nabídky v rámci veřejné zakázky s názvem </w:t>
      </w:r>
      <w:r>
        <w:rPr>
          <w:b/>
          <w:bCs/>
          <w:color w:val="000000"/>
          <w:spacing w:val="0"/>
          <w:w w:val="100"/>
          <w:position w:val="0"/>
          <w:shd w:val="clear" w:color="auto" w:fill="auto"/>
          <w:lang w:val="cs-CZ" w:eastAsia="cs-CZ" w:bidi="cs-CZ"/>
        </w:rPr>
        <w:t xml:space="preserve">„Dodávka nástaveb na zimní údržbu komunikací, Část 2 Dodávka inertní sypací nástavby pro nosič TATRA 815 4x4 pro cestmistrovství Telč“ </w:t>
      </w:r>
      <w:r>
        <w:rPr>
          <w:color w:val="000000"/>
          <w:spacing w:val="0"/>
          <w:w w:val="100"/>
          <w:position w:val="0"/>
          <w:shd w:val="clear" w:color="auto" w:fill="auto"/>
          <w:lang w:val="cs-CZ" w:eastAsia="cs-CZ" w:bidi="cs-CZ"/>
        </w:rPr>
        <w:t>uzavírají níže uvedeného dne, měsíce a roku tuto</w:t>
      </w:r>
    </w:p>
    <w:p>
      <w:pPr>
        <w:pStyle w:val="Style12"/>
        <w:keepNext/>
        <w:keepLines/>
        <w:widowControl w:val="0"/>
        <w:shd w:val="clear" w:color="auto" w:fill="auto"/>
        <w:bidi w:val="0"/>
        <w:spacing w:before="0" w:after="120" w:line="271"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Kupní smlouvu (dále jen „smlouva“),</w:t>
      </w:r>
      <w:bookmarkEnd w:id="10"/>
      <w:bookmarkEnd w:id="11"/>
    </w:p>
    <w:p>
      <w:pPr>
        <w:pStyle w:val="Style6"/>
        <w:keepNext w:val="0"/>
        <w:keepLines w:val="0"/>
        <w:widowControl w:val="0"/>
        <w:shd w:val="clear" w:color="auto" w:fill="auto"/>
        <w:bidi w:val="0"/>
        <w:spacing w:before="0" w:after="280" w:line="271" w:lineRule="auto"/>
        <w:ind w:left="0" w:right="0" w:firstLine="0"/>
        <w:jc w:val="both"/>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p>
    <w:p>
      <w:pPr>
        <w:pStyle w:val="Style12"/>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2</w:t>
        <w:br/>
        <w:t>Předmět plnění</w:t>
      </w:r>
      <w:bookmarkEnd w:id="12"/>
      <w:bookmarkEnd w:id="13"/>
    </w:p>
    <w:p>
      <w:pPr>
        <w:pStyle w:val="Style6"/>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Předmětem plnění dle této smlouvy je závazek prodávajícího odevzdat kupujícímu v místě plnění </w:t>
      </w:r>
      <w:r>
        <w:rPr>
          <w:b/>
          <w:bCs/>
          <w:color w:val="000000"/>
          <w:spacing w:val="0"/>
          <w:w w:val="100"/>
          <w:position w:val="0"/>
          <w:shd w:val="clear" w:color="auto" w:fill="auto"/>
          <w:lang w:val="cs-CZ" w:eastAsia="cs-CZ" w:bidi="cs-CZ"/>
        </w:rPr>
        <w:t>1 nástavbu pro posyp silnic inertními materiály</w: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cs-CZ" w:eastAsia="cs-CZ" w:bidi="cs-CZ"/>
        </w:rPr>
        <w:t>Výrobce: KOBIT</w:t>
      </w:r>
    </w:p>
    <w:p>
      <w:pPr>
        <w:pStyle w:val="Style6"/>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Typ: SYKO 5H</w:t>
      </w:r>
    </w:p>
    <w:p>
      <w:pPr>
        <w:pStyle w:val="Style6"/>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 xml:space="preserve">určené na nosič výměnných nástaveb </w:t>
      </w:r>
      <w:r>
        <w:rPr>
          <w:b/>
          <w:bCs/>
          <w:color w:val="000000"/>
          <w:spacing w:val="0"/>
          <w:w w:val="100"/>
          <w:position w:val="0"/>
          <w:shd w:val="clear" w:color="auto" w:fill="auto"/>
          <w:lang w:val="cs-CZ" w:eastAsia="cs-CZ" w:bidi="cs-CZ"/>
        </w:rPr>
        <w:t xml:space="preserve">Tatra 815 4x4, VIN: TNU280R452K035919 </w:t>
      </w:r>
      <w:r>
        <w:rPr>
          <w:color w:val="000000"/>
          <w:spacing w:val="0"/>
          <w:w w:val="100"/>
          <w:position w:val="0"/>
          <w:shd w:val="clear" w:color="auto" w:fill="auto"/>
          <w:lang w:val="cs-CZ" w:eastAsia="cs-CZ" w:bidi="cs-CZ"/>
        </w:rPr>
        <w:t xml:space="preserve">podle technických parametrů a specifikace uvedené v </w:t>
      </w:r>
      <w:r>
        <w:rPr>
          <w:b/>
          <w:bCs/>
          <w:color w:val="000000"/>
          <w:spacing w:val="0"/>
          <w:w w:val="100"/>
          <w:position w:val="0"/>
          <w:shd w:val="clear" w:color="auto" w:fill="auto"/>
          <w:lang w:val="cs-CZ" w:eastAsia="cs-CZ" w:bidi="cs-CZ"/>
        </w:rPr>
        <w:t xml:space="preserve">příloze č. A1-2 </w:t>
      </w:r>
      <w:r>
        <w:rPr>
          <w:color w:val="000000"/>
          <w:spacing w:val="0"/>
          <w:w w:val="100"/>
          <w:position w:val="0"/>
          <w:shd w:val="clear" w:color="auto" w:fill="auto"/>
          <w:lang w:val="cs-CZ" w:eastAsia="cs-CZ" w:bidi="cs-CZ"/>
        </w:rPr>
        <w:t>této smlouvy (dále jen zboží).</w:t>
      </w:r>
    </w:p>
    <w:p>
      <w:pPr>
        <w:pStyle w:val="Style6"/>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při odevzdání zboží předat kupujícímu doklady, nezbytné k převzetí a užívání zboží dle § 2094 OZ a to v českém jazyce (návod k obsluze a údržbě v tištěné a elektronické verzi, prohlášení o shodě atd.).</w:t>
      </w:r>
    </w:p>
    <w:p>
      <w:pPr>
        <w:pStyle w:val="Style6"/>
        <w:keepNext w:val="0"/>
        <w:keepLines w:val="0"/>
        <w:widowControl w:val="0"/>
        <w:numPr>
          <w:ilvl w:val="0"/>
          <w:numId w:val="1"/>
        </w:numPr>
        <w:shd w:val="clear" w:color="auto" w:fill="auto"/>
        <w:tabs>
          <w:tab w:pos="710" w:val="left"/>
        </w:tabs>
        <w:bidi w:val="0"/>
        <w:spacing w:before="0" w:after="220" w:line="240" w:lineRule="auto"/>
        <w:ind w:left="720" w:right="0" w:hanging="720"/>
        <w:jc w:val="both"/>
      </w:pPr>
      <w:r>
        <w:rPr>
          <w:color w:val="000000"/>
          <w:spacing w:val="0"/>
          <w:w w:val="100"/>
          <w:position w:val="0"/>
          <w:shd w:val="clear" w:color="auto" w:fill="auto"/>
          <w:lang w:val="cs-CZ" w:eastAsia="cs-CZ" w:bidi="cs-CZ"/>
        </w:rPr>
        <w:t>Prodávající prohlašuje, že dodané zboží je nové a nepoužívané, není zastavené, zapůjčené, zatížené leasingem nebo jinými právními vadami, neporušuje práva třetích osob k patentu nebo k jiné formě duševního vlastnictví, je schválené pro provoz na pozemních komunikacích podle platných obecně závazných předpisů, odpovídá platným technickým normám a předpisům výrobce.</w:t>
      </w:r>
    </w:p>
    <w:p>
      <w:pPr>
        <w:pStyle w:val="Style6"/>
        <w:keepNext w:val="0"/>
        <w:keepLines w:val="0"/>
        <w:widowControl w:val="0"/>
        <w:numPr>
          <w:ilvl w:val="0"/>
          <w:numId w:val="1"/>
        </w:numPr>
        <w:shd w:val="clear" w:color="auto" w:fill="auto"/>
        <w:tabs>
          <w:tab w:pos="710" w:val="left"/>
        </w:tabs>
        <w:bidi w:val="0"/>
        <w:spacing w:before="0" w:after="220" w:line="240" w:lineRule="auto"/>
        <w:ind w:left="720" w:right="0" w:hanging="720"/>
        <w:jc w:val="both"/>
      </w:pPr>
      <w:r>
        <w:rPr>
          <w:color w:val="000000"/>
          <w:spacing w:val="0"/>
          <w:w w:val="100"/>
          <w:position w:val="0"/>
          <w:shd w:val="clear" w:color="auto" w:fill="auto"/>
          <w:lang w:val="cs-CZ" w:eastAsia="cs-CZ" w:bidi="cs-CZ"/>
        </w:rPr>
        <w:t>Prodávající prohlašuje, že v případě potřeby kupujícího bezplatně zpřístupní technické údaje výstupního rozhraní (formát datového protokolu) pro realizátora začlenění nástavby do systému sledování vozidel a vyhodnocování provozních údajů sypacího automatu, který kupující používá.</w:t>
      </w:r>
    </w:p>
    <w:p>
      <w:pPr>
        <w:pStyle w:val="Style6"/>
        <w:keepNext w:val="0"/>
        <w:keepLines w:val="0"/>
        <w:widowControl w:val="0"/>
        <w:numPr>
          <w:ilvl w:val="0"/>
          <w:numId w:val="1"/>
        </w:numPr>
        <w:shd w:val="clear" w:color="auto" w:fill="auto"/>
        <w:tabs>
          <w:tab w:pos="710" w:val="left"/>
        </w:tabs>
        <w:bidi w:val="0"/>
        <w:spacing w:before="0" w:after="220" w:line="240" w:lineRule="auto"/>
        <w:ind w:left="720" w:right="0" w:hanging="720"/>
        <w:jc w:val="both"/>
      </w:pPr>
      <w:r>
        <w:rPr>
          <w:color w:val="000000"/>
          <w:spacing w:val="0"/>
          <w:w w:val="100"/>
          <w:position w:val="0"/>
          <w:shd w:val="clear" w:color="auto" w:fill="auto"/>
          <w:lang w:val="cs-CZ" w:eastAsia="cs-CZ" w:bidi="cs-CZ"/>
        </w:rPr>
        <w:t>Předmětem této smlouvy je též montáž nástavby na přistavené vozidlo kupujícího, uvedení nástavby do provozu a předvedení funkčnosti v místě plnění včetně nastavení dávkování dle příslušných TP a vystavení protokolu. Předmětem plnění je dále zaškolení obsluhy kupujícího v dostatečném rozsahu pro bezpečné ovládání a základní údržbu. Zaškoleny budou alespoň 2 osoby kupujícího, o školení a jeho rozsahu bude proveden příslušný zápis včetně jmenného seznamu s podpisy účastníků.</w:t>
      </w:r>
    </w:p>
    <w:p>
      <w:pPr>
        <w:pStyle w:val="Style6"/>
        <w:keepNext w:val="0"/>
        <w:keepLines w:val="0"/>
        <w:widowControl w:val="0"/>
        <w:numPr>
          <w:ilvl w:val="0"/>
          <w:numId w:val="1"/>
        </w:numPr>
        <w:shd w:val="clear" w:color="auto" w:fill="auto"/>
        <w:tabs>
          <w:tab w:pos="710" w:val="left"/>
        </w:tabs>
        <w:bidi w:val="0"/>
        <w:spacing w:before="0" w:after="220" w:line="240" w:lineRule="auto"/>
        <w:ind w:left="720" w:right="0" w:hanging="720"/>
        <w:jc w:val="both"/>
      </w:pPr>
      <w:r>
        <w:rPr>
          <w:color w:val="000000"/>
          <w:spacing w:val="0"/>
          <w:w w:val="100"/>
          <w:position w:val="0"/>
          <w:shd w:val="clear" w:color="auto" w:fill="auto"/>
          <w:lang w:val="cs-CZ" w:eastAsia="cs-CZ" w:bidi="cs-CZ"/>
        </w:rPr>
        <w:t xml:space="preserve">Předmětem této smlouvy je též závazek kupujícího zaplatit za zboží cenu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6"/>
        <w:keepNext w:val="0"/>
        <w:keepLines w:val="0"/>
        <w:widowControl w:val="0"/>
        <w:numPr>
          <w:ilvl w:val="0"/>
          <w:numId w:val="1"/>
        </w:numPr>
        <w:shd w:val="clear" w:color="auto" w:fill="auto"/>
        <w:tabs>
          <w:tab w:pos="71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Součinnost kupujícího:</w:t>
      </w:r>
    </w:p>
    <w:p>
      <w:pPr>
        <w:pStyle w:val="Style6"/>
        <w:keepNext w:val="0"/>
        <w:keepLines w:val="0"/>
        <w:widowControl w:val="0"/>
        <w:shd w:val="clear" w:color="auto" w:fill="auto"/>
        <w:bidi w:val="0"/>
        <w:spacing w:before="0" w:after="160" w:line="240" w:lineRule="auto"/>
        <w:ind w:left="720" w:right="0" w:firstLine="0"/>
        <w:jc w:val="both"/>
      </w:pPr>
      <w:r>
        <w:rPr>
          <w:color w:val="000000"/>
          <w:spacing w:val="0"/>
          <w:w w:val="100"/>
          <w:position w:val="0"/>
          <w:shd w:val="clear" w:color="auto" w:fill="auto"/>
          <w:lang w:val="cs-CZ" w:eastAsia="cs-CZ" w:bidi="cs-CZ"/>
        </w:rPr>
        <w:t>Za účelem splnění závazku prodávajícím, kupující do 10 pracovních dnů od výzvy prodávajícího přistaví v místě plnění nosič výměnných nástaveb Tatra 815 4x4, VIN: TNU280R452K035919 s plnou nádrží pohonných hmot, k montáži nástavby.</w:t>
      </w:r>
    </w:p>
    <w:p>
      <w:pPr>
        <w:pStyle w:val="Style12"/>
        <w:keepNext/>
        <w:keepLines/>
        <w:widowControl w:val="0"/>
        <w:shd w:val="clear" w:color="auto" w:fill="auto"/>
        <w:bidi w:val="0"/>
        <w:spacing w:before="0" w:line="233"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3</w:t>
        <w:br/>
        <w:t>Cena za plnění</w:t>
      </w:r>
      <w:bookmarkEnd w:id="14"/>
      <w:bookmarkEnd w:id="15"/>
    </w:p>
    <w:p>
      <w:pPr>
        <w:pStyle w:val="Style6"/>
        <w:keepNext w:val="0"/>
        <w:keepLines w:val="0"/>
        <w:widowControl w:val="0"/>
        <w:numPr>
          <w:ilvl w:val="0"/>
          <w:numId w:val="3"/>
        </w:numPr>
        <w:shd w:val="clear" w:color="auto" w:fill="auto"/>
        <w:tabs>
          <w:tab w:pos="846" w:val="left"/>
        </w:tabs>
        <w:bidi w:val="0"/>
        <w:spacing w:before="0" w:line="240" w:lineRule="auto"/>
        <w:ind w:left="0" w:right="0" w:firstLine="140"/>
        <w:jc w:val="both"/>
      </w:pPr>
      <w:r>
        <w:rPr>
          <w:color w:val="000000"/>
          <w:spacing w:val="0"/>
          <w:w w:val="100"/>
          <w:position w:val="0"/>
          <w:shd w:val="clear" w:color="auto" w:fill="auto"/>
          <w:lang w:val="cs-CZ" w:eastAsia="cs-CZ" w:bidi="cs-CZ"/>
        </w:rPr>
        <w:t xml:space="preserve">Celkový finanční objem plnění podle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kupní smlouvy činí</w:t>
      </w:r>
    </w:p>
    <w:p>
      <w:pPr>
        <w:pStyle w:val="Style12"/>
        <w:keepNext/>
        <w:keepLines/>
        <w:widowControl w:val="0"/>
        <w:shd w:val="clear" w:color="auto" w:fill="auto"/>
        <w:tabs>
          <w:tab w:pos="5333" w:val="left"/>
        </w:tabs>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Celková cena plnění bez DPH</w:t>
        <w:tab/>
        <w:t>949 000 Kč</w:t>
      </w:r>
      <w:bookmarkEnd w:id="16"/>
      <w:bookmarkEnd w:id="17"/>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DPH 21 % 199 290 Kč</w:t>
      </w:r>
    </w:p>
    <w:p>
      <w:pPr>
        <w:pStyle w:val="Style12"/>
        <w:keepNext/>
        <w:keepLines/>
        <w:widowControl w:val="0"/>
        <w:shd w:val="clear" w:color="auto" w:fill="auto"/>
        <w:tabs>
          <w:tab w:pos="4958" w:val="left"/>
        </w:tabs>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Celková cena včetně DPH</w:t>
        <w:tab/>
        <w:t>1 1 148 290 Kč</w:t>
      </w:r>
      <w:bookmarkEnd w:id="18"/>
      <w:bookmarkEnd w:id="19"/>
    </w:p>
    <w:p>
      <w:pPr>
        <w:pStyle w:val="Style6"/>
        <w:keepNext w:val="0"/>
        <w:keepLines w:val="0"/>
        <w:widowControl w:val="0"/>
        <w:numPr>
          <w:ilvl w:val="0"/>
          <w:numId w:val="3"/>
        </w:numPr>
        <w:shd w:val="clear" w:color="auto" w:fill="auto"/>
        <w:tabs>
          <w:tab w:pos="846" w:val="left"/>
        </w:tabs>
        <w:bidi w:val="0"/>
        <w:spacing w:before="0" w:line="240" w:lineRule="auto"/>
        <w:ind w:left="860" w:right="0" w:hanging="720"/>
        <w:jc w:val="both"/>
      </w:pPr>
      <w:r>
        <w:rPr>
          <w:color w:val="000000"/>
          <w:spacing w:val="0"/>
          <w:w w:val="100"/>
          <w:position w:val="0"/>
          <w:shd w:val="clear" w:color="auto" w:fill="auto"/>
          <w:lang w:val="cs-CZ" w:eastAsia="cs-CZ" w:bidi="cs-CZ"/>
        </w:rPr>
        <w:t>Tato cena zahrnuje veškeré náklady spojené s předmětem smlouvy, tj. cenu zboží včetně dopravného do místa plnění, dokumentace, zaškolení obsluhy a dalších souvisejících nákladů. Tato cena je konečná, nepřekročitelná pro daný předmět smlouvy.</w:t>
      </w:r>
    </w:p>
    <w:p>
      <w:pPr>
        <w:pStyle w:val="Style6"/>
        <w:keepNext w:val="0"/>
        <w:keepLines w:val="0"/>
        <w:widowControl w:val="0"/>
        <w:numPr>
          <w:ilvl w:val="0"/>
          <w:numId w:val="3"/>
        </w:numPr>
        <w:shd w:val="clear" w:color="auto" w:fill="auto"/>
        <w:tabs>
          <w:tab w:pos="846" w:val="left"/>
        </w:tabs>
        <w:bidi w:val="0"/>
        <w:spacing w:before="0" w:line="240" w:lineRule="auto"/>
        <w:ind w:left="860" w:right="0" w:hanging="720"/>
        <w:jc w:val="both"/>
      </w:pPr>
      <w:r>
        <w:rPr>
          <w:color w:val="000000"/>
          <w:spacing w:val="0"/>
          <w:w w:val="100"/>
          <w:position w:val="0"/>
          <w:shd w:val="clear" w:color="auto" w:fill="auto"/>
          <w:lang w:val="cs-CZ" w:eastAsia="cs-CZ" w:bidi="cs-CZ"/>
        </w:rPr>
        <w:t>Cena obsahuje veškeré náklady souvisejících s dodávkou, včetně těch, které nebyly v době zpracování nabídky známy a nutnost jejich úhrady nastala až v době plnění, bez vlivu na kupní cenu.</w:t>
      </w:r>
    </w:p>
    <w:p>
      <w:pPr>
        <w:pStyle w:val="Style6"/>
        <w:keepNext w:val="0"/>
        <w:keepLines w:val="0"/>
        <w:widowControl w:val="0"/>
        <w:numPr>
          <w:ilvl w:val="0"/>
          <w:numId w:val="3"/>
        </w:numPr>
        <w:shd w:val="clear" w:color="auto" w:fill="auto"/>
        <w:tabs>
          <w:tab w:pos="846" w:val="left"/>
        </w:tabs>
        <w:bidi w:val="0"/>
        <w:spacing w:before="0" w:line="240" w:lineRule="auto"/>
        <w:ind w:left="0" w:right="0" w:firstLine="140"/>
        <w:jc w:val="both"/>
      </w:pPr>
      <w:r>
        <w:rPr>
          <w:color w:val="000000"/>
          <w:spacing w:val="0"/>
          <w:w w:val="100"/>
          <w:position w:val="0"/>
          <w:shd w:val="clear" w:color="auto" w:fill="auto"/>
          <w:lang w:val="cs-CZ" w:eastAsia="cs-CZ" w:bidi="cs-CZ"/>
        </w:rPr>
        <w:t>Cena zahrnuje daně, cla, poplatky, případně další náklady spojené s realizací dodávky.</w:t>
      </w:r>
    </w:p>
    <w:p>
      <w:pPr>
        <w:pStyle w:val="Style6"/>
        <w:keepNext w:val="0"/>
        <w:keepLines w:val="0"/>
        <w:widowControl w:val="0"/>
        <w:numPr>
          <w:ilvl w:val="0"/>
          <w:numId w:val="3"/>
        </w:numPr>
        <w:shd w:val="clear" w:color="auto" w:fill="auto"/>
        <w:tabs>
          <w:tab w:pos="846" w:val="left"/>
        </w:tabs>
        <w:bidi w:val="0"/>
        <w:spacing w:before="0" w:line="240" w:lineRule="auto"/>
        <w:ind w:left="860" w:right="0" w:hanging="720"/>
        <w:jc w:val="both"/>
      </w:pPr>
      <w:r>
        <w:rPr>
          <w:color w:val="000000"/>
          <w:spacing w:val="0"/>
          <w:w w:val="100"/>
          <w:position w:val="0"/>
          <w:shd w:val="clear" w:color="auto" w:fill="auto"/>
          <w:lang w:val="cs-CZ" w:eastAsia="cs-CZ" w:bidi="cs-CZ"/>
        </w:rPr>
        <w:t>Cena obsahuje předpokládané změny ceny v závislosti na čase a předpokládanému vývoji cen vstupních nákladů. Změna ceny na základě inflačních vlivů se nepřipouští.</w:t>
      </w:r>
    </w:p>
    <w:p>
      <w:pPr>
        <w:pStyle w:val="Style6"/>
        <w:keepNext w:val="0"/>
        <w:keepLines w:val="0"/>
        <w:widowControl w:val="0"/>
        <w:numPr>
          <w:ilvl w:val="0"/>
          <w:numId w:val="3"/>
        </w:numPr>
        <w:shd w:val="clear" w:color="auto" w:fill="auto"/>
        <w:tabs>
          <w:tab w:pos="846" w:val="left"/>
        </w:tabs>
        <w:bidi w:val="0"/>
        <w:spacing w:before="0" w:line="240" w:lineRule="auto"/>
        <w:ind w:left="860" w:right="0" w:hanging="720"/>
        <w:jc w:val="both"/>
      </w:pPr>
      <w:r>
        <w:rPr>
          <w:color w:val="000000"/>
          <w:spacing w:val="0"/>
          <w:w w:val="100"/>
          <w:position w:val="0"/>
          <w:shd w:val="clear" w:color="auto" w:fill="auto"/>
          <w:lang w:val="cs-CZ" w:eastAsia="cs-CZ" w:bidi="cs-CZ"/>
        </w:rPr>
        <w:t>Cena nebude měněna v souvislosti s inflací české koruny, hodnotou kurzu české koruny vůči zahraničním měnám či jinými faktory s vlivem na měnový kurz, a to po celou dobu platnosti smlouvy na dodávku.</w:t>
      </w:r>
    </w:p>
    <w:p>
      <w:pPr>
        <w:pStyle w:val="Style6"/>
        <w:keepNext w:val="0"/>
        <w:keepLines w:val="0"/>
        <w:widowControl w:val="0"/>
        <w:numPr>
          <w:ilvl w:val="0"/>
          <w:numId w:val="3"/>
        </w:numPr>
        <w:shd w:val="clear" w:color="auto" w:fill="auto"/>
        <w:tabs>
          <w:tab w:pos="846" w:val="left"/>
        </w:tabs>
        <w:bidi w:val="0"/>
        <w:spacing w:before="0" w:line="240" w:lineRule="auto"/>
        <w:ind w:left="0" w:right="0" w:firstLine="14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6"/>
        <w:keepNext w:val="0"/>
        <w:keepLines w:val="0"/>
        <w:widowControl w:val="0"/>
        <w:numPr>
          <w:ilvl w:val="0"/>
          <w:numId w:val="3"/>
        </w:numPr>
        <w:shd w:val="clear" w:color="auto" w:fill="auto"/>
        <w:tabs>
          <w:tab w:pos="846" w:val="left"/>
        </w:tabs>
        <w:bidi w:val="0"/>
        <w:spacing w:before="0" w:after="520" w:line="240" w:lineRule="auto"/>
        <w:ind w:left="86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12"/>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4</w:t>
      </w:r>
      <w:bookmarkEnd w:id="20"/>
      <w:bookmarkEnd w:id="21"/>
    </w:p>
    <w:p>
      <w:pPr>
        <w:pStyle w:val="Style12"/>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Místo plnění, odevzdání a převzetí zboží</w:t>
      </w:r>
      <w:bookmarkEnd w:id="22"/>
      <w:bookmarkEnd w:id="23"/>
    </w:p>
    <w:p>
      <w:pPr>
        <w:pStyle w:val="Style6"/>
        <w:keepNext w:val="0"/>
        <w:keepLines w:val="0"/>
        <w:widowControl w:val="0"/>
        <w:numPr>
          <w:ilvl w:val="0"/>
          <w:numId w:val="5"/>
        </w:numPr>
        <w:shd w:val="clear" w:color="auto" w:fill="auto"/>
        <w:tabs>
          <w:tab w:pos="846"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 areál firmy KOBIT, spol. s r.o., Konecchlumského 1100, 506 01 Jičín.</w:t>
      </w:r>
    </w:p>
    <w:p>
      <w:pPr>
        <w:pStyle w:val="Style6"/>
        <w:keepNext w:val="0"/>
        <w:keepLines w:val="0"/>
        <w:widowControl w:val="0"/>
        <w:numPr>
          <w:ilvl w:val="0"/>
          <w:numId w:val="5"/>
        </w:numPr>
        <w:shd w:val="clear" w:color="auto" w:fill="auto"/>
        <w:tabs>
          <w:tab w:pos="846" w:val="left"/>
        </w:tabs>
        <w:bidi w:val="0"/>
        <w:spacing w:before="0" w:line="240" w:lineRule="auto"/>
        <w:ind w:left="860" w:right="0" w:hanging="860"/>
        <w:jc w:val="both"/>
      </w:pPr>
      <w:r>
        <w:rPr>
          <w:color w:val="000000"/>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6"/>
        <w:keepNext w:val="0"/>
        <w:keepLines w:val="0"/>
        <w:widowControl w:val="0"/>
        <w:numPr>
          <w:ilvl w:val="0"/>
          <w:numId w:val="5"/>
        </w:numPr>
        <w:shd w:val="clear" w:color="auto" w:fill="auto"/>
        <w:tabs>
          <w:tab w:pos="846" w:val="left"/>
        </w:tabs>
        <w:bidi w:val="0"/>
        <w:spacing w:before="0" w:line="240" w:lineRule="auto"/>
        <w:ind w:left="860" w:right="0" w:hanging="860"/>
        <w:jc w:val="both"/>
      </w:pPr>
      <w:r>
        <w:rPr>
          <w:color w:val="000000"/>
          <w:spacing w:val="0"/>
          <w:w w:val="100"/>
          <w:position w:val="0"/>
          <w:shd w:val="clear" w:color="auto" w:fill="auto"/>
          <w:lang w:val="cs-CZ" w:eastAsia="cs-CZ" w:bidi="cs-CZ"/>
        </w:rPr>
        <w:t xml:space="preserve">Osoby oprávněné jednat ve věcech předání a převzetí zboží za smluvní strany jsou uvedeny v </w:t>
      </w:r>
      <w:r>
        <w:rPr>
          <w:b/>
          <w:bCs/>
          <w:color w:val="000000"/>
          <w:spacing w:val="0"/>
          <w:w w:val="100"/>
          <w:position w:val="0"/>
          <w:shd w:val="clear" w:color="auto" w:fill="auto"/>
          <w:lang w:val="cs-CZ" w:eastAsia="cs-CZ" w:bidi="cs-CZ"/>
        </w:rPr>
        <w:t xml:space="preserve">příloze A2 </w:t>
      </w:r>
      <w:r>
        <w:rPr>
          <w:color w:val="000000"/>
          <w:spacing w:val="0"/>
          <w:w w:val="100"/>
          <w:position w:val="0"/>
          <w:shd w:val="clear" w:color="auto" w:fill="auto"/>
          <w:lang w:val="cs-CZ" w:eastAsia="cs-CZ" w:bidi="cs-CZ"/>
        </w:rPr>
        <w:t>smlouvy.</w:t>
      </w:r>
    </w:p>
    <w:p>
      <w:pPr>
        <w:pStyle w:val="Style6"/>
        <w:keepNext w:val="0"/>
        <w:keepLines w:val="0"/>
        <w:widowControl w:val="0"/>
        <w:numPr>
          <w:ilvl w:val="0"/>
          <w:numId w:val="5"/>
        </w:numPr>
        <w:shd w:val="clear" w:color="auto" w:fill="auto"/>
        <w:tabs>
          <w:tab w:pos="846" w:val="left"/>
        </w:tabs>
        <w:bidi w:val="0"/>
        <w:spacing w:before="0" w:line="240" w:lineRule="auto"/>
        <w:ind w:left="860" w:right="0" w:hanging="86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 Uvedené osoby jsou oprávněny pověřit své zástupce.</w:t>
      </w:r>
    </w:p>
    <w:p>
      <w:pPr>
        <w:pStyle w:val="Style6"/>
        <w:keepNext w:val="0"/>
        <w:keepLines w:val="0"/>
        <w:widowControl w:val="0"/>
        <w:numPr>
          <w:ilvl w:val="0"/>
          <w:numId w:val="5"/>
        </w:numPr>
        <w:shd w:val="clear" w:color="auto" w:fill="auto"/>
        <w:tabs>
          <w:tab w:pos="865" w:val="left"/>
        </w:tabs>
        <w:bidi w:val="0"/>
        <w:spacing w:before="0" w:after="540" w:line="240" w:lineRule="auto"/>
        <w:ind w:left="860" w:right="0" w:hanging="860"/>
        <w:jc w:val="both"/>
      </w:pPr>
      <w:r>
        <w:rPr>
          <w:color w:val="000000"/>
          <w:spacing w:val="0"/>
          <w:w w:val="100"/>
          <w:position w:val="0"/>
          <w:shd w:val="clear" w:color="auto" w:fill="auto"/>
          <w:lang w:val="cs-CZ" w:eastAsia="cs-CZ" w:bidi="cs-CZ"/>
        </w:rPr>
        <w:t>Přechod vlastnického práva k dodávce je dnem předání a převzetí, který bude uveden ve vzájemně podepsaném protokolu o předání a převzetí.</w:t>
      </w:r>
    </w:p>
    <w:p>
      <w:pPr>
        <w:pStyle w:val="Style12"/>
        <w:keepNext/>
        <w:keepLines/>
        <w:widowControl w:val="0"/>
        <w:shd w:val="clear" w:color="auto" w:fill="auto"/>
        <w:bidi w:val="0"/>
        <w:spacing w:before="0" w:line="233"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5</w:t>
        <w:br/>
        <w:t>Doba plnění</w:t>
      </w:r>
      <w:bookmarkEnd w:id="24"/>
      <w:bookmarkEnd w:id="25"/>
    </w:p>
    <w:p>
      <w:pPr>
        <w:pStyle w:val="Style6"/>
        <w:keepNext w:val="0"/>
        <w:keepLines w:val="0"/>
        <w:widowControl w:val="0"/>
        <w:numPr>
          <w:ilvl w:val="1"/>
          <w:numId w:val="5"/>
        </w:numPr>
        <w:shd w:val="clear" w:color="auto" w:fill="auto"/>
        <w:tabs>
          <w:tab w:pos="86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Prodávající je povinen odevzdat zboží </w:t>
      </w:r>
      <w:r>
        <w:rPr>
          <w:b/>
          <w:bCs/>
          <w:color w:val="000000"/>
          <w:spacing w:val="0"/>
          <w:w w:val="100"/>
          <w:position w:val="0"/>
          <w:shd w:val="clear" w:color="auto" w:fill="auto"/>
          <w:lang w:val="cs-CZ" w:eastAsia="cs-CZ" w:bidi="cs-CZ"/>
        </w:rPr>
        <w:t xml:space="preserve">do 6 měsíců </w:t>
      </w:r>
      <w:r>
        <w:rPr>
          <w:color w:val="000000"/>
          <w:spacing w:val="0"/>
          <w:w w:val="100"/>
          <w:position w:val="0"/>
          <w:shd w:val="clear" w:color="auto" w:fill="auto"/>
          <w:lang w:val="cs-CZ" w:eastAsia="cs-CZ" w:bidi="cs-CZ"/>
        </w:rPr>
        <w:t>od nabytí účinnosti smlouvy.</w:t>
      </w:r>
    </w:p>
    <w:p>
      <w:pPr>
        <w:pStyle w:val="Style6"/>
        <w:keepNext w:val="0"/>
        <w:keepLines w:val="0"/>
        <w:widowControl w:val="0"/>
        <w:numPr>
          <w:ilvl w:val="1"/>
          <w:numId w:val="5"/>
        </w:numPr>
        <w:shd w:val="clear" w:color="auto" w:fill="auto"/>
        <w:tabs>
          <w:tab w:pos="865" w:val="left"/>
        </w:tabs>
        <w:bidi w:val="0"/>
        <w:spacing w:before="0" w:after="540" w:line="240" w:lineRule="auto"/>
        <w:ind w:left="0" w:right="0" w:firstLine="0"/>
        <w:jc w:val="both"/>
      </w:pPr>
      <w:r>
        <w:rPr>
          <w:color w:val="000000"/>
          <w:spacing w:val="0"/>
          <w:w w:val="100"/>
          <w:position w:val="0"/>
          <w:shd w:val="clear" w:color="auto" w:fill="auto"/>
          <w:lang w:val="cs-CZ" w:eastAsia="cs-CZ" w:bidi="cs-CZ"/>
        </w:rPr>
        <w:t>Dřívější plnění je možné.</w:t>
      </w:r>
    </w:p>
    <w:p>
      <w:pPr>
        <w:pStyle w:val="Style12"/>
        <w:keepNext/>
        <w:keepLines/>
        <w:widowControl w:val="0"/>
        <w:shd w:val="clear" w:color="auto" w:fill="auto"/>
        <w:bidi w:val="0"/>
        <w:spacing w:before="0" w:line="233"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6</w:t>
        <w:br/>
        <w:t>Platební podmínky</w:t>
      </w:r>
      <w:bookmarkEnd w:id="26"/>
      <w:bookmarkEnd w:id="27"/>
    </w:p>
    <w:p>
      <w:pPr>
        <w:pStyle w:val="Style6"/>
        <w:keepNext w:val="0"/>
        <w:keepLines w:val="0"/>
        <w:widowControl w:val="0"/>
        <w:numPr>
          <w:ilvl w:val="0"/>
          <w:numId w:val="7"/>
        </w:numPr>
        <w:shd w:val="clear" w:color="auto" w:fill="auto"/>
        <w:tabs>
          <w:tab w:pos="865" w:val="left"/>
        </w:tabs>
        <w:bidi w:val="0"/>
        <w:spacing w:before="0" w:line="240" w:lineRule="auto"/>
        <w:ind w:left="860" w:right="0" w:hanging="700"/>
        <w:jc w:val="both"/>
      </w:pPr>
      <w:r>
        <w:rPr>
          <w:color w:val="000000"/>
          <w:spacing w:val="0"/>
          <w:w w:val="100"/>
          <w:position w:val="0"/>
          <w:shd w:val="clear" w:color="auto" w:fill="auto"/>
          <w:lang w:val="cs-CZ" w:eastAsia="cs-CZ" w:bidi="cs-CZ"/>
        </w:rPr>
        <w:t xml:space="preserve">Prodávající po předání zboží v souladu s touto kupní smlouvou je povinen vystavit fakturu a do 5 kalendářních dnů doporučeně kupujícímu odeslat za dodané zboží ve dvojím vyhotovení. Tato faktura je splatná do </w:t>
      </w:r>
      <w:r>
        <w:rPr>
          <w:b/>
          <w:bCs/>
          <w:color w:val="000000"/>
          <w:spacing w:val="0"/>
          <w:w w:val="100"/>
          <w:position w:val="0"/>
          <w:shd w:val="clear" w:color="auto" w:fill="auto"/>
          <w:lang w:val="cs-CZ" w:eastAsia="cs-CZ" w:bidi="cs-CZ"/>
        </w:rPr>
        <w:t xml:space="preserve">30 kalendářních dnů </w:t>
      </w:r>
      <w:r>
        <w:rPr>
          <w:color w:val="000000"/>
          <w:spacing w:val="0"/>
          <w:w w:val="100"/>
          <w:position w:val="0"/>
          <w:shd w:val="clear" w:color="auto" w:fill="auto"/>
          <w:lang w:val="cs-CZ" w:eastAsia="cs-CZ" w:bidi="cs-CZ"/>
        </w:rPr>
        <w:t>ode dne jejího doručení a povinně, v souladu se zákonem č. 235/2004 Sb. o dani z přidané hodnoty, ve znění pozdějších předpisů (dále zákon o DPH), a zákonem č. 563/1991 Sb. o účetnictví, 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6"/>
        <w:keepNext w:val="0"/>
        <w:keepLines w:val="0"/>
        <w:widowControl w:val="0"/>
        <w:numPr>
          <w:ilvl w:val="0"/>
          <w:numId w:val="7"/>
        </w:numPr>
        <w:shd w:val="clear" w:color="auto" w:fill="auto"/>
        <w:tabs>
          <w:tab w:pos="865" w:val="left"/>
        </w:tabs>
        <w:bidi w:val="0"/>
        <w:spacing w:before="0" w:line="240" w:lineRule="auto"/>
        <w:ind w:left="860" w:right="0" w:hanging="700"/>
        <w:jc w:val="both"/>
      </w:pPr>
      <w:r>
        <w:rPr>
          <w:color w:val="000000"/>
          <w:spacing w:val="0"/>
          <w:w w:val="100"/>
          <w:position w:val="0"/>
          <w:shd w:val="clear" w:color="auto" w:fill="auto"/>
          <w:lang w:val="cs-CZ" w:eastAsia="cs-CZ" w:bidi="cs-CZ"/>
        </w:rP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 pracovních dnů ode dne doručení oprávněně vrácené faktury.</w:t>
      </w:r>
    </w:p>
    <w:p>
      <w:pPr>
        <w:pStyle w:val="Style6"/>
        <w:keepNext w:val="0"/>
        <w:keepLines w:val="0"/>
        <w:widowControl w:val="0"/>
        <w:numPr>
          <w:ilvl w:val="0"/>
          <w:numId w:val="7"/>
        </w:numPr>
        <w:shd w:val="clear" w:color="auto" w:fill="auto"/>
        <w:tabs>
          <w:tab w:pos="865" w:val="left"/>
        </w:tabs>
        <w:bidi w:val="0"/>
        <w:spacing w:before="0" w:line="240" w:lineRule="auto"/>
        <w:ind w:left="860" w:right="0" w:hanging="700"/>
        <w:jc w:val="both"/>
      </w:pPr>
      <w:r>
        <w:rPr>
          <w:color w:val="000000"/>
          <w:spacing w:val="0"/>
          <w:w w:val="100"/>
          <w:position w:val="0"/>
          <w:shd w:val="clear" w:color="auto" w:fill="auto"/>
          <w:lang w:val="cs-CZ" w:eastAsia="cs-CZ" w:bidi="cs-CZ"/>
        </w:rPr>
        <w:t xml:space="preserve">Kupující přijímá i elektronické faktury, a to ve formátech XML nebo PDF. V takovém případě je prodávající povinen elektronickou fakturu zaslat kupujícímu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p>
    <w:p>
      <w:pPr>
        <w:pStyle w:val="Style6"/>
        <w:keepNext w:val="0"/>
        <w:keepLines w:val="0"/>
        <w:widowControl w:val="0"/>
        <w:numPr>
          <w:ilvl w:val="0"/>
          <w:numId w:val="7"/>
        </w:numPr>
        <w:shd w:val="clear" w:color="auto" w:fill="auto"/>
        <w:tabs>
          <w:tab w:pos="865" w:val="left"/>
        </w:tabs>
        <w:bidi w:val="0"/>
        <w:spacing w:before="0" w:line="240" w:lineRule="auto"/>
        <w:ind w:left="860" w:right="0" w:hanging="700"/>
        <w:jc w:val="both"/>
      </w:pPr>
      <w:r>
        <w:rPr>
          <w:color w:val="000000"/>
          <w:spacing w:val="0"/>
          <w:w w:val="100"/>
          <w:position w:val="0"/>
          <w:shd w:val="clear" w:color="auto" w:fill="auto"/>
          <w:lang w:val="cs-CZ" w:eastAsia="cs-CZ" w:bidi="cs-CZ"/>
        </w:rPr>
        <w:t>Úhrada kupní ceny bude realizována bezhotovostním převodem na účet prodávajícího, který je správcem daně (finančním úřadem) zveřejněn způsobem umožňujícím dálkový přístup ve smyslu § 98 zákona o DPH.</w:t>
      </w:r>
    </w:p>
    <w:p>
      <w:pPr>
        <w:pStyle w:val="Style6"/>
        <w:keepNext w:val="0"/>
        <w:keepLines w:val="0"/>
        <w:widowControl w:val="0"/>
        <w:numPr>
          <w:ilvl w:val="0"/>
          <w:numId w:val="7"/>
        </w:numPr>
        <w:shd w:val="clear" w:color="auto" w:fill="auto"/>
        <w:tabs>
          <w:tab w:pos="865" w:val="left"/>
        </w:tabs>
        <w:bidi w:val="0"/>
        <w:spacing w:before="0" w:after="400" w:line="240" w:lineRule="auto"/>
        <w:ind w:left="860" w:right="0" w:hanging="700"/>
        <w:jc w:val="both"/>
      </w:pPr>
      <w:r>
        <w:rPr>
          <w:color w:val="000000"/>
          <w:spacing w:val="0"/>
          <w:w w:val="100"/>
          <w:position w:val="0"/>
          <w:shd w:val="clear" w:color="auto" w:fill="auto"/>
          <w:lang w:val="cs-CZ" w:eastAsia="cs-CZ" w:bidi="cs-CZ"/>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12"/>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7</w:t>
        <w:br/>
        <w:t>Záruka a reklamace</w:t>
      </w:r>
      <w:bookmarkEnd w:id="28"/>
      <w:bookmarkEnd w:id="29"/>
    </w:p>
    <w:p>
      <w:pPr>
        <w:pStyle w:val="Style6"/>
        <w:keepNext w:val="0"/>
        <w:keepLines w:val="0"/>
        <w:widowControl w:val="0"/>
        <w:numPr>
          <w:ilvl w:val="0"/>
          <w:numId w:val="9"/>
        </w:numPr>
        <w:shd w:val="clear" w:color="auto" w:fill="auto"/>
        <w:tabs>
          <w:tab w:pos="865" w:val="left"/>
        </w:tabs>
        <w:bidi w:val="0"/>
        <w:spacing w:before="0" w:line="240" w:lineRule="auto"/>
        <w:ind w:left="860" w:right="0" w:hanging="700"/>
        <w:jc w:val="both"/>
      </w:pPr>
      <w:r>
        <w:rPr>
          <w:color w:val="000000"/>
          <w:spacing w:val="0"/>
          <w:w w:val="100"/>
          <w:position w:val="0"/>
          <w:shd w:val="clear" w:color="auto" w:fill="auto"/>
          <w:lang w:val="cs-CZ" w:eastAsia="cs-CZ" w:bidi="cs-CZ"/>
        </w:rPr>
        <w:t xml:space="preserve">Minimální délka záruční doby na zboží a na originální příslušenství činí </w:t>
      </w:r>
      <w:r>
        <w:rPr>
          <w:b/>
          <w:bCs/>
          <w:color w:val="000000"/>
          <w:spacing w:val="0"/>
          <w:w w:val="100"/>
          <w:position w:val="0"/>
          <w:shd w:val="clear" w:color="auto" w:fill="auto"/>
          <w:lang w:val="cs-CZ" w:eastAsia="cs-CZ" w:bidi="cs-CZ"/>
        </w:rPr>
        <w:t>minimálně 24 měsíců</w:t>
      </w:r>
      <w:r>
        <w:rPr>
          <w:color w:val="000000"/>
          <w:spacing w:val="0"/>
          <w:w w:val="100"/>
          <w:position w:val="0"/>
          <w:shd w:val="clear" w:color="auto" w:fill="auto"/>
          <w:lang w:val="cs-CZ" w:eastAsia="cs-CZ" w:bidi="cs-CZ"/>
        </w:rPr>
        <w:t>.</w:t>
      </w:r>
    </w:p>
    <w:p>
      <w:pPr>
        <w:pStyle w:val="Style6"/>
        <w:keepNext w:val="0"/>
        <w:keepLines w:val="0"/>
        <w:widowControl w:val="0"/>
        <w:numPr>
          <w:ilvl w:val="0"/>
          <w:numId w:val="9"/>
        </w:numPr>
        <w:shd w:val="clear" w:color="auto" w:fill="auto"/>
        <w:tabs>
          <w:tab w:pos="671" w:val="left"/>
        </w:tabs>
        <w:bidi w:val="0"/>
        <w:spacing w:before="0" w:line="240" w:lineRule="auto"/>
        <w:ind w:left="0" w:right="0" w:firstLine="0"/>
        <w:jc w:val="both"/>
      </w:pPr>
      <w:r>
        <w:rPr>
          <w:color w:val="000000"/>
          <w:spacing w:val="0"/>
          <w:w w:val="100"/>
          <w:position w:val="0"/>
          <w:shd w:val="clear" w:color="auto" w:fill="auto"/>
          <w:lang w:val="cs-CZ" w:eastAsia="cs-CZ" w:bidi="cs-CZ"/>
        </w:rPr>
        <w:t>Reklamace a záruky uplatňuje kupující přímo u prodávajícího.</w:t>
      </w:r>
    </w:p>
    <w:p>
      <w:pPr>
        <w:pStyle w:val="Style6"/>
        <w:keepNext w:val="0"/>
        <w:keepLines w:val="0"/>
        <w:widowControl w:val="0"/>
        <w:numPr>
          <w:ilvl w:val="0"/>
          <w:numId w:val="9"/>
        </w:numPr>
        <w:shd w:val="clear" w:color="auto" w:fill="auto"/>
        <w:tabs>
          <w:tab w:pos="671" w:val="left"/>
        </w:tabs>
        <w:bidi w:val="0"/>
        <w:spacing w:before="0" w:after="420" w:line="240" w:lineRule="auto"/>
        <w:ind w:left="740" w:right="0" w:hanging="740"/>
        <w:jc w:val="both"/>
      </w:pPr>
      <w:r>
        <w:rPr>
          <w:color w:val="000000"/>
          <w:spacing w:val="0"/>
          <w:w w:val="100"/>
          <w:position w:val="0"/>
          <w:shd w:val="clear" w:color="auto" w:fill="auto"/>
          <w:lang w:val="cs-CZ" w:eastAsia="cs-CZ" w:bidi="cs-CZ"/>
        </w:rPr>
        <w:t>V dalším se pro úpravu práv kupujícího a odpovědnosti prodávajícího ze záruky či z vadného plnění prodávajícího užijí příslušná ustanovení občanského zákoníku.</w:t>
      </w:r>
    </w:p>
    <w:p>
      <w:pPr>
        <w:pStyle w:val="Style12"/>
        <w:keepNext/>
        <w:keepLines/>
        <w:widowControl w:val="0"/>
        <w:shd w:val="clear" w:color="auto" w:fill="auto"/>
        <w:bidi w:val="0"/>
        <w:spacing w:before="0" w:line="233"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Článek 8</w:t>
        <w:br/>
        <w:t>Smluvní pokuty</w:t>
      </w:r>
      <w:bookmarkEnd w:id="30"/>
      <w:bookmarkEnd w:id="31"/>
    </w:p>
    <w:p>
      <w:pPr>
        <w:pStyle w:val="Style6"/>
        <w:keepNext w:val="0"/>
        <w:keepLines w:val="0"/>
        <w:widowControl w:val="0"/>
        <w:numPr>
          <w:ilvl w:val="0"/>
          <w:numId w:val="11"/>
        </w:numPr>
        <w:shd w:val="clear" w:color="auto" w:fill="auto"/>
        <w:tabs>
          <w:tab w:pos="671"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v </w:t>
      </w:r>
      <w:r>
        <w:rPr>
          <w:b/>
          <w:bCs/>
          <w:color w:val="000000"/>
          <w:spacing w:val="0"/>
          <w:w w:val="100"/>
          <w:position w:val="0"/>
          <w:shd w:val="clear" w:color="auto" w:fill="auto"/>
          <w:lang w:val="cs-CZ" w:eastAsia="cs-CZ" w:bidi="cs-CZ"/>
        </w:rPr>
        <w:t xml:space="preserve">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 nejvýše však do celkové ceny takto nesplněné dodávky.</w:t>
      </w:r>
    </w:p>
    <w:p>
      <w:pPr>
        <w:pStyle w:val="Style6"/>
        <w:keepNext w:val="0"/>
        <w:keepLines w:val="0"/>
        <w:widowControl w:val="0"/>
        <w:numPr>
          <w:ilvl w:val="0"/>
          <w:numId w:val="11"/>
        </w:numPr>
        <w:shd w:val="clear" w:color="auto" w:fill="auto"/>
        <w:tabs>
          <w:tab w:pos="671"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 se zaplacením faktury.</w:t>
      </w:r>
    </w:p>
    <w:p>
      <w:pPr>
        <w:pStyle w:val="Style6"/>
        <w:keepNext w:val="0"/>
        <w:keepLines w:val="0"/>
        <w:widowControl w:val="0"/>
        <w:numPr>
          <w:ilvl w:val="0"/>
          <w:numId w:val="11"/>
        </w:numPr>
        <w:shd w:val="clear" w:color="auto" w:fill="auto"/>
        <w:tabs>
          <w:tab w:pos="671" w:val="left"/>
        </w:tabs>
        <w:bidi w:val="0"/>
        <w:spacing w:before="0" w:line="240" w:lineRule="auto"/>
        <w:ind w:left="740" w:right="0" w:hanging="740"/>
        <w:jc w:val="both"/>
      </w:pPr>
      <w:r>
        <w:rPr>
          <w:color w:val="000000"/>
          <w:spacing w:val="0"/>
          <w:w w:val="100"/>
          <w:position w:val="0"/>
          <w:shd w:val="clear" w:color="auto" w:fill="auto"/>
          <w:lang w:val="cs-CZ" w:eastAsia="cs-CZ" w:bidi="cs-CZ"/>
        </w:rPr>
        <w:t>Pro případ porušení uvedených smluvních povinností jsou mezi smluvními stranami sjednány dle § 2048 a násl. OZ tyto výše uvedené smluvní pokuty, jejichž sjednáním není dle § 2050 OZ dotčen nárok kupujícího na náhradu škody způsobené porušením povinnosti, zajištěné smluvní pokutou.</w:t>
      </w:r>
    </w:p>
    <w:p>
      <w:pPr>
        <w:pStyle w:val="Style6"/>
        <w:keepNext w:val="0"/>
        <w:keepLines w:val="0"/>
        <w:widowControl w:val="0"/>
        <w:numPr>
          <w:ilvl w:val="0"/>
          <w:numId w:val="11"/>
        </w:numPr>
        <w:shd w:val="clear" w:color="auto" w:fill="auto"/>
        <w:tabs>
          <w:tab w:pos="671" w:val="left"/>
        </w:tabs>
        <w:bidi w:val="0"/>
        <w:spacing w:before="0" w:line="240" w:lineRule="auto"/>
        <w:ind w:left="740" w:right="0" w:hanging="74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6"/>
        <w:keepNext w:val="0"/>
        <w:keepLines w:val="0"/>
        <w:widowControl w:val="0"/>
        <w:numPr>
          <w:ilvl w:val="0"/>
          <w:numId w:val="11"/>
        </w:numPr>
        <w:shd w:val="clear" w:color="auto" w:fill="auto"/>
        <w:tabs>
          <w:tab w:pos="671" w:val="left"/>
        </w:tabs>
        <w:bidi w:val="0"/>
        <w:spacing w:before="0" w:after="420" w:line="240" w:lineRule="auto"/>
        <w:ind w:left="740" w:right="0" w:hanging="74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2"/>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Podstatné porušení smlouvy</w:t>
      </w:r>
      <w:bookmarkEnd w:id="32"/>
      <w:bookmarkEnd w:id="33"/>
    </w:p>
    <w:p>
      <w:pPr>
        <w:pStyle w:val="Style6"/>
        <w:keepNext w:val="0"/>
        <w:keepLines w:val="0"/>
        <w:widowControl w:val="0"/>
        <w:numPr>
          <w:ilvl w:val="0"/>
          <w:numId w:val="13"/>
        </w:numPr>
        <w:shd w:val="clear" w:color="auto" w:fill="auto"/>
        <w:tabs>
          <w:tab w:pos="671" w:val="left"/>
        </w:tabs>
        <w:bidi w:val="0"/>
        <w:spacing w:before="0" w:after="520" w:line="240" w:lineRule="auto"/>
        <w:ind w:left="600" w:right="0" w:hanging="600"/>
        <w:jc w:val="both"/>
      </w:pPr>
      <w:r>
        <w:rPr>
          <w:color w:val="000000"/>
          <w:spacing w:val="0"/>
          <w:w w:val="100"/>
          <w:position w:val="0"/>
          <w:shd w:val="clear" w:color="auto" w:fill="auto"/>
          <w:lang w:val="cs-CZ" w:eastAsia="cs-CZ" w:bidi="cs-CZ"/>
        </w:rPr>
        <w:t xml:space="preserve">Nesplnění dodací lhůty, dle </w:t>
      </w:r>
      <w:r>
        <w:rPr>
          <w:b/>
          <w:bCs/>
          <w:color w:val="000000"/>
          <w:spacing w:val="0"/>
          <w:w w:val="100"/>
          <w:position w:val="0"/>
          <w:shd w:val="clear" w:color="auto" w:fill="auto"/>
          <w:lang w:val="cs-CZ" w:eastAsia="cs-CZ" w:bidi="cs-CZ"/>
        </w:rPr>
        <w:t>článku 5</w:t>
      </w:r>
      <w:r>
        <w:rPr>
          <w:color w:val="000000"/>
          <w:spacing w:val="0"/>
          <w:w w:val="100"/>
          <w:position w:val="0"/>
          <w:shd w:val="clear" w:color="auto" w:fill="auto"/>
          <w:lang w:val="cs-CZ" w:eastAsia="cs-CZ" w:bidi="cs-CZ"/>
        </w:rPr>
        <w:t>, se považuje za podstatné porušení této smlouvy s důsledky podle ustanovení § 2001 OZ, tj. kupující může od smlouvy okamžitě odstoupit.</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2"/>
        <w:keepNext/>
        <w:keepLines/>
        <w:widowControl w:val="0"/>
        <w:shd w:val="clear" w:color="auto" w:fill="auto"/>
        <w:bidi w:val="0"/>
        <w:spacing w:before="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Další ujednání</w:t>
      </w:r>
      <w:bookmarkEnd w:id="34"/>
      <w:bookmarkEnd w:id="35"/>
    </w:p>
    <w:p>
      <w:pPr>
        <w:pStyle w:val="Style6"/>
        <w:keepNext w:val="0"/>
        <w:keepLines w:val="0"/>
        <w:widowControl w:val="0"/>
        <w:numPr>
          <w:ilvl w:val="0"/>
          <w:numId w:val="15"/>
        </w:numPr>
        <w:shd w:val="clear" w:color="auto" w:fill="auto"/>
        <w:tabs>
          <w:tab w:pos="671" w:val="left"/>
        </w:tabs>
        <w:bidi w:val="0"/>
        <w:spacing w:before="0" w:line="240" w:lineRule="auto"/>
        <w:ind w:left="600" w:right="0" w:hanging="600"/>
        <w:jc w:val="both"/>
      </w:pPr>
      <w:r>
        <w:rPr>
          <w:color w:val="000000"/>
          <w:spacing w:val="0"/>
          <w:w w:val="100"/>
          <w:position w:val="0"/>
          <w:shd w:val="clear" w:color="auto" w:fill="auto"/>
          <w:lang w:val="cs-CZ" w:eastAsia="cs-CZ" w:bidi="cs-CZ"/>
        </w:rP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pPr>
        <w:pStyle w:val="Style6"/>
        <w:keepNext w:val="0"/>
        <w:keepLines w:val="0"/>
        <w:widowControl w:val="0"/>
        <w:numPr>
          <w:ilvl w:val="0"/>
          <w:numId w:val="15"/>
        </w:numPr>
        <w:shd w:val="clear" w:color="auto" w:fill="auto"/>
        <w:tabs>
          <w:tab w:pos="671" w:val="left"/>
        </w:tabs>
        <w:bidi w:val="0"/>
        <w:spacing w:before="0" w:line="240" w:lineRule="auto"/>
        <w:ind w:left="600" w:right="0" w:hanging="600"/>
        <w:jc w:val="both"/>
      </w:pPr>
      <w:r>
        <w:rPr>
          <w:color w:val="000000"/>
          <w:spacing w:val="0"/>
          <w:w w:val="100"/>
          <w:position w:val="0"/>
          <w:shd w:val="clear" w:color="auto" w:fill="auto"/>
          <w:lang w:val="cs-CZ" w:eastAsia="cs-CZ" w:bidi="cs-CZ"/>
        </w:rPr>
        <w:t xml:space="preserve">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w:t>
      </w:r>
      <w:r>
        <w:rPr>
          <w:color w:val="000000"/>
          <w:spacing w:val="0"/>
          <w:w w:val="100"/>
          <w:position w:val="0"/>
          <w:shd w:val="clear" w:color="auto" w:fill="auto"/>
          <w:lang w:val="cs-CZ" w:eastAsia="cs-CZ" w:bidi="cs-CZ"/>
        </w:rPr>
        <w:t>s ním zadavatel uzavřel smlouvu, a že se zejména ve vztahu k ostatním uchazečům nedopustil žádného jednání narušujícího hospodářskou soutěž.</w:t>
      </w:r>
    </w:p>
    <w:p>
      <w:pPr>
        <w:pStyle w:val="Style6"/>
        <w:keepNext w:val="0"/>
        <w:keepLines w:val="0"/>
        <w:widowControl w:val="0"/>
        <w:numPr>
          <w:ilvl w:val="0"/>
          <w:numId w:val="15"/>
        </w:numPr>
        <w:shd w:val="clear" w:color="auto" w:fill="auto"/>
        <w:tabs>
          <w:tab w:pos="648" w:val="left"/>
        </w:tabs>
        <w:bidi w:val="0"/>
        <w:spacing w:before="0" w:line="240" w:lineRule="auto"/>
        <w:ind w:left="580" w:right="0" w:hanging="58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6"/>
        <w:keepNext w:val="0"/>
        <w:keepLines w:val="0"/>
        <w:widowControl w:val="0"/>
        <w:numPr>
          <w:ilvl w:val="0"/>
          <w:numId w:val="15"/>
        </w:numPr>
        <w:shd w:val="clear" w:color="auto" w:fill="auto"/>
        <w:tabs>
          <w:tab w:pos="648" w:val="left"/>
        </w:tabs>
        <w:bidi w:val="0"/>
        <w:spacing w:before="0" w:line="240" w:lineRule="auto"/>
        <w:ind w:left="580" w:right="0" w:hanging="58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6"/>
        <w:keepNext w:val="0"/>
        <w:keepLines w:val="0"/>
        <w:widowControl w:val="0"/>
        <w:numPr>
          <w:ilvl w:val="0"/>
          <w:numId w:val="15"/>
        </w:numPr>
        <w:shd w:val="clear" w:color="auto" w:fill="auto"/>
        <w:tabs>
          <w:tab w:pos="648" w:val="left"/>
        </w:tabs>
        <w:bidi w:val="0"/>
        <w:spacing w:before="0" w:line="240" w:lineRule="auto"/>
        <w:ind w:left="0" w:right="0" w:firstLine="0"/>
        <w:jc w:val="left"/>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6"/>
        <w:keepNext w:val="0"/>
        <w:keepLines w:val="0"/>
        <w:widowControl w:val="0"/>
        <w:numPr>
          <w:ilvl w:val="0"/>
          <w:numId w:val="17"/>
        </w:numPr>
        <w:shd w:val="clear" w:color="auto" w:fill="auto"/>
        <w:tabs>
          <w:tab w:pos="1065" w:val="left"/>
        </w:tabs>
        <w:bidi w:val="0"/>
        <w:spacing w:before="0" w:line="240" w:lineRule="auto"/>
        <w:ind w:left="0" w:right="0" w:firstLine="720"/>
        <w:jc w:val="both"/>
      </w:pPr>
      <w:r>
        <w:rPr>
          <w:color w:val="000000"/>
          <w:spacing w:val="0"/>
          <w:w w:val="100"/>
          <w:position w:val="0"/>
          <w:shd w:val="clear" w:color="auto" w:fill="auto"/>
          <w:lang w:val="cs-CZ" w:eastAsia="cs-CZ" w:bidi="cs-CZ"/>
        </w:rPr>
        <w:t xml:space="preserve">v případě podstatného porušení smlouvy dle </w:t>
      </w:r>
      <w:r>
        <w:rPr>
          <w:b/>
          <w:bCs/>
          <w:color w:val="000000"/>
          <w:spacing w:val="0"/>
          <w:w w:val="100"/>
          <w:position w:val="0"/>
          <w:shd w:val="clear" w:color="auto" w:fill="auto"/>
          <w:lang w:val="cs-CZ" w:eastAsia="cs-CZ" w:bidi="cs-CZ"/>
        </w:rPr>
        <w:t xml:space="preserve">článku 9 </w:t>
      </w:r>
      <w:r>
        <w:rPr>
          <w:color w:val="000000"/>
          <w:spacing w:val="0"/>
          <w:w w:val="100"/>
          <w:position w:val="0"/>
          <w:shd w:val="clear" w:color="auto" w:fill="auto"/>
          <w:lang w:val="cs-CZ" w:eastAsia="cs-CZ" w:bidi="cs-CZ"/>
        </w:rPr>
        <w:t>této smlouvy; a nebo</w:t>
      </w:r>
    </w:p>
    <w:p>
      <w:pPr>
        <w:pStyle w:val="Style6"/>
        <w:keepNext w:val="0"/>
        <w:keepLines w:val="0"/>
        <w:widowControl w:val="0"/>
        <w:numPr>
          <w:ilvl w:val="0"/>
          <w:numId w:val="17"/>
        </w:numPr>
        <w:shd w:val="clear" w:color="auto" w:fill="auto"/>
        <w:tabs>
          <w:tab w:pos="1075" w:val="left"/>
        </w:tabs>
        <w:bidi w:val="0"/>
        <w:spacing w:before="0" w:line="240" w:lineRule="auto"/>
        <w:ind w:left="1000" w:right="0" w:hanging="280"/>
        <w:jc w:val="both"/>
      </w:pPr>
      <w:r>
        <w:rPr>
          <w:color w:val="000000"/>
          <w:spacing w:val="0"/>
          <w:w w:val="100"/>
          <w:position w:val="0"/>
          <w:shd w:val="clear" w:color="auto" w:fill="auto"/>
          <w:lang w:val="cs-CZ" w:eastAsia="cs-CZ" w:bidi="cs-CZ"/>
        </w:rPr>
        <w:t>při zjištění, že technické parametry zboží neodpovídají požadavkům kupujícího; a nebo</w:t>
      </w:r>
    </w:p>
    <w:p>
      <w:pPr>
        <w:pStyle w:val="Style6"/>
        <w:keepNext w:val="0"/>
        <w:keepLines w:val="0"/>
        <w:widowControl w:val="0"/>
        <w:numPr>
          <w:ilvl w:val="0"/>
          <w:numId w:val="17"/>
        </w:numPr>
        <w:shd w:val="clear" w:color="auto" w:fill="auto"/>
        <w:tabs>
          <w:tab w:pos="1051" w:val="left"/>
        </w:tabs>
        <w:bidi w:val="0"/>
        <w:spacing w:before="0" w:line="240" w:lineRule="auto"/>
        <w:ind w:left="1000" w:right="0" w:hanging="280"/>
        <w:jc w:val="both"/>
      </w:pPr>
      <w:r>
        <w:rPr>
          <w:color w:val="000000"/>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6"/>
        <w:keepNext w:val="0"/>
        <w:keepLines w:val="0"/>
        <w:widowControl w:val="0"/>
        <w:numPr>
          <w:ilvl w:val="0"/>
          <w:numId w:val="17"/>
        </w:numPr>
        <w:shd w:val="clear" w:color="auto" w:fill="auto"/>
        <w:tabs>
          <w:tab w:pos="1075" w:val="left"/>
        </w:tabs>
        <w:bidi w:val="0"/>
        <w:spacing w:before="0" w:line="240" w:lineRule="auto"/>
        <w:ind w:left="1000" w:right="0" w:hanging="280"/>
        <w:jc w:val="both"/>
      </w:pPr>
      <w:r>
        <w:rPr>
          <w:color w:val="000000"/>
          <w:spacing w:val="0"/>
          <w:w w:val="100"/>
          <w:position w:val="0"/>
          <w:shd w:val="clear" w:color="auto" w:fill="auto"/>
          <w:lang w:val="cs-CZ" w:eastAsia="cs-CZ" w:bidi="cs-CZ"/>
        </w:rPr>
        <w:t>v souvislosti s plněním účelu této smlouvy dojde ke spáchání trestného činu; a nebo</w:t>
      </w:r>
    </w:p>
    <w:p>
      <w:pPr>
        <w:pStyle w:val="Style6"/>
        <w:keepNext w:val="0"/>
        <w:keepLines w:val="0"/>
        <w:widowControl w:val="0"/>
        <w:numPr>
          <w:ilvl w:val="0"/>
          <w:numId w:val="17"/>
        </w:numPr>
        <w:shd w:val="clear" w:color="auto" w:fill="auto"/>
        <w:tabs>
          <w:tab w:pos="1070" w:val="left"/>
        </w:tabs>
        <w:bidi w:val="0"/>
        <w:spacing w:before="0" w:line="240" w:lineRule="auto"/>
        <w:ind w:left="0" w:right="0" w:firstLine="720"/>
        <w:jc w:val="both"/>
      </w:pPr>
      <w:r>
        <w:rPr>
          <w:color w:val="000000"/>
          <w:spacing w:val="0"/>
          <w:w w:val="100"/>
          <w:position w:val="0"/>
          <w:shd w:val="clear" w:color="auto" w:fill="auto"/>
          <w:lang w:val="cs-CZ" w:eastAsia="cs-CZ" w:bidi="cs-CZ"/>
        </w:rPr>
        <w:t>v případech stanovených v § 223 ZZVZ; a</w:t>
      </w:r>
    </w:p>
    <w:p>
      <w:pPr>
        <w:pStyle w:val="Style6"/>
        <w:keepNext w:val="0"/>
        <w:keepLines w:val="0"/>
        <w:widowControl w:val="0"/>
        <w:numPr>
          <w:ilvl w:val="0"/>
          <w:numId w:val="17"/>
        </w:numPr>
        <w:shd w:val="clear" w:color="auto" w:fill="auto"/>
        <w:tabs>
          <w:tab w:pos="1022" w:val="left"/>
        </w:tabs>
        <w:bidi w:val="0"/>
        <w:spacing w:before="0" w:after="400" w:line="240" w:lineRule="auto"/>
        <w:ind w:left="1000" w:right="0" w:hanging="28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12"/>
        <w:keepNext/>
        <w:keepLines/>
        <w:widowControl w:val="0"/>
        <w:shd w:val="clear" w:color="auto" w:fill="auto"/>
        <w:bidi w:val="0"/>
        <w:spacing w:before="0" w:after="22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Platnost a účinnost smlouvy</w:t>
      </w:r>
      <w:bookmarkEnd w:id="36"/>
      <w:bookmarkEnd w:id="37"/>
    </w:p>
    <w:p>
      <w:pPr>
        <w:pStyle w:val="Style6"/>
        <w:keepNext w:val="0"/>
        <w:keepLines w:val="0"/>
        <w:widowControl w:val="0"/>
        <w:numPr>
          <w:ilvl w:val="0"/>
          <w:numId w:val="19"/>
        </w:numPr>
        <w:shd w:val="clear" w:color="auto" w:fill="auto"/>
        <w:tabs>
          <w:tab w:pos="648"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je vyhotovena v elektronické podobě, přičemž obě smluvní strany obdrží její elektronický originál.</w:t>
      </w:r>
    </w:p>
    <w:p>
      <w:pPr>
        <w:pStyle w:val="Style6"/>
        <w:keepNext w:val="0"/>
        <w:keepLines w:val="0"/>
        <w:widowControl w:val="0"/>
        <w:numPr>
          <w:ilvl w:val="0"/>
          <w:numId w:val="19"/>
        </w:numPr>
        <w:shd w:val="clear" w:color="auto" w:fill="auto"/>
        <w:tabs>
          <w:tab w:pos="61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6"/>
        <w:keepNext w:val="0"/>
        <w:keepLines w:val="0"/>
        <w:widowControl w:val="0"/>
        <w:numPr>
          <w:ilvl w:val="0"/>
          <w:numId w:val="19"/>
        </w:numPr>
        <w:shd w:val="clear" w:color="auto" w:fill="auto"/>
        <w:tabs>
          <w:tab w:pos="61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účinná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12"/>
        <w:keepNext/>
        <w:keepLines/>
        <w:widowControl w:val="0"/>
        <w:shd w:val="clear" w:color="auto" w:fill="auto"/>
        <w:bidi w:val="0"/>
        <w:spacing w:before="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Závěrečná ujednání</w:t>
      </w:r>
      <w:bookmarkEnd w:id="38"/>
      <w:bookmarkEnd w:id="39"/>
    </w:p>
    <w:p>
      <w:pPr>
        <w:pStyle w:val="Style6"/>
        <w:keepNext w:val="0"/>
        <w:keepLines w:val="0"/>
        <w:widowControl w:val="0"/>
        <w:numPr>
          <w:ilvl w:val="0"/>
          <w:numId w:val="21"/>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souhlasí se zveřejněním případných informací o této smlouvě dle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 219 ZZVZ a v Registru smluv dle zákona č. 340/2015 Sb. o zvláštních podmínkách účinnosti některých smluv, uveřejňování těchto smluv a o registru smluv, v platném znění (zákon o registru smluv). Smlouvu bude dle vůle smluvních stran na profilu zadavatele a v registru smluv v souladu s příslušnými právními předpisy, zejména ve lhůtách stanovených příslušnými právními předpisy, zveřejňovat kupující.</w:t>
      </w:r>
    </w:p>
    <w:p>
      <w:pPr>
        <w:pStyle w:val="Style6"/>
        <w:keepNext w:val="0"/>
        <w:keepLines w:val="0"/>
        <w:widowControl w:val="0"/>
        <w:numPr>
          <w:ilvl w:val="0"/>
          <w:numId w:val="21"/>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6"/>
        <w:keepNext w:val="0"/>
        <w:keepLines w:val="0"/>
        <w:widowControl w:val="0"/>
        <w:numPr>
          <w:ilvl w:val="0"/>
          <w:numId w:val="21"/>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 postoupení pohledávky od počátku za neplatné.</w:t>
      </w:r>
    </w:p>
    <w:p>
      <w:pPr>
        <w:pStyle w:val="Style6"/>
        <w:keepNext w:val="0"/>
        <w:keepLines w:val="0"/>
        <w:widowControl w:val="0"/>
        <w:numPr>
          <w:ilvl w:val="0"/>
          <w:numId w:val="21"/>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Nestanoví-li smlouva jinak, řídí se plnění této smlouvy příslušným zákonem č. 89/2012 Sb., v platném znění.</w:t>
      </w:r>
    </w:p>
    <w:p>
      <w:pPr>
        <w:pStyle w:val="Style6"/>
        <w:keepNext w:val="0"/>
        <w:keepLines w:val="0"/>
        <w:widowControl w:val="0"/>
        <w:numPr>
          <w:ilvl w:val="0"/>
          <w:numId w:val="21"/>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6"/>
        <w:keepNext w:val="0"/>
        <w:keepLines w:val="0"/>
        <w:widowControl w:val="0"/>
        <w:numPr>
          <w:ilvl w:val="0"/>
          <w:numId w:val="21"/>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Smluvní strany se dohodly, že na jejich vztah upravený touto smlouvou se dále neužijí ustanovení § 1921, § 1978 odst. 2, § 2093, § 2099 odst. 2, § 2106 odst. 3, § 2111 a § 2112 OZ.</w:t>
      </w:r>
    </w:p>
    <w:p>
      <w:pPr>
        <w:pStyle w:val="Style6"/>
        <w:keepNext w:val="0"/>
        <w:keepLines w:val="0"/>
        <w:widowControl w:val="0"/>
        <w:numPr>
          <w:ilvl w:val="0"/>
          <w:numId w:val="21"/>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Případné obchodní zvyklosti, týkající se sjednaného plnění, nemají přednost před smluvními ujednáními, ani před ustanoveními zákona, byť by tato neměla donucující účinky.</w:t>
      </w:r>
    </w:p>
    <w:p>
      <w:pPr>
        <w:pStyle w:val="Style6"/>
        <w:keepNext w:val="0"/>
        <w:keepLines w:val="0"/>
        <w:widowControl w:val="0"/>
        <w:numPr>
          <w:ilvl w:val="0"/>
          <w:numId w:val="21"/>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pPr>
        <w:pStyle w:val="Style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6"/>
        <w:keepNext w:val="0"/>
        <w:keepLines w:val="0"/>
        <w:widowControl w:val="0"/>
        <w:shd w:val="clear" w:color="auto" w:fill="auto"/>
        <w:bidi w:val="0"/>
        <w:spacing w:before="0" w:after="40" w:line="266"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příloha A1-2 technické parametry a specifikace</w:t>
      </w:r>
    </w:p>
    <w:p>
      <w:pPr>
        <w:pStyle w:val="Style6"/>
        <w:keepNext w:val="0"/>
        <w:keepLines w:val="0"/>
        <w:widowControl w:val="0"/>
        <w:shd w:val="clear" w:color="auto" w:fill="auto"/>
        <w:bidi w:val="0"/>
        <w:spacing w:before="0" w:after="78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příloha A2 Údaje, které jsou součástí ujednání a nebudou zveřejněny v Registru smluv</w:t>
      </w:r>
    </w:p>
    <w:p>
      <w:pPr>
        <w:pStyle w:val="Style6"/>
        <w:keepNext w:val="0"/>
        <w:keepLines w:val="0"/>
        <w:widowControl w:val="0"/>
        <w:shd w:val="clear" w:color="auto" w:fill="auto"/>
        <w:bidi w:val="0"/>
        <w:spacing w:before="0" w:after="620" w:line="271" w:lineRule="auto"/>
        <w:ind w:left="0" w:right="0" w:firstLine="0"/>
        <w:jc w:val="both"/>
        <w:rPr>
          <w:sz w:val="22"/>
          <w:szCs w:val="22"/>
        </w:r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6"/>
        <w:keepNext w:val="0"/>
        <w:keepLines w:val="0"/>
        <w:widowControl w:val="0"/>
        <w:shd w:val="clear" w:color="auto" w:fill="auto"/>
        <w:bidi w:val="0"/>
        <w:spacing w:before="0" w:after="320" w:line="240" w:lineRule="auto"/>
        <w:ind w:left="0" w:right="0" w:firstLine="0"/>
        <w:jc w:val="center"/>
      </w:pPr>
      <w:r>
        <mc:AlternateContent>
          <mc:Choice Requires="wps">
            <w:drawing>
              <wp:anchor distT="0" distB="0" distL="114300" distR="114300" simplePos="0" relativeHeight="125829382" behindDoc="0" locked="0" layoutInCell="1" allowOverlap="1">
                <wp:simplePos x="0" y="0"/>
                <wp:positionH relativeFrom="page">
                  <wp:posOffset>2430145</wp:posOffset>
                </wp:positionH>
                <wp:positionV relativeFrom="paragraph">
                  <wp:posOffset>12700</wp:posOffset>
                </wp:positionV>
                <wp:extent cx="509270" cy="213360"/>
                <wp:wrapSquare wrapText="right"/>
                <wp:docPr id="11" name="Shape 11"/>
                <a:graphic xmlns:a="http://schemas.openxmlformats.org/drawingml/2006/main">
                  <a:graphicData uri="http://schemas.microsoft.com/office/word/2010/wordprocessingShape">
                    <wps:wsp>
                      <wps:cNvSpPr txBox="1"/>
                      <wps:spPr>
                        <a:xfrm>
                          <a:ext cx="509270" cy="2133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Jičíně</w:t>
                            </w:r>
                          </w:p>
                        </w:txbxContent>
                      </wps:txbx>
                      <wps:bodyPr wrap="none" lIns="0" tIns="0" rIns="0" bIns="0">
                        <a:noAutoFit/>
                      </wps:bodyPr>
                    </wps:wsp>
                  </a:graphicData>
                </a:graphic>
              </wp:anchor>
            </w:drawing>
          </mc:Choice>
          <mc:Fallback>
            <w:pict>
              <v:shape id="_x0000_s1037" type="#_x0000_t202" style="position:absolute;margin-left:191.34999999999999pt;margin-top:1.pt;width:40.100000000000001pt;height:16.800000000000001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Jičíně</w:t>
                      </w:r>
                    </w:p>
                  </w:txbxContent>
                </v:textbox>
                <w10:wrap type="square" side="right" anchorx="page"/>
              </v:shape>
            </w:pict>
          </mc:Fallback>
        </mc:AlternateContent>
      </w:r>
      <w:r>
        <w:rPr>
          <w:color w:val="000000"/>
          <w:spacing w:val="0"/>
          <w:w w:val="100"/>
          <w:position w:val="0"/>
          <w:shd w:val="clear" w:color="auto" w:fill="auto"/>
          <w:lang w:val="cs-CZ" w:eastAsia="cs-CZ" w:bidi="cs-CZ"/>
        </w:rPr>
        <w:t>V Jihlavě</w:t>
      </w:r>
    </w:p>
    <w:p>
      <w:pPr>
        <w:widowControl w:val="0"/>
        <w:spacing w:line="1" w:lineRule="exact"/>
      </w:pPr>
      <w:r>
        <mc:AlternateContent>
          <mc:Choice Requires="wps">
            <w:drawing>
              <wp:anchor distT="2108200" distB="0" distL="0" distR="0" simplePos="0" relativeHeight="125829384" behindDoc="0" locked="0" layoutInCell="1" allowOverlap="1">
                <wp:simplePos x="0" y="0"/>
                <wp:positionH relativeFrom="page">
                  <wp:posOffset>2037080</wp:posOffset>
                </wp:positionH>
                <wp:positionV relativeFrom="paragraph">
                  <wp:posOffset>2108200</wp:posOffset>
                </wp:positionV>
                <wp:extent cx="1295400" cy="213360"/>
                <wp:wrapTopAndBottom/>
                <wp:docPr id="13" name="Shape 13"/>
                <a:graphic xmlns:a="http://schemas.openxmlformats.org/drawingml/2006/main">
                  <a:graphicData uri="http://schemas.microsoft.com/office/word/2010/wordprocessingShape">
                    <wps:wsp>
                      <wps:cNvSpPr txBox="1"/>
                      <wps:spPr>
                        <a:xfrm>
                          <a:ext cx="1295400" cy="2133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w:t>
                            </w:r>
                          </w:p>
                        </w:txbxContent>
                      </wps:txbx>
                      <wps:bodyPr wrap="none" lIns="0" tIns="0" rIns="0" bIns="0">
                        <a:noAutoFit/>
                      </wps:bodyPr>
                    </wps:wsp>
                  </a:graphicData>
                </a:graphic>
              </wp:anchor>
            </w:drawing>
          </mc:Choice>
          <mc:Fallback>
            <w:pict>
              <v:shape id="_x0000_s1039" type="#_x0000_t202" style="position:absolute;margin-left:160.40000000000001pt;margin-top:166.pt;width:102.pt;height:16.800000000000001pt;z-index:-125829369;mso-wrap-distance-left:0;mso-wrap-distance-top:166.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w:t>
                      </w:r>
                    </w:p>
                  </w:txbxContent>
                </v:textbox>
                <w10:wrap type="topAndBottom" anchorx="page"/>
              </v:shape>
            </w:pict>
          </mc:Fallback>
        </mc:AlternateContent>
      </w:r>
      <w:r>
        <mc:AlternateContent>
          <mc:Choice Requires="wps">
            <w:drawing>
              <wp:anchor distT="2108200" distB="0" distL="0" distR="0" simplePos="0" relativeHeight="125829386" behindDoc="0" locked="0" layoutInCell="1" allowOverlap="1">
                <wp:simplePos x="0" y="0"/>
                <wp:positionH relativeFrom="page">
                  <wp:posOffset>4819650</wp:posOffset>
                </wp:positionH>
                <wp:positionV relativeFrom="paragraph">
                  <wp:posOffset>2108200</wp:posOffset>
                </wp:positionV>
                <wp:extent cx="1164590" cy="213360"/>
                <wp:wrapTopAndBottom/>
                <wp:docPr id="15" name="Shape 15"/>
                <a:graphic xmlns:a="http://schemas.openxmlformats.org/drawingml/2006/main">
                  <a:graphicData uri="http://schemas.microsoft.com/office/word/2010/wordprocessingShape">
                    <wps:wsp>
                      <wps:cNvSpPr txBox="1"/>
                      <wps:spPr>
                        <a:xfrm>
                          <a:ext cx="1164590" cy="2133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wps:txbx>
                      <wps:bodyPr wrap="none" lIns="0" tIns="0" rIns="0" bIns="0">
                        <a:noAutoFit/>
                      </wps:bodyPr>
                    </wps:wsp>
                  </a:graphicData>
                </a:graphic>
              </wp:anchor>
            </w:drawing>
          </mc:Choice>
          <mc:Fallback>
            <w:pict>
              <v:shape id="_x0000_s1041" type="#_x0000_t202" style="position:absolute;margin-left:379.5pt;margin-top:166.pt;width:91.700000000000003pt;height:16.800000000000001pt;z-index:-125829367;mso-wrap-distance-left:0;mso-wrap-distance-top:166.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v:textbox>
                <w10:wrap type="topAndBottom" anchorx="page"/>
              </v:shape>
            </w:pict>
          </mc:Fallback>
        </mc:AlternateContent>
      </w:r>
      <w:r>
        <w:br w:type="page"/>
      </w:r>
    </w:p>
    <w:p>
      <w:pPr>
        <w:pStyle w:val="Style6"/>
        <w:keepNext w:val="0"/>
        <w:keepLines w:val="0"/>
        <w:widowControl w:val="0"/>
        <w:shd w:val="clear" w:color="auto" w:fill="auto"/>
        <w:bidi w:val="0"/>
        <w:spacing w:before="0" w:after="220" w:line="240" w:lineRule="auto"/>
        <w:ind w:left="0" w:right="440" w:firstLine="0"/>
        <w:jc w:val="right"/>
        <w:rPr>
          <w:sz w:val="22"/>
          <w:szCs w:val="22"/>
        </w:rPr>
      </w:pPr>
      <w:r>
        <w:rPr>
          <w:color w:val="000000"/>
          <w:spacing w:val="0"/>
          <w:w w:val="100"/>
          <w:position w:val="0"/>
          <w:sz w:val="22"/>
          <w:szCs w:val="22"/>
          <w:shd w:val="clear" w:color="auto" w:fill="auto"/>
          <w:lang w:val="cs-CZ" w:eastAsia="cs-CZ" w:bidi="cs-CZ"/>
        </w:rPr>
        <w:t>Příloha A1-2</w:t>
      </w:r>
    </w:p>
    <w:p>
      <w:pPr>
        <w:pStyle w:val="Style8"/>
        <w:keepNext/>
        <w:keepLines/>
        <w:widowControl w:val="0"/>
        <w:shd w:val="clear" w:color="auto" w:fill="auto"/>
        <w:bidi w:val="0"/>
        <w:spacing w:before="0" w:after="10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Technické parametry a specifikace</w:t>
      </w:r>
      <w:bookmarkEnd w:id="40"/>
      <w:bookmarkEnd w:id="41"/>
    </w:p>
    <w:p>
      <w:pPr>
        <w:pStyle w:val="Style6"/>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cs-CZ" w:eastAsia="cs-CZ" w:bidi="cs-CZ"/>
        </w:rPr>
        <w:t>Nástavba pro posyp silnic inertními materiály pro nosič TATRA 815 4x4</w:t>
      </w:r>
    </w:p>
    <w:p>
      <w:pPr>
        <w:pStyle w:val="Style19"/>
        <w:keepNext w:val="0"/>
        <w:keepLines w:val="0"/>
        <w:widowControl w:val="0"/>
        <w:shd w:val="clear" w:color="auto" w:fill="auto"/>
        <w:bidi w:val="0"/>
        <w:spacing w:before="0" w:after="0" w:line="240" w:lineRule="auto"/>
        <w:ind w:left="3557" w:right="0" w:firstLine="0"/>
        <w:jc w:val="left"/>
      </w:pPr>
      <w:r>
        <w:rPr>
          <w:color w:val="000000"/>
          <w:spacing w:val="0"/>
          <w:w w:val="100"/>
          <w:position w:val="0"/>
          <w:shd w:val="clear" w:color="auto" w:fill="auto"/>
          <w:lang w:val="cs-CZ" w:eastAsia="cs-CZ" w:bidi="cs-CZ"/>
        </w:rPr>
        <w:t>pro cestmistrovství Telč</w:t>
      </w:r>
    </w:p>
    <w:tbl>
      <w:tblPr>
        <w:tblOverlap w:val="never"/>
        <w:jc w:val="center"/>
        <w:tblLayout w:type="fixed"/>
      </w:tblPr>
      <w:tblGrid>
        <w:gridCol w:w="4536"/>
        <w:gridCol w:w="4973"/>
      </w:tblGrid>
      <w:tr>
        <w:trPr>
          <w:trHeight w:val="350"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Tovární značka:</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KOBIT</w:t>
            </w:r>
          </w:p>
        </w:tc>
      </w:tr>
      <w:tr>
        <w:trPr>
          <w:trHeight w:val="346"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Typ:</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SYKO 5H</w:t>
            </w:r>
          </w:p>
        </w:tc>
      </w:tr>
      <w:tr>
        <w:trPr>
          <w:trHeight w:val="360" w:hRule="exact"/>
        </w:trPr>
        <w:tc>
          <w:tcPr>
            <w:tcBorders>
              <w:top w:val="single" w:sz="4"/>
              <w:left w:val="single" w:sz="4"/>
              <w:bottom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Počet kusů:</w:t>
            </w:r>
          </w:p>
        </w:tc>
        <w:tc>
          <w:tcPr>
            <w:tcBorders>
              <w:top w:val="single" w:sz="4"/>
              <w:left w:val="single" w:sz="4"/>
              <w:bottom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r>
    </w:tbl>
    <w:p>
      <w:pPr>
        <w:widowControl w:val="0"/>
        <w:spacing w:after="519" w:line="1" w:lineRule="exact"/>
      </w:pPr>
    </w:p>
    <w:p>
      <w:pPr>
        <w:widowControl w:val="0"/>
        <w:spacing w:line="1" w:lineRule="exact"/>
      </w:pPr>
    </w:p>
    <w:tbl>
      <w:tblPr>
        <w:tblOverlap w:val="never"/>
        <w:jc w:val="center"/>
        <w:tblLayout w:type="fixed"/>
      </w:tblPr>
      <w:tblGrid>
        <w:gridCol w:w="5674"/>
        <w:gridCol w:w="1973"/>
        <w:gridCol w:w="2002"/>
      </w:tblGrid>
      <w:tr>
        <w:trPr>
          <w:trHeight w:val="821" w:hRule="exact"/>
        </w:trPr>
        <w:tc>
          <w:tcPr>
            <w:tcBorders>
              <w:top w:val="single" w:sz="4"/>
              <w:left w:val="single" w:sz="4"/>
            </w:tcBorders>
            <w:shd w:val="clear" w:color="auto" w:fill="FBE4D6"/>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Parametr</w:t>
            </w:r>
          </w:p>
        </w:tc>
        <w:tc>
          <w:tcPr>
            <w:tcBorders>
              <w:top w:val="single" w:sz="4"/>
              <w:left w:val="single" w:sz="4"/>
            </w:tcBorders>
            <w:shd w:val="clear" w:color="auto" w:fill="FBE4D6"/>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Požadavek</w:t>
            </w:r>
          </w:p>
        </w:tc>
        <w:tc>
          <w:tcPr>
            <w:tcBorders>
              <w:top w:val="single" w:sz="4"/>
              <w:left w:val="single" w:sz="4"/>
              <w:right w:val="single" w:sz="4"/>
            </w:tcBorders>
            <w:shd w:val="clear" w:color="auto" w:fill="FBE4D6"/>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Údaj o splnění</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pohon nástavby od systému komunální hydrauliky podvozku</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zásobník nástavby o objemu cca (dle nosnosti vozidla s dvojitým pláštěm korby pro možnost vyhřívání)</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min. 5 m</w:t>
            </w:r>
            <w:r>
              <w:rPr>
                <w:color w:val="000000"/>
                <w:spacing w:val="0"/>
                <w:w w:val="100"/>
                <w:position w:val="0"/>
                <w:shd w:val="clear" w:color="auto" w:fill="auto"/>
                <w:vertAlign w:val="superscript"/>
                <w:lang w:val="cs-CZ" w:eastAsia="cs-CZ" w:bidi="cs-CZ"/>
              </w:rPr>
              <w:t>3</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m</w:t>
            </w:r>
            <w:r>
              <w:rPr>
                <w:color w:val="000000"/>
                <w:spacing w:val="0"/>
                <w:w w:val="100"/>
                <w:position w:val="0"/>
                <w:shd w:val="clear" w:color="auto" w:fill="auto"/>
                <w:vertAlign w:val="superscript"/>
                <w:lang w:val="cs-CZ" w:eastAsia="cs-CZ" w:bidi="cs-CZ"/>
              </w:rPr>
              <w:t>3</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vyhřívání nástavby od výfukových plynů nosiče</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vynášení materiálu dvěma šneky</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888"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možnost nouzového ručního nastavení posypu při poruše elektroinstalace nástavby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2"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šířka posypu stavitelná z kabiny v rozsahu</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min. 2-8 m</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2 - 8m</w:t>
            </w:r>
          </w:p>
        </w:tc>
      </w:tr>
      <w:tr>
        <w:trPr>
          <w:trHeight w:val="1224"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zadní demontovatelné uzavírací zařízení na asfaltobetonovou směs ACO 8, ACO 11 (čelisťová výpusť)</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výkon vynášecích šneků při použití asfaltobetonové směsi</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min. 0,6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/min.</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/min.</w:t>
            </w:r>
          </w:p>
        </w:tc>
      </w:tr>
      <w:tr>
        <w:trPr>
          <w:trHeight w:val="1229" w:hRule="exact"/>
        </w:trPr>
        <w:tc>
          <w:tcPr>
            <w:tcBorders>
              <w:top w:val="single" w:sz="4"/>
              <w:left w:val="single" w:sz="4"/>
              <w:bottom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snímač otáček pro automatickou zpětnovazební regulaci nastavených parametrů na vynášecím systému materiálu a na rozmetacím disku (u obou rozmetadel)</w:t>
            </w:r>
          </w:p>
        </w:tc>
        <w:tc>
          <w:tcPr>
            <w:tcBorders>
              <w:top w:val="single" w:sz="4"/>
              <w:left w:val="single" w:sz="4"/>
              <w:bottom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5674"/>
        <w:gridCol w:w="1973"/>
        <w:gridCol w:w="2002"/>
      </w:tblGrid>
      <w:tr>
        <w:trPr>
          <w:trHeight w:val="888"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u každého rozmetadla bude umístěno čidlo snímání posypu</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1555"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na nástavbě před hydraulickým blokem na tlakové větvi vlastní hydraulický filtr pro zamezení vniknutí nečistot z hydraulického systému vozidla do řídících ventilů nástavby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odklopná termoizolační střecha (zakrytí) nástavby</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ovládání odklopné střechy ze země</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vyjímatelné ochranné síto s ochranou proti korozi (nerez popřípadě pozink)</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uveďte provedení</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žárově zinkovaná ochranná síta</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ovládání nástavby - režim sypač z kabiny vozidla</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ovládání nástavby - režim balená směs ze zadní části nástavby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automatická regulace dávkování</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50-500 g/m</w:t>
            </w:r>
            <w:r>
              <w:rPr>
                <w:color w:val="000000"/>
                <w:spacing w:val="0"/>
                <w:w w:val="100"/>
                <w:position w:val="0"/>
                <w:shd w:val="clear" w:color="auto" w:fill="auto"/>
                <w:vertAlign w:val="superscript"/>
                <w:lang w:val="cs-CZ" w:eastAsia="cs-CZ" w:bidi="cs-CZ"/>
              </w:rPr>
              <w:t>2</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50-500 g/ m</w:t>
            </w:r>
            <w:r>
              <w:rPr>
                <w:color w:val="000000"/>
                <w:spacing w:val="0"/>
                <w:w w:val="100"/>
                <w:position w:val="0"/>
                <w:shd w:val="clear" w:color="auto" w:fill="auto"/>
                <w:vertAlign w:val="superscript"/>
                <w:lang w:val="cs-CZ" w:eastAsia="cs-CZ" w:bidi="cs-CZ"/>
              </w:rPr>
              <w:t>2</w:t>
            </w:r>
          </w:p>
        </w:tc>
      </w:tr>
      <w:tr>
        <w:trPr>
          <w:trHeight w:val="1224"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při stupňovité regulaci posypové dávky musí být splněna možnost nastavení dávky 50, 100, 200, 300 a 500 g/m</w:t>
            </w:r>
            <w:r>
              <w:rPr>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1219"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automatické udržení nastavené dávky nezávisle na změnách pojezdové rychlosti vozidla v rozsahu 10 - 40 km/h</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možnost posypu na místě při zastaveném vozidle</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možnost zapnutí posypu na místě jednou klávesou dálkového ovladače bez nutnosti zásahu na nástavbě</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1224"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vybavení přístupovým žebříkem pro kontrolu stavu posypového materiálu v násypce s ochranou proti korozi</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93" w:hRule="exact"/>
        </w:trPr>
        <w:tc>
          <w:tcPr>
            <w:tcBorders>
              <w:top w:val="single" w:sz="4"/>
              <w:left w:val="single" w:sz="4"/>
              <w:bottom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sklopné zadní rozmetadlo a sklopná zadní vynášecí šachta</w:t>
            </w:r>
          </w:p>
        </w:tc>
        <w:tc>
          <w:tcPr>
            <w:tcBorders>
              <w:top w:val="single" w:sz="4"/>
              <w:left w:val="single" w:sz="4"/>
              <w:bottom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5674"/>
        <w:gridCol w:w="1973"/>
        <w:gridCol w:w="2002"/>
      </w:tblGrid>
      <w:tr>
        <w:trPr>
          <w:trHeight w:val="552"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rozmetadlo a zadní šachta vybaveny plynovou vzpěrou</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vynášecí šachta rozmetadla jištěna bezpečnostní pojistkou, která při vyklopení šachty zastaví rozmetadlo</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provozní výška předního rozmetadla nad vozovkou</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rozsahu min</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300 - 500 mm</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300-500 mm</w:t>
            </w:r>
          </w:p>
        </w:tc>
      </w:tr>
      <w:tr>
        <w:trPr>
          <w:trHeight w:val="883"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provozní výška zadního rozmetadla nad vozovkou</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rozsahu 300 -</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 mm</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300-400 mm</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zadní rozmetadlo výškově stavitelné nad vozovkou</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osvětlení obou rozmetadel vodotěsným reflektorem v LED provedení</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utěsnění skříňky s elektrickou instalací proti vlhkosti</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minimálně 4 odstavné výškově stavitelné mechanické nohy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barva nástavby oranžová RAL 2011 se zvýšenou odolností proti korozi</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1718"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všechny kovové součásti jsou chráněny před korozí pozinkováním a vícevrstvým lakem, popř. jiným technologickým procesem</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400" w:after="0" w:line="240" w:lineRule="auto"/>
              <w:ind w:left="0" w:right="0" w:firstLine="0"/>
              <w:jc w:val="left"/>
            </w:pPr>
            <w:r>
              <w:rPr>
                <w:color w:val="000000"/>
                <w:spacing w:val="0"/>
                <w:w w:val="100"/>
                <w:position w:val="0"/>
                <w:shd w:val="clear" w:color="auto" w:fill="auto"/>
                <w:lang w:val="cs-CZ" w:eastAsia="cs-CZ" w:bidi="cs-CZ"/>
              </w:rPr>
              <w:t>uveďte provedení</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prvky nerezové, plastové, žárově zinkované, vícevrstvé lakování</w:t>
            </w:r>
          </w:p>
        </w:tc>
      </w:tr>
      <w:tr>
        <w:trPr>
          <w:trHeight w:val="888"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osvětlení nákladového prostoru vodotěsným LED reflektorem pro bezpečné nakládání</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vybavení výstražným oranžovým majákem v LED provedení</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vybavení výstražnou pětiprvkovou světelnou rampou oranžové barvy v LED provedení, schváleného typu</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oka s odpovídající nosností pro jeřáb (montáž a demontáž prázdné nástavby)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r>
        <w:trPr>
          <w:trHeight w:val="893" w:hRule="exact"/>
        </w:trPr>
        <w:tc>
          <w:tcPr>
            <w:tcBorders>
              <w:top w:val="single" w:sz="4"/>
              <w:left w:val="single" w:sz="4"/>
              <w:bottom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výstup z modulu GPS vyhodnocován stávajícím softwarem Webdispečink</w:t>
            </w:r>
          </w:p>
        </w:tc>
        <w:tc>
          <w:tcPr>
            <w:tcBorders>
              <w:top w:val="single" w:sz="4"/>
              <w:left w:val="single" w:sz="4"/>
              <w:bottom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5674"/>
        <w:gridCol w:w="1973"/>
        <w:gridCol w:w="2002"/>
      </w:tblGrid>
      <w:tr>
        <w:trPr>
          <w:trHeight w:val="3922"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Pro bezproblémové propojení nástavby s telematickými jednotkami, které používá zadavatel, je třeba splnit následující podmínky: - datové rozhraní nástavby má fyzickou vrstvu RS 232,</w:t>
            </w:r>
          </w:p>
          <w:p>
            <w:pPr>
              <w:pStyle w:val="Style21"/>
              <w:keepNext w:val="0"/>
              <w:keepLines w:val="0"/>
              <w:widowControl w:val="0"/>
              <w:numPr>
                <w:ilvl w:val="0"/>
                <w:numId w:val="23"/>
              </w:numPr>
              <w:shd w:val="clear" w:color="auto" w:fill="auto"/>
              <w:tabs>
                <w:tab w:pos="130" w:val="left"/>
              </w:tabs>
              <w:bidi w:val="0"/>
              <w:spacing w:before="0" w:after="0" w:line="271" w:lineRule="auto"/>
              <w:ind w:left="0" w:right="0" w:firstLine="0"/>
              <w:jc w:val="left"/>
            </w:pPr>
            <w:r>
              <w:rPr>
                <w:color w:val="000000"/>
                <w:spacing w:val="0"/>
                <w:w w:val="100"/>
                <w:position w:val="0"/>
                <w:shd w:val="clear" w:color="auto" w:fill="auto"/>
                <w:lang w:val="cs-CZ" w:eastAsia="cs-CZ" w:bidi="cs-CZ"/>
              </w:rPr>
              <w:t>komunikační protokol nástavby splňuje ČSN EN 15430-1: „Zařízení pro zimní práce a údržbu komunikací</w:t>
            </w:r>
          </w:p>
          <w:p>
            <w:pPr>
              <w:pStyle w:val="Style21"/>
              <w:keepNext w:val="0"/>
              <w:keepLines w:val="0"/>
              <w:widowControl w:val="0"/>
              <w:numPr>
                <w:ilvl w:val="0"/>
                <w:numId w:val="23"/>
              </w:numPr>
              <w:shd w:val="clear" w:color="auto" w:fill="auto"/>
              <w:tabs>
                <w:tab w:pos="182" w:val="left"/>
              </w:tabs>
              <w:bidi w:val="0"/>
              <w:spacing w:before="0" w:after="0" w:line="271" w:lineRule="auto"/>
              <w:ind w:left="0" w:right="0" w:firstLine="0"/>
              <w:jc w:val="left"/>
            </w:pPr>
            <w:r>
              <w:rPr>
                <w:color w:val="000000"/>
                <w:spacing w:val="0"/>
                <w:w w:val="100"/>
                <w:position w:val="0"/>
                <w:shd w:val="clear" w:color="auto" w:fill="auto"/>
                <w:lang w:val="cs-CZ" w:eastAsia="cs-CZ" w:bidi="cs-CZ"/>
              </w:rPr>
              <w:t>Sběr a přenos dat - Část 1: Sběr dat o vozidle“, platnou od 2016-03-01, EN 15430-1:2015,</w:t>
            </w:r>
          </w:p>
          <w:p>
            <w:pPr>
              <w:pStyle w:val="Style21"/>
              <w:keepNext w:val="0"/>
              <w:keepLines w:val="0"/>
              <w:widowControl w:val="0"/>
              <w:numPr>
                <w:ilvl w:val="0"/>
                <w:numId w:val="23"/>
              </w:numPr>
              <w:shd w:val="clear" w:color="auto" w:fill="auto"/>
              <w:tabs>
                <w:tab w:pos="130" w:val="left"/>
              </w:tabs>
              <w:bidi w:val="0"/>
              <w:spacing w:before="0" w:after="0" w:line="271" w:lineRule="auto"/>
              <w:ind w:left="0" w:right="0" w:firstLine="0"/>
              <w:jc w:val="left"/>
            </w:pPr>
            <w:r>
              <w:rPr>
                <w:color w:val="000000"/>
                <w:spacing w:val="0"/>
                <w:w w:val="100"/>
                <w:position w:val="0"/>
                <w:shd w:val="clear" w:color="auto" w:fill="auto"/>
                <w:lang w:val="cs-CZ" w:eastAsia="cs-CZ" w:bidi="cs-CZ"/>
              </w:rPr>
              <w:t>v průběhu implementace dodavatel zajistí technickou podporu, která bude schopna vysvětlit případné nejasnosti v odesílaných datech;</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346" w:hRule="exact"/>
        </w:trPr>
        <w:tc>
          <w:tcPr>
            <w:gridSpan w:val="3"/>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rozmetadla - umístění a režimy posypu</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přední rozmetadlo na levé straně mezi 1. a 2. nápravou</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zadní rozmetadlo na zádi vozidla</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režim posypu jen předním rozmetadlem</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režim posypu jen zadním rozmetadlem</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režim posypu oběma rozmetadly současně</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346" w:hRule="exact"/>
        </w:trPr>
        <w:tc>
          <w:tcPr>
            <w:gridSpan w:val="3"/>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funkce ovládacího panelu</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přepínání rozmetadel</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ovládací panel sypací nástavby bude umístěn v zorném poli řidiče (v souladu s platnou legislativou)</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nastavení množství posypu</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nastavení šířky posypu</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zap/vyp majáku a světelné rampy na nástavbě</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zap/vyp posypu</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grafický displej s menu v českém jazyce</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893" w:hRule="exact"/>
        </w:trPr>
        <w:tc>
          <w:tcPr>
            <w:tcBorders>
              <w:top w:val="single" w:sz="4"/>
              <w:left w:val="single" w:sz="4"/>
              <w:bottom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podsvícený displej tak, aby v kabině byla zajištěna jeho čitelnost ve všech podmínkách</w:t>
            </w:r>
          </w:p>
        </w:tc>
        <w:tc>
          <w:tcPr>
            <w:tcBorders>
              <w:top w:val="single" w:sz="4"/>
              <w:left w:val="single" w:sz="4"/>
              <w:bottom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bl>
    <w:p>
      <w:pPr>
        <w:widowControl w:val="0"/>
        <w:spacing w:line="1" w:lineRule="exact"/>
      </w:pPr>
      <w:r>
        <w:br w:type="page"/>
      </w:r>
    </w:p>
    <w:tbl>
      <w:tblPr>
        <w:tblOverlap w:val="never"/>
        <w:jc w:val="center"/>
        <w:tblLayout w:type="fixed"/>
      </w:tblPr>
      <w:tblGrid>
        <w:gridCol w:w="5674"/>
        <w:gridCol w:w="1973"/>
        <w:gridCol w:w="2002"/>
      </w:tblGrid>
      <w:tr>
        <w:trPr>
          <w:trHeight w:val="350" w:hRule="exact"/>
        </w:trPr>
        <w:tc>
          <w:tcPr>
            <w:gridSpan w:val="3"/>
            <w:tcBorders>
              <w:top w:val="single" w:sz="4"/>
              <w:left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rozsah výstupních dat ovládacího panelu</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výstup přes rozhraní RS 232 nebo přes jiné technické řešení</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uveďte provedení</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RS 232</w:t>
            </w:r>
          </w:p>
        </w:tc>
      </w:tr>
      <w:tr>
        <w:trPr>
          <w:trHeight w:val="883"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posyp suchým materiálem-množství v g/m2 a evidence celkové spotřeby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evidence dat a časů zásahů</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47"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symetrie posypu</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r>
        <w:trPr>
          <w:trHeight w:val="557" w:hRule="exact"/>
        </w:trPr>
        <w:tc>
          <w:tcPr>
            <w:tcBorders>
              <w:top w:val="single" w:sz="4"/>
              <w:left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chybová hlášení nástavby</w:t>
            </w:r>
          </w:p>
        </w:tc>
        <w:tc>
          <w:tcPr>
            <w:tcBorders>
              <w:top w:val="single" w:sz="4"/>
              <w:left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r>
    </w:tbl>
    <w:p>
      <w:pPr>
        <w:sectPr>
          <w:footnotePr>
            <w:pos w:val="pageBottom"/>
            <w:numFmt w:val="decimal"/>
            <w:numRestart w:val="continuous"/>
          </w:footnotePr>
          <w:type w:val="continuous"/>
          <w:pgSz w:w="11900" w:h="16840"/>
          <w:pgMar w:top="1686" w:left="1127" w:right="1024" w:bottom="1420" w:header="0" w:footer="3" w:gutter="0"/>
          <w:cols w:space="720"/>
          <w:noEndnote/>
          <w:rtlGutter w:val="0"/>
          <w:docGrid w:linePitch="360"/>
        </w:sectPr>
      </w:pPr>
    </w:p>
    <w:p>
      <w:pPr>
        <w:pStyle w:val="Style6"/>
        <w:keepNext w:val="0"/>
        <w:keepLines w:val="0"/>
        <w:widowControl w:val="0"/>
        <w:shd w:val="clear" w:color="auto" w:fill="auto"/>
        <w:bidi w:val="0"/>
        <w:spacing w:before="0" w:after="74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A2</w:t>
      </w:r>
    </w:p>
    <w:p>
      <w:pPr>
        <w:pStyle w:val="Style6"/>
        <w:keepNext w:val="0"/>
        <w:keepLines w:val="0"/>
        <w:widowControl w:val="0"/>
        <w:shd w:val="clear" w:color="auto" w:fill="auto"/>
        <w:bidi w:val="0"/>
        <w:spacing w:before="0" w:after="1100" w:line="360" w:lineRule="auto"/>
        <w:ind w:left="1100" w:right="0" w:firstLine="0"/>
        <w:jc w:val="left"/>
        <w:rPr>
          <w:sz w:val="22"/>
          <w:szCs w:val="22"/>
        </w:rPr>
      </w:pPr>
      <w:r>
        <w:rPr>
          <w:b/>
          <w:bCs/>
          <w:color w:val="000000"/>
          <w:spacing w:val="0"/>
          <w:w w:val="100"/>
          <w:position w:val="0"/>
          <w:sz w:val="22"/>
          <w:szCs w:val="22"/>
          <w:shd w:val="clear" w:color="auto" w:fill="auto"/>
          <w:lang w:val="cs-CZ" w:eastAsia="cs-CZ" w:bidi="cs-CZ"/>
        </w:rPr>
        <w:t>Údaje, které jsou součástí ujednání a nebudou zveřejněny v Registru smluv:</w:t>
      </w:r>
    </w:p>
    <w:p>
      <w:pPr>
        <w:pStyle w:val="Style6"/>
        <w:keepNext w:val="0"/>
        <w:keepLines w:val="0"/>
        <w:widowControl w:val="0"/>
        <w:shd w:val="clear" w:color="auto" w:fill="auto"/>
        <w:bidi w:val="0"/>
        <w:spacing w:before="0" w:line="36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line="360" w:lineRule="auto"/>
        <w:ind w:left="0" w:right="0" w:firstLine="0"/>
        <w:jc w:val="left"/>
        <w:rPr>
          <w:sz w:val="22"/>
          <w:szCs w:val="22"/>
        </w:rPr>
      </w:pPr>
      <w:r>
        <w:rPr>
          <w:color w:val="000000"/>
          <w:spacing w:val="0"/>
          <w:w w:val="100"/>
          <w:position w:val="0"/>
          <w:sz w:val="22"/>
          <w:szCs w:val="22"/>
          <w:shd w:val="clear" w:color="auto" w:fill="auto"/>
          <w:lang w:val="cs-CZ" w:eastAsia="cs-CZ" w:bidi="cs-CZ"/>
        </w:rPr>
        <w:t>IČO: 00090450</w:t>
      </w:r>
    </w:p>
    <w:p>
      <w:pPr>
        <w:pStyle w:val="Style6"/>
        <w:keepNext w:val="0"/>
        <w:keepLines w:val="0"/>
        <w:widowControl w:val="0"/>
        <w:shd w:val="clear" w:color="auto" w:fill="auto"/>
        <w:bidi w:val="0"/>
        <w:spacing w:before="0" w:after="600" w:line="360" w:lineRule="auto"/>
        <w:ind w:left="0" w:right="0" w:firstLine="0"/>
        <w:jc w:val="left"/>
        <w:rPr>
          <w:sz w:val="22"/>
          <w:szCs w:val="22"/>
        </w:rPr>
      </w:pPr>
      <w:r>
        <w:rPr>
          <w:color w:val="000000"/>
          <w:spacing w:val="0"/>
          <w:w w:val="100"/>
          <w:position w:val="0"/>
          <w:sz w:val="22"/>
          <w:szCs w:val="22"/>
          <w:shd w:val="clear" w:color="auto" w:fill="auto"/>
          <w:lang w:val="cs-CZ" w:eastAsia="cs-CZ" w:bidi="cs-CZ"/>
        </w:rPr>
        <w:t>Číslo účtu:</w:t>
      </w:r>
    </w:p>
    <w:p>
      <w:pPr>
        <w:pStyle w:val="Style6"/>
        <w:keepNext w:val="0"/>
        <w:keepLines w:val="0"/>
        <w:widowControl w:val="0"/>
        <w:shd w:val="clear" w:color="auto" w:fill="auto"/>
        <w:bidi w:val="0"/>
        <w:spacing w:before="0" w:after="0" w:line="360" w:lineRule="auto"/>
        <w:ind w:left="0" w:right="0" w:firstLine="0"/>
        <w:jc w:val="left"/>
        <w:rPr>
          <w:sz w:val="22"/>
          <w:szCs w:val="22"/>
        </w:rPr>
      </w:pPr>
      <w:r>
        <w:rPr>
          <w:color w:val="000000"/>
          <w:spacing w:val="0"/>
          <w:w w:val="100"/>
          <w:position w:val="0"/>
          <w:sz w:val="22"/>
          <w:szCs w:val="22"/>
          <w:shd w:val="clear" w:color="auto" w:fill="auto"/>
          <w:lang w:val="cs-CZ" w:eastAsia="cs-CZ" w:bidi="cs-CZ"/>
        </w:rPr>
        <w:t>Osoba pověřená jednat jménem kupujícího ve věcech plnění a převzetí zboží:</w:t>
      </w:r>
    </w:p>
    <w:p>
      <w:pPr>
        <w:pStyle w:val="Style6"/>
        <w:keepNext w:val="0"/>
        <w:keepLines w:val="0"/>
        <w:widowControl w:val="0"/>
        <w:shd w:val="clear" w:color="auto" w:fill="auto"/>
        <w:bidi w:val="0"/>
        <w:spacing w:before="0" w:after="1040" w:line="334" w:lineRule="auto"/>
        <w:ind w:left="1420" w:right="0" w:firstLine="0"/>
        <w:jc w:val="left"/>
      </w:pPr>
      <w:r>
        <w:rPr>
          <w:color w:val="000000"/>
          <w:spacing w:val="0"/>
          <w:w w:val="100"/>
          <w:position w:val="0"/>
          <w:shd w:val="clear" w:color="auto" w:fill="auto"/>
          <w:lang w:val="cs-CZ" w:eastAsia="cs-CZ" w:bidi="cs-CZ"/>
        </w:rPr>
        <w:t>Jméno, příjmení telefon (GSM): e-mail:</w:t>
      </w:r>
    </w:p>
    <w:p>
      <w:pPr>
        <w:pStyle w:val="Style6"/>
        <w:keepNext w:val="0"/>
        <w:keepLines w:val="0"/>
        <w:widowControl w:val="0"/>
        <w:shd w:val="clear" w:color="auto" w:fill="auto"/>
        <w:bidi w:val="0"/>
        <w:spacing w:before="0" w:after="24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Obchodní firma: KOBIT, spol. s r.o.</w:t>
      </w:r>
    </w:p>
    <w:p>
      <w:pPr>
        <w:pStyle w:val="Style6"/>
        <w:keepNext w:val="0"/>
        <w:keepLines w:val="0"/>
        <w:widowControl w:val="0"/>
        <w:shd w:val="clear" w:color="auto" w:fill="auto"/>
        <w:bidi w:val="0"/>
        <w:spacing w:before="0" w:after="2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IČO: 44792247</w:t>
      </w:r>
    </w:p>
    <w:p>
      <w:pPr>
        <w:pStyle w:val="Style6"/>
        <w:keepNext w:val="0"/>
        <w:keepLines w:val="0"/>
        <w:widowControl w:val="0"/>
        <w:shd w:val="clear" w:color="auto" w:fill="auto"/>
        <w:bidi w:val="0"/>
        <w:spacing w:before="0" w:after="7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Číslo účtu:</w:t>
      </w:r>
    </w:p>
    <w:p>
      <w:pPr>
        <w:pStyle w:val="Style6"/>
        <w:keepNext w:val="0"/>
        <w:keepLines w:val="0"/>
        <w:widowControl w:val="0"/>
        <w:shd w:val="clear" w:color="auto" w:fill="auto"/>
        <w:bidi w:val="0"/>
        <w:spacing w:before="0" w:after="1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Osoba pověřená jednat jménem prodávajícího ve věcech plnění a předání zboží:</w:t>
      </w:r>
    </w:p>
    <w:p>
      <w:pPr>
        <w:pStyle w:val="Style6"/>
        <w:keepNext w:val="0"/>
        <w:keepLines w:val="0"/>
        <w:widowControl w:val="0"/>
        <w:shd w:val="clear" w:color="auto" w:fill="auto"/>
        <w:bidi w:val="0"/>
        <w:spacing w:before="0" w:line="240" w:lineRule="auto"/>
        <w:ind w:left="1420" w:right="0" w:firstLine="0"/>
        <w:jc w:val="left"/>
      </w:pPr>
      <w:r>
        <w:rPr>
          <w:color w:val="000000"/>
          <w:spacing w:val="0"/>
          <w:w w:val="100"/>
          <w:position w:val="0"/>
          <w:shd w:val="clear" w:color="auto" w:fill="auto"/>
          <w:lang w:val="cs-CZ" w:eastAsia="cs-CZ" w:bidi="cs-CZ"/>
        </w:rPr>
        <w:t>Jméno, příjmení:</w:t>
      </w:r>
    </w:p>
    <w:p>
      <w:pPr>
        <w:pStyle w:val="Style6"/>
        <w:keepNext w:val="0"/>
        <w:keepLines w:val="0"/>
        <w:widowControl w:val="0"/>
        <w:shd w:val="clear" w:color="auto" w:fill="auto"/>
        <w:bidi w:val="0"/>
        <w:spacing w:before="0" w:after="140" w:line="240" w:lineRule="auto"/>
        <w:ind w:left="1420" w:right="0" w:firstLine="0"/>
        <w:jc w:val="left"/>
        <w:rPr>
          <w:sz w:val="22"/>
          <w:szCs w:val="22"/>
        </w:rPr>
      </w:pPr>
      <w:r>
        <w:rPr>
          <w:color w:val="000000"/>
          <w:spacing w:val="0"/>
          <w:w w:val="100"/>
          <w:position w:val="0"/>
          <w:sz w:val="22"/>
          <w:szCs w:val="22"/>
          <w:shd w:val="clear" w:color="auto" w:fill="auto"/>
          <w:lang w:val="cs-CZ" w:eastAsia="cs-CZ" w:bidi="cs-CZ"/>
        </w:rPr>
        <w:t>telefon (GSM):</w:t>
      </w:r>
    </w:p>
    <w:p>
      <w:pPr>
        <w:pStyle w:val="Style6"/>
        <w:keepNext w:val="0"/>
        <w:keepLines w:val="0"/>
        <w:widowControl w:val="0"/>
        <w:shd w:val="clear" w:color="auto" w:fill="auto"/>
        <w:bidi w:val="0"/>
        <w:spacing w:before="0" w:after="240" w:line="240" w:lineRule="auto"/>
        <w:ind w:left="1420" w:right="0" w:firstLine="0"/>
        <w:jc w:val="left"/>
        <w:rPr>
          <w:sz w:val="22"/>
          <w:szCs w:val="22"/>
        </w:rPr>
      </w:pPr>
      <w:r>
        <w:rPr>
          <w:color w:val="000000"/>
          <w:spacing w:val="0"/>
          <w:w w:val="100"/>
          <w:position w:val="0"/>
          <w:sz w:val="22"/>
          <w:szCs w:val="22"/>
          <w:shd w:val="clear" w:color="auto" w:fill="auto"/>
          <w:lang w:val="cs-CZ" w:eastAsia="cs-CZ" w:bidi="cs-CZ"/>
        </w:rPr>
        <w:t>e-mail:</w:t>
      </w:r>
    </w:p>
    <w:sectPr>
      <w:footnotePr>
        <w:pos w:val="pageBottom"/>
        <w:numFmt w:val="decimal"/>
        <w:numRestart w:val="continuous"/>
      </w:footnotePr>
      <w:pgSz w:w="11900" w:h="16840"/>
      <w:pgMar w:top="2238" w:left="1374" w:right="2471" w:bottom="223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3305175</wp:posOffset>
              </wp:positionH>
              <wp:positionV relativeFrom="page">
                <wp:posOffset>9980295</wp:posOffset>
              </wp:positionV>
              <wp:extent cx="795655" cy="115570"/>
              <wp:wrapNone/>
              <wp:docPr id="4" name="Shape 4"/>
              <a:graphic xmlns:a="http://schemas.openxmlformats.org/drawingml/2006/main">
                <a:graphicData uri="http://schemas.microsoft.com/office/word/2010/wordprocessingShape">
                  <wps:wsp>
                    <wps:cNvSpPr txBox="1"/>
                    <wps:spPr>
                      <a:xfrm>
                        <a:ext cx="795655" cy="1155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14</w:t>
                          </w:r>
                        </w:p>
                      </w:txbxContent>
                    </wps:txbx>
                    <wps:bodyPr wrap="none" lIns="0" tIns="0" rIns="0" bIns="0">
                      <a:spAutoFit/>
                    </wps:bodyPr>
                  </wps:wsp>
                </a:graphicData>
              </a:graphic>
            </wp:anchor>
          </w:drawing>
        </mc:Choice>
        <mc:Fallback>
          <w:pict>
            <v:shape id="_x0000_s1030" type="#_x0000_t202" style="position:absolute;margin-left:260.25pt;margin-top:785.85000000000002pt;width:62.649999999999999pt;height:9.0999999999999996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14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799465</wp:posOffset>
              </wp:positionH>
              <wp:positionV relativeFrom="page">
                <wp:posOffset>9920605</wp:posOffset>
              </wp:positionV>
              <wp:extent cx="5803265" cy="0"/>
              <wp:wrapNone/>
              <wp:docPr id="6" name="Shape 6"/>
              <a:graphic xmlns:a="http://schemas.openxmlformats.org/drawingml/2006/main">
                <a:graphicData uri="http://schemas.microsoft.com/office/word/2010/wordprocessingShape">
                  <wps:wsp>
                    <wps:cNvCnPr/>
                    <wps:spPr>
                      <a:xfrm>
                        <a:ext cx="5803265" cy="0"/>
                      </a:xfrm>
                      <a:prstGeom prst="straightConnector1"/>
                      <a:ln w="12700">
                        <a:solidFill/>
                      </a:ln>
                    </wps:spPr>
                    <wps:bodyPr/>
                  </wps:wsp>
                </a:graphicData>
              </a:graphic>
            </wp:anchor>
          </w:drawing>
        </mc:Choice>
        <mc:Fallback>
          <w:pict>
            <v:shape o:spt="32" o:oned="true" path="m,l21600,21600e" style="position:absolute;margin-left:62.950000000000003pt;margin-top:781.14999999999998pt;width:456.94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929005</wp:posOffset>
              </wp:positionH>
              <wp:positionV relativeFrom="page">
                <wp:posOffset>470535</wp:posOffset>
              </wp:positionV>
              <wp:extent cx="4316095" cy="423545"/>
              <wp:wrapNone/>
              <wp:docPr id="1" name="Shape 1"/>
              <a:graphic xmlns:a="http://schemas.openxmlformats.org/drawingml/2006/main">
                <a:graphicData uri="http://schemas.microsoft.com/office/word/2010/wordprocessingShape">
                  <wps:wsp>
                    <wps:cNvSpPr txBox="1"/>
                    <wps:spPr>
                      <a:xfrm>
                        <a:ext cx="4316095" cy="4235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Dodávka nástaveb na zimní údržbu komunikací,</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Část 2 Dodávka inertní sypací nástavby pro nosič TATRA 815 4x4 pro cestmistrovství</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Telč</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3.150000000000006pt;margin-top:37.049999999999997pt;width:339.85000000000002pt;height:33.3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Dodávka nástaveb na zimní údržbu komunikací,</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Část 2 Dodávka inertní sypací nástavby pro nosič TATRA 815 4x4 pro cestmistrovství</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Telč</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859155</wp:posOffset>
              </wp:positionH>
              <wp:positionV relativeFrom="page">
                <wp:posOffset>913765</wp:posOffset>
              </wp:positionV>
              <wp:extent cx="5763895" cy="0"/>
              <wp:wrapNone/>
              <wp:docPr id="3" name="Shape 3"/>
              <a:graphic xmlns:a="http://schemas.openxmlformats.org/drawingml/2006/main">
                <a:graphicData uri="http://schemas.microsoft.com/office/word/2010/wordprocessingShape">
                  <wps:wsp>
                    <wps:cNvCnPr/>
                    <wps:spPr>
                      <a:xfrm>
                        <a:ext cx="5763895" cy="0"/>
                      </a:xfrm>
                      <a:prstGeom prst="straightConnector1"/>
                      <a:ln w="12700">
                        <a:solidFill/>
                      </a:ln>
                    </wps:spPr>
                    <wps:bodyPr/>
                  </wps:wsp>
                </a:graphicData>
              </a:graphic>
            </wp:anchor>
          </w:drawing>
        </mc:Choice>
        <mc:Fallback>
          <w:pict>
            <v:shape o:spt="32" o:oned="true" path="m,l21600,21600e" style="position:absolute;margin-left:67.650000000000006pt;margin-top:71.950000000000003pt;width:453.85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Základní text_"/>
    <w:basedOn w:val="DefaultParagraphFont"/>
    <w:link w:val="Style6"/>
    <w:rPr>
      <w:rFonts w:ascii="Calibri" w:eastAsia="Calibri" w:hAnsi="Calibri" w:cs="Calibri"/>
      <w:b w:val="0"/>
      <w:bCs w:val="0"/>
      <w:i w:val="0"/>
      <w:iCs w:val="0"/>
      <w:smallCaps w:val="0"/>
      <w:strike w:val="0"/>
      <w:sz w:val="24"/>
      <w:szCs w:val="24"/>
      <w:u w:val="none"/>
    </w:rPr>
  </w:style>
  <w:style w:type="character" w:customStyle="1" w:styleId="CharStyle9">
    <w:name w:val="Nadpis #1_"/>
    <w:basedOn w:val="DefaultParagraphFont"/>
    <w:link w:val="Style8"/>
    <w:rPr>
      <w:rFonts w:ascii="Calibri" w:eastAsia="Calibri" w:hAnsi="Calibri" w:cs="Calibri"/>
      <w:b/>
      <w:bCs/>
      <w:i w:val="0"/>
      <w:iCs w:val="0"/>
      <w:smallCaps w:val="0"/>
      <w:strike w:val="0"/>
      <w:sz w:val="28"/>
      <w:szCs w:val="28"/>
      <w:u w:val="none"/>
    </w:rPr>
  </w:style>
  <w:style w:type="character" w:customStyle="1" w:styleId="CharStyle11">
    <w:name w:val="Základní text (2)_"/>
    <w:basedOn w:val="DefaultParagraphFont"/>
    <w:link w:val="Style10"/>
    <w:rPr>
      <w:rFonts w:ascii="Calibri" w:eastAsia="Calibri" w:hAnsi="Calibri" w:cs="Calibri"/>
      <w:b w:val="0"/>
      <w:bCs w:val="0"/>
      <w:i w:val="0"/>
      <w:iCs w:val="0"/>
      <w:smallCaps w:val="0"/>
      <w:strike w:val="0"/>
      <w:sz w:val="20"/>
      <w:szCs w:val="20"/>
      <w:u w:val="none"/>
    </w:rPr>
  </w:style>
  <w:style w:type="character" w:customStyle="1" w:styleId="CharStyle13">
    <w:name w:val="Nadpis #2_"/>
    <w:basedOn w:val="DefaultParagraphFont"/>
    <w:link w:val="Style12"/>
    <w:rPr>
      <w:rFonts w:ascii="Calibri" w:eastAsia="Calibri" w:hAnsi="Calibri" w:cs="Calibri"/>
      <w:b/>
      <w:bCs/>
      <w:i w:val="0"/>
      <w:iCs w:val="0"/>
      <w:smallCaps w:val="0"/>
      <w:strike w:val="0"/>
      <w:sz w:val="24"/>
      <w:szCs w:val="24"/>
      <w:u w:val="none"/>
    </w:rPr>
  </w:style>
  <w:style w:type="character" w:customStyle="1" w:styleId="CharStyle20">
    <w:name w:val="Titulek tabulky_"/>
    <w:basedOn w:val="DefaultParagraphFont"/>
    <w:link w:val="Style19"/>
    <w:rPr>
      <w:rFonts w:ascii="Calibri" w:eastAsia="Calibri" w:hAnsi="Calibri" w:cs="Calibri"/>
      <w:b w:val="0"/>
      <w:bCs w:val="0"/>
      <w:i w:val="0"/>
      <w:iCs w:val="0"/>
      <w:smallCaps w:val="0"/>
      <w:strike w:val="0"/>
      <w:sz w:val="24"/>
      <w:szCs w:val="24"/>
      <w:u w:val="none"/>
    </w:rPr>
  </w:style>
  <w:style w:type="character" w:customStyle="1" w:styleId="CharStyle22">
    <w:name w:val="Jiné_"/>
    <w:basedOn w:val="DefaultParagraphFont"/>
    <w:link w:val="Style21"/>
    <w:rPr>
      <w:rFonts w:ascii="Calibri" w:eastAsia="Calibri" w:hAnsi="Calibri" w:cs="Calibri"/>
      <w:b w:val="0"/>
      <w:bCs w:val="0"/>
      <w:i w:val="0"/>
      <w:iCs w:val="0"/>
      <w:smallCaps w:val="0"/>
      <w:strike w:val="0"/>
      <w:sz w:val="24"/>
      <w:szCs w:val="24"/>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Základní text"/>
    <w:basedOn w:val="Normal"/>
    <w:link w:val="CharStyle7"/>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8">
    <w:name w:val="Nadpis #1"/>
    <w:basedOn w:val="Normal"/>
    <w:link w:val="CharStyle9"/>
    <w:pPr>
      <w:widowControl w:val="0"/>
      <w:shd w:val="clear" w:color="auto" w:fill="FFFFFF"/>
      <w:spacing w:after="230"/>
      <w:jc w:val="center"/>
      <w:outlineLvl w:val="0"/>
    </w:pPr>
    <w:rPr>
      <w:rFonts w:ascii="Calibri" w:eastAsia="Calibri" w:hAnsi="Calibri" w:cs="Calibri"/>
      <w:b/>
      <w:bCs/>
      <w:i w:val="0"/>
      <w:iCs w:val="0"/>
      <w:smallCaps w:val="0"/>
      <w:strike w:val="0"/>
      <w:sz w:val="28"/>
      <w:szCs w:val="28"/>
      <w:u w:val="none"/>
    </w:rPr>
  </w:style>
  <w:style w:type="paragraph" w:customStyle="1" w:styleId="Style10">
    <w:name w:val="Základní text (2)"/>
    <w:basedOn w:val="Normal"/>
    <w:link w:val="CharStyle11"/>
    <w:pPr>
      <w:widowControl w:val="0"/>
      <w:shd w:val="clear" w:color="auto" w:fill="FFFFFF"/>
      <w:spacing w:after="140"/>
    </w:pPr>
    <w:rPr>
      <w:rFonts w:ascii="Calibri" w:eastAsia="Calibri" w:hAnsi="Calibri" w:cs="Calibri"/>
      <w:b w:val="0"/>
      <w:bCs w:val="0"/>
      <w:i w:val="0"/>
      <w:iCs w:val="0"/>
      <w:smallCaps w:val="0"/>
      <w:strike w:val="0"/>
      <w:sz w:val="20"/>
      <w:szCs w:val="20"/>
      <w:u w:val="none"/>
    </w:rPr>
  </w:style>
  <w:style w:type="paragraph" w:customStyle="1" w:styleId="Style12">
    <w:name w:val="Nadpis #2"/>
    <w:basedOn w:val="Normal"/>
    <w:link w:val="CharStyle13"/>
    <w:pPr>
      <w:widowControl w:val="0"/>
      <w:shd w:val="clear" w:color="auto" w:fill="FFFFFF"/>
      <w:spacing w:after="100"/>
      <w:jc w:val="center"/>
      <w:outlineLvl w:val="1"/>
    </w:pPr>
    <w:rPr>
      <w:rFonts w:ascii="Calibri" w:eastAsia="Calibri" w:hAnsi="Calibri" w:cs="Calibri"/>
      <w:b/>
      <w:bCs/>
      <w:i w:val="0"/>
      <w:iCs w:val="0"/>
      <w:smallCaps w:val="0"/>
      <w:strike w:val="0"/>
      <w:sz w:val="24"/>
      <w:szCs w:val="24"/>
      <w:u w:val="none"/>
    </w:rPr>
  </w:style>
  <w:style w:type="paragraph" w:customStyle="1" w:styleId="Style19">
    <w:name w:val="Titulek tabulky"/>
    <w:basedOn w:val="Normal"/>
    <w:link w:val="CharStyle20"/>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21">
    <w:name w:val="Jiné"/>
    <w:basedOn w:val="Normal"/>
    <w:link w:val="CharStyle22"/>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Tomáš Houdek</dc:creator>
  <cp:keywords/>
</cp:coreProperties>
</file>