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59" w:rsidRDefault="00E05B63">
      <w:pPr>
        <w:pStyle w:val="Nadpis3"/>
        <w:spacing w:before="1080"/>
        <w:jc w:val="center"/>
        <w:rPr>
          <w:rFonts w:ascii="Arial" w:hAnsi="Arial"/>
          <w:sz w:val="36"/>
        </w:rPr>
      </w:pPr>
      <w:r>
        <w:rPr>
          <w:rFonts w:ascii="Arial" w:hAnsi="Arial"/>
          <w:sz w:val="36"/>
        </w:rPr>
        <w:t>Smlouva o realizaci překládky sítě elektronických komunikací</w:t>
      </w:r>
    </w:p>
    <w:p w:rsidR="003E2C59" w:rsidRDefault="00E05B63">
      <w:pPr>
        <w:pStyle w:val="Zkladntext"/>
        <w:spacing w:after="0"/>
        <w:jc w:val="center"/>
        <w:rPr>
          <w:rFonts w:ascii="Arial" w:hAnsi="Arial" w:cs="Arial"/>
        </w:rPr>
      </w:pPr>
      <w:r>
        <w:rPr>
          <w:rFonts w:ascii="Arial" w:hAnsi="Arial" w:cs="Arial"/>
        </w:rPr>
        <w:t xml:space="preserve">uzavřená dle ustanovení § 1724 odst. 2, zákona č. 89/2012 Sb. občanského zákoníku, v platném znění </w:t>
      </w:r>
    </w:p>
    <w:p w:rsidR="003E2C59" w:rsidRDefault="00E05B63">
      <w:pPr>
        <w:pStyle w:val="Zkladntext"/>
        <w:spacing w:after="0"/>
        <w:jc w:val="center"/>
        <w:rPr>
          <w:rFonts w:ascii="Arial" w:hAnsi="Arial" w:cs="Arial"/>
        </w:rPr>
      </w:pPr>
      <w:r>
        <w:rPr>
          <w:rFonts w:ascii="Arial" w:hAnsi="Arial" w:cs="Arial"/>
        </w:rPr>
        <w:t xml:space="preserve">(dále jen „ObčZ“) </w:t>
      </w:r>
    </w:p>
    <w:p w:rsidR="003E2C59" w:rsidRDefault="00E05B63">
      <w:pPr>
        <w:pStyle w:val="Zkladntext"/>
        <w:spacing w:after="0"/>
        <w:jc w:val="center"/>
        <w:rPr>
          <w:rFonts w:ascii="Arial" w:hAnsi="Arial" w:cs="Arial"/>
        </w:rPr>
      </w:pPr>
      <w:r>
        <w:rPr>
          <w:rFonts w:ascii="Arial" w:hAnsi="Arial" w:cs="Arial"/>
        </w:rPr>
        <w:t>a</w:t>
      </w:r>
    </w:p>
    <w:p w:rsidR="003E2C59" w:rsidRDefault="00E05B63">
      <w:pPr>
        <w:pStyle w:val="Zkladntext"/>
        <w:spacing w:after="0"/>
        <w:ind w:left="567" w:right="565"/>
        <w:jc w:val="center"/>
        <w:rPr>
          <w:rFonts w:ascii="Arial" w:hAnsi="Arial" w:cs="Arial"/>
        </w:rPr>
      </w:pPr>
      <w:r>
        <w:rPr>
          <w:rFonts w:ascii="Arial" w:hAnsi="Arial" w:cs="Arial"/>
        </w:rPr>
        <w:t xml:space="preserve">dle ustanovení § 104 odst. 17., zákona č. 127/2005 Sb., o elektronických komunikacích a o změně některých souvisejících zákonů, v platném znění (dále jen „ZeK“) </w:t>
      </w:r>
    </w:p>
    <w:p w:rsidR="003E2C59" w:rsidRDefault="003E2C59">
      <w:pPr>
        <w:pStyle w:val="Zkladntext"/>
        <w:ind w:left="567" w:right="565"/>
        <w:jc w:val="center"/>
        <w:rPr>
          <w:rFonts w:ascii="Arial" w:hAnsi="Arial" w:cs="Arial"/>
        </w:rPr>
      </w:pPr>
    </w:p>
    <w:p w:rsidR="003E2C59" w:rsidRDefault="00E05B63">
      <w:pPr>
        <w:pStyle w:val="Zkladntext"/>
        <w:ind w:left="567" w:right="565"/>
        <w:jc w:val="center"/>
        <w:rPr>
          <w:rFonts w:ascii="Arial" w:hAnsi="Arial" w:cs="Arial"/>
        </w:rPr>
      </w:pPr>
      <w:r>
        <w:rPr>
          <w:rFonts w:ascii="Arial" w:hAnsi="Arial" w:cs="Arial"/>
        </w:rPr>
        <w:t>Evidenční číslo smlouvy ČDT: 20/003/404</w:t>
      </w:r>
    </w:p>
    <w:p w:rsidR="003E2C59" w:rsidRDefault="00E05B63">
      <w:pPr>
        <w:pStyle w:val="Zkladntext"/>
        <w:ind w:left="567" w:right="565"/>
        <w:jc w:val="center"/>
        <w:rPr>
          <w:rFonts w:ascii="Arial" w:hAnsi="Arial" w:cs="Arial"/>
        </w:rPr>
      </w:pPr>
      <w:r>
        <w:rPr>
          <w:rFonts w:ascii="Arial" w:hAnsi="Arial" w:cs="Arial"/>
        </w:rPr>
        <w:t xml:space="preserve">Evidenční číslo smlouvy Pardubický kraj: OR/21/71053   </w:t>
      </w:r>
    </w:p>
    <w:p w:rsidR="003E2C59" w:rsidRDefault="003E2C59">
      <w:pPr>
        <w:spacing w:after="120"/>
        <w:jc w:val="both"/>
        <w:rPr>
          <w:rFonts w:ascii="Arial" w:hAnsi="Arial" w:cs="Arial"/>
          <w:b/>
        </w:rPr>
      </w:pPr>
    </w:p>
    <w:p w:rsidR="003E2C59" w:rsidRDefault="00E05B63">
      <w:pPr>
        <w:spacing w:after="120"/>
        <w:jc w:val="both"/>
        <w:rPr>
          <w:rFonts w:ascii="Arial" w:hAnsi="Arial" w:cs="Arial"/>
          <w:b/>
        </w:rPr>
      </w:pPr>
      <w:r>
        <w:rPr>
          <w:rFonts w:ascii="Arial" w:hAnsi="Arial" w:cs="Arial"/>
          <w:b/>
        </w:rPr>
        <w:t xml:space="preserve">Vlastník sítě elektronických komunikací: </w:t>
      </w:r>
    </w:p>
    <w:p w:rsidR="003E2C59" w:rsidRDefault="00E05B63">
      <w:pPr>
        <w:spacing w:after="40"/>
        <w:jc w:val="both"/>
        <w:rPr>
          <w:rFonts w:ascii="Arial" w:hAnsi="Arial" w:cs="Arial"/>
          <w:b/>
        </w:rPr>
      </w:pPr>
      <w:r>
        <w:rPr>
          <w:rFonts w:ascii="Arial" w:hAnsi="Arial" w:cs="Arial"/>
          <w:b/>
        </w:rPr>
        <w:t>ČD - Telematika a.s.</w:t>
      </w:r>
    </w:p>
    <w:p w:rsidR="003E2C59" w:rsidRDefault="00E05B63">
      <w:pPr>
        <w:tabs>
          <w:tab w:val="left" w:pos="2268"/>
        </w:tabs>
        <w:spacing w:after="40"/>
        <w:jc w:val="both"/>
        <w:rPr>
          <w:rFonts w:ascii="Arial" w:hAnsi="Arial" w:cs="Arial"/>
        </w:rPr>
      </w:pPr>
      <w:r>
        <w:rPr>
          <w:rFonts w:ascii="Arial" w:hAnsi="Arial" w:cs="Arial"/>
        </w:rPr>
        <w:t>se sídlem:</w:t>
      </w:r>
      <w:r>
        <w:rPr>
          <w:rFonts w:ascii="Arial" w:hAnsi="Arial" w:cs="Arial"/>
        </w:rPr>
        <w:tab/>
        <w:t>Pernerova 2819/2a, Praha 3, 130 00</w:t>
      </w:r>
    </w:p>
    <w:p w:rsidR="003E2C59" w:rsidRDefault="00E05B63">
      <w:pPr>
        <w:tabs>
          <w:tab w:val="left" w:pos="2268"/>
        </w:tabs>
        <w:spacing w:after="40"/>
        <w:jc w:val="both"/>
        <w:rPr>
          <w:rFonts w:ascii="Arial" w:hAnsi="Arial" w:cs="Arial"/>
        </w:rPr>
      </w:pPr>
      <w:r>
        <w:rPr>
          <w:rFonts w:ascii="Arial" w:hAnsi="Arial" w:cs="Arial"/>
        </w:rPr>
        <w:t xml:space="preserve">korespondenční adresa: </w:t>
      </w:r>
      <w:r>
        <w:rPr>
          <w:rFonts w:ascii="Arial" w:hAnsi="Arial" w:cs="Arial"/>
        </w:rPr>
        <w:tab/>
        <w:t>Praha 9, Pod Táborem 8a/369, PSČ 190 00</w:t>
      </w:r>
    </w:p>
    <w:p w:rsidR="003E2C59" w:rsidRDefault="00E05B63">
      <w:pPr>
        <w:tabs>
          <w:tab w:val="left" w:pos="2268"/>
        </w:tabs>
        <w:spacing w:after="40"/>
        <w:jc w:val="both"/>
        <w:rPr>
          <w:rFonts w:ascii="Arial" w:hAnsi="Arial" w:cs="Arial"/>
        </w:rPr>
      </w:pPr>
      <w:r>
        <w:rPr>
          <w:rFonts w:ascii="Arial" w:hAnsi="Arial" w:cs="Arial"/>
        </w:rPr>
        <w:t xml:space="preserve">IČO: </w:t>
      </w:r>
      <w:r>
        <w:rPr>
          <w:rFonts w:ascii="Arial" w:hAnsi="Arial" w:cs="Arial"/>
        </w:rPr>
        <w:tab/>
        <w:t>61459445</w:t>
      </w:r>
    </w:p>
    <w:p w:rsidR="003E2C59" w:rsidRDefault="00E05B63">
      <w:pPr>
        <w:tabs>
          <w:tab w:val="left" w:pos="2268"/>
        </w:tabs>
        <w:spacing w:after="40"/>
        <w:jc w:val="both"/>
        <w:rPr>
          <w:rFonts w:ascii="Arial" w:hAnsi="Arial" w:cs="Arial"/>
        </w:rPr>
      </w:pPr>
      <w:r>
        <w:rPr>
          <w:rFonts w:ascii="Arial" w:hAnsi="Arial" w:cs="Arial"/>
        </w:rPr>
        <w:t>DIČ:</w:t>
      </w:r>
      <w:r>
        <w:rPr>
          <w:rFonts w:ascii="Arial" w:hAnsi="Arial" w:cs="Arial"/>
        </w:rPr>
        <w:tab/>
        <w:t>CZ61459445</w:t>
      </w:r>
    </w:p>
    <w:p w:rsidR="003E2C59" w:rsidRDefault="00E05B63">
      <w:pPr>
        <w:tabs>
          <w:tab w:val="left" w:pos="2268"/>
        </w:tabs>
        <w:spacing w:after="40"/>
        <w:jc w:val="both"/>
        <w:rPr>
          <w:rFonts w:ascii="Arial" w:hAnsi="Arial" w:cs="Arial"/>
        </w:rPr>
      </w:pPr>
      <w:r>
        <w:rPr>
          <w:rFonts w:ascii="Arial" w:hAnsi="Arial" w:cs="Arial"/>
        </w:rPr>
        <w:t>bankovní spojení:</w:t>
      </w:r>
      <w:r>
        <w:rPr>
          <w:rFonts w:ascii="Arial" w:hAnsi="Arial" w:cs="Arial"/>
        </w:rPr>
        <w:tab/>
      </w:r>
      <w:r w:rsidR="00D575DA">
        <w:rPr>
          <w:rFonts w:ascii="Arial" w:hAnsi="Arial" w:cs="Arial"/>
        </w:rPr>
        <w:t>xx</w:t>
      </w:r>
    </w:p>
    <w:p w:rsidR="003E2C59" w:rsidRDefault="00E05B63">
      <w:pPr>
        <w:spacing w:after="40"/>
        <w:jc w:val="both"/>
        <w:rPr>
          <w:rFonts w:ascii="Arial" w:hAnsi="Arial" w:cs="Arial"/>
        </w:rPr>
      </w:pPr>
      <w:r>
        <w:rPr>
          <w:rFonts w:ascii="Arial" w:hAnsi="Arial" w:cs="Arial"/>
        </w:rPr>
        <w:t xml:space="preserve">zastoupená: na základě plné moci </w:t>
      </w:r>
      <w:r w:rsidR="00D575DA">
        <w:rPr>
          <w:rFonts w:ascii="Arial" w:hAnsi="Arial" w:cs="Arial"/>
        </w:rPr>
        <w:t>xx</w:t>
      </w:r>
      <w:r>
        <w:rPr>
          <w:rFonts w:ascii="Arial" w:hAnsi="Arial" w:cs="Arial"/>
        </w:rPr>
        <w:t xml:space="preserve"> </w:t>
      </w:r>
    </w:p>
    <w:p w:rsidR="003E2C59" w:rsidRDefault="00E05B63">
      <w:pPr>
        <w:spacing w:after="40"/>
        <w:jc w:val="both"/>
        <w:rPr>
          <w:rFonts w:ascii="Arial" w:hAnsi="Arial" w:cs="Arial"/>
        </w:rPr>
      </w:pPr>
      <w:r>
        <w:rPr>
          <w:rFonts w:ascii="Arial" w:hAnsi="Arial" w:cs="Arial"/>
        </w:rPr>
        <w:t>zapsaná v obchodním rejstříku vedeném Městským soudem v Praze, oddíl B, vložka 8938</w:t>
      </w:r>
    </w:p>
    <w:p w:rsidR="003E2C59" w:rsidRDefault="003E2C59">
      <w:pPr>
        <w:spacing w:after="20"/>
        <w:jc w:val="both"/>
        <w:rPr>
          <w:rFonts w:ascii="Arial" w:hAnsi="Arial" w:cs="Arial"/>
        </w:rPr>
      </w:pPr>
    </w:p>
    <w:p w:rsidR="003E2C59" w:rsidRDefault="00E05B63">
      <w:pPr>
        <w:jc w:val="both"/>
        <w:rPr>
          <w:rFonts w:ascii="Arial" w:hAnsi="Arial" w:cs="Arial"/>
        </w:rPr>
      </w:pPr>
      <w:r>
        <w:rPr>
          <w:rFonts w:ascii="Arial" w:hAnsi="Arial" w:cs="Arial"/>
        </w:rPr>
        <w:t>na straně jedné, dále jen jako „</w:t>
      </w:r>
      <w:r>
        <w:rPr>
          <w:rFonts w:ascii="Arial" w:hAnsi="Arial" w:cs="Arial"/>
          <w:b/>
        </w:rPr>
        <w:t>ČDT</w:t>
      </w:r>
      <w:r>
        <w:rPr>
          <w:rFonts w:ascii="Arial" w:hAnsi="Arial" w:cs="Arial"/>
        </w:rPr>
        <w:t>“</w:t>
      </w:r>
    </w:p>
    <w:p w:rsidR="003E2C59" w:rsidRDefault="003E2C59">
      <w:pPr>
        <w:jc w:val="both"/>
        <w:rPr>
          <w:rFonts w:ascii="Arial" w:hAnsi="Arial" w:cs="Arial"/>
        </w:rPr>
      </w:pPr>
    </w:p>
    <w:p w:rsidR="003E2C59" w:rsidRDefault="00E05B63">
      <w:pPr>
        <w:jc w:val="center"/>
        <w:rPr>
          <w:rFonts w:ascii="Arial" w:hAnsi="Arial" w:cs="Arial"/>
        </w:rPr>
      </w:pPr>
      <w:r>
        <w:rPr>
          <w:rFonts w:ascii="Arial" w:hAnsi="Arial" w:cs="Arial"/>
        </w:rPr>
        <w:t>a</w:t>
      </w:r>
    </w:p>
    <w:p w:rsidR="003E2C59" w:rsidRDefault="003E2C59">
      <w:pPr>
        <w:jc w:val="both"/>
        <w:rPr>
          <w:rFonts w:ascii="Arial" w:hAnsi="Arial" w:cs="Arial"/>
        </w:rPr>
      </w:pPr>
    </w:p>
    <w:p w:rsidR="003E2C59" w:rsidRDefault="00E05B63">
      <w:pPr>
        <w:spacing w:after="120"/>
        <w:jc w:val="both"/>
        <w:rPr>
          <w:rFonts w:ascii="Arial" w:hAnsi="Arial" w:cs="Arial"/>
          <w:b/>
        </w:rPr>
      </w:pPr>
      <w:r>
        <w:rPr>
          <w:rFonts w:ascii="Arial" w:hAnsi="Arial" w:cs="Arial"/>
          <w:b/>
        </w:rPr>
        <w:t>Stavebník žádající o překládku sítě elektronických komunikací:</w:t>
      </w:r>
    </w:p>
    <w:p w:rsidR="003E2C59" w:rsidRDefault="00E05B63">
      <w:pPr>
        <w:spacing w:after="40"/>
        <w:jc w:val="both"/>
        <w:rPr>
          <w:rFonts w:ascii="Arial" w:hAnsi="Arial" w:cs="Arial"/>
          <w:b/>
        </w:rPr>
      </w:pPr>
      <w:r>
        <w:rPr>
          <w:rFonts w:ascii="Arial" w:hAnsi="Arial" w:cs="Arial"/>
          <w:b/>
        </w:rPr>
        <w:t>Pardubický kraj</w:t>
      </w:r>
    </w:p>
    <w:p w:rsidR="003E2C59" w:rsidRDefault="00E05B63">
      <w:pPr>
        <w:tabs>
          <w:tab w:val="left" w:pos="2268"/>
        </w:tabs>
        <w:spacing w:after="40"/>
        <w:rPr>
          <w:rFonts w:ascii="Arial" w:hAnsi="Arial" w:cs="Arial"/>
        </w:rPr>
      </w:pPr>
      <w:r>
        <w:rPr>
          <w:rFonts w:ascii="Arial" w:hAnsi="Arial" w:cs="Arial"/>
        </w:rPr>
        <w:t>se sídlem:</w:t>
      </w:r>
      <w:r>
        <w:rPr>
          <w:rFonts w:ascii="Arial" w:hAnsi="Arial" w:cs="Arial"/>
        </w:rPr>
        <w:tab/>
        <w:t>Komenského náměstí 125, Pardubice. 532 11</w:t>
      </w:r>
    </w:p>
    <w:p w:rsidR="003E2C59" w:rsidRDefault="00E05B63">
      <w:pPr>
        <w:tabs>
          <w:tab w:val="left" w:pos="2268"/>
        </w:tabs>
        <w:spacing w:after="40"/>
        <w:rPr>
          <w:rFonts w:ascii="Arial" w:hAnsi="Arial" w:cs="Arial"/>
        </w:rPr>
      </w:pPr>
      <w:r>
        <w:rPr>
          <w:rFonts w:ascii="Arial" w:hAnsi="Arial" w:cs="Arial"/>
        </w:rPr>
        <w:t xml:space="preserve">IČ: </w:t>
      </w:r>
      <w:r>
        <w:rPr>
          <w:rFonts w:ascii="Arial" w:hAnsi="Arial" w:cs="Arial"/>
        </w:rPr>
        <w:tab/>
        <w:t>70892822</w:t>
      </w:r>
    </w:p>
    <w:p w:rsidR="003E2C59" w:rsidRDefault="00E05B63">
      <w:pPr>
        <w:tabs>
          <w:tab w:val="left" w:pos="2268"/>
        </w:tabs>
        <w:spacing w:after="40"/>
        <w:rPr>
          <w:rFonts w:ascii="Arial" w:hAnsi="Arial" w:cs="Arial"/>
        </w:rPr>
      </w:pPr>
      <w:r>
        <w:rPr>
          <w:rFonts w:ascii="Arial" w:hAnsi="Arial" w:cs="Arial"/>
        </w:rPr>
        <w:t>DIČ:</w:t>
      </w:r>
      <w:r>
        <w:rPr>
          <w:rFonts w:ascii="Arial" w:hAnsi="Arial" w:cs="Arial"/>
        </w:rPr>
        <w:tab/>
        <w:t>CZ70892822 – neplátce DPH</w:t>
      </w:r>
    </w:p>
    <w:p w:rsidR="003E2C59" w:rsidRDefault="00E05B63">
      <w:pPr>
        <w:tabs>
          <w:tab w:val="left" w:pos="1560"/>
        </w:tabs>
        <w:ind w:right="-766"/>
        <w:jc w:val="both"/>
        <w:rPr>
          <w:rFonts w:ascii="Arial" w:hAnsi="Arial" w:cs="Arial"/>
        </w:rPr>
      </w:pPr>
      <w:r>
        <w:rPr>
          <w:rFonts w:ascii="Arial" w:hAnsi="Arial" w:cs="Arial"/>
        </w:rPr>
        <w:t>bankovní spojení:</w:t>
      </w:r>
      <w:r>
        <w:rPr>
          <w:rFonts w:ascii="Arial" w:hAnsi="Arial" w:cs="Arial"/>
        </w:rPr>
        <w:tab/>
        <w:t xml:space="preserve">   </w:t>
      </w:r>
      <w:r w:rsidR="00D575DA">
        <w:rPr>
          <w:rFonts w:ascii="Arial" w:hAnsi="Arial" w:cs="Arial"/>
        </w:rPr>
        <w:t>xx</w:t>
      </w:r>
      <w:r>
        <w:rPr>
          <w:rFonts w:ascii="Arial" w:hAnsi="Arial" w:cs="Arial"/>
        </w:rPr>
        <w:t xml:space="preserve">., </w:t>
      </w:r>
    </w:p>
    <w:p w:rsidR="003E2C59" w:rsidRDefault="00E05B63">
      <w:pPr>
        <w:spacing w:after="40"/>
        <w:rPr>
          <w:rFonts w:ascii="Arial" w:hAnsi="Arial" w:cs="Arial"/>
        </w:rPr>
      </w:pPr>
      <w:r>
        <w:rPr>
          <w:rFonts w:ascii="Arial" w:hAnsi="Arial" w:cs="Arial"/>
        </w:rPr>
        <w:t xml:space="preserve">č. ú.: </w:t>
      </w:r>
      <w:r>
        <w:rPr>
          <w:rFonts w:ascii="Arial" w:hAnsi="Arial" w:cs="Arial"/>
        </w:rPr>
        <w:tab/>
      </w:r>
      <w:r>
        <w:rPr>
          <w:rFonts w:ascii="Arial" w:hAnsi="Arial" w:cs="Arial"/>
        </w:rPr>
        <w:tab/>
        <w:t xml:space="preserve">              </w:t>
      </w:r>
      <w:r w:rsidR="00D575DA">
        <w:rPr>
          <w:rFonts w:ascii="Arial" w:hAnsi="Arial" w:cs="Arial"/>
        </w:rPr>
        <w:t>xx</w:t>
      </w:r>
    </w:p>
    <w:p w:rsidR="003E2C59" w:rsidRDefault="00E05B63">
      <w:pPr>
        <w:spacing w:after="40"/>
        <w:rPr>
          <w:rFonts w:ascii="Arial" w:hAnsi="Arial" w:cs="Arial"/>
        </w:rPr>
      </w:pPr>
      <w:r>
        <w:rPr>
          <w:rFonts w:ascii="Arial" w:hAnsi="Arial" w:cs="Arial"/>
        </w:rPr>
        <w:t xml:space="preserve">zastoupená: </w:t>
      </w:r>
      <w:r w:rsidR="00D575DA">
        <w:rPr>
          <w:rFonts w:ascii="Arial" w:hAnsi="Arial" w:cs="Arial"/>
        </w:rPr>
        <w:t>xx</w:t>
      </w:r>
    </w:p>
    <w:p w:rsidR="003E2C59" w:rsidRDefault="003E2C59">
      <w:pPr>
        <w:spacing w:after="40"/>
        <w:jc w:val="both"/>
        <w:rPr>
          <w:rFonts w:ascii="Arial" w:hAnsi="Arial" w:cs="Arial"/>
        </w:rPr>
      </w:pPr>
    </w:p>
    <w:p w:rsidR="003E2C59" w:rsidRDefault="00E05B63">
      <w:pPr>
        <w:jc w:val="both"/>
        <w:rPr>
          <w:rFonts w:ascii="Arial" w:hAnsi="Arial" w:cs="Arial"/>
        </w:rPr>
      </w:pPr>
      <w:r>
        <w:rPr>
          <w:rFonts w:ascii="Arial" w:hAnsi="Arial" w:cs="Arial"/>
        </w:rPr>
        <w:t xml:space="preserve">na straně druhé, dále jen jako </w:t>
      </w:r>
      <w:r>
        <w:rPr>
          <w:rFonts w:ascii="Arial" w:hAnsi="Arial" w:cs="Arial"/>
          <w:b/>
          <w:bCs/>
        </w:rPr>
        <w:t>„Stavebník“</w:t>
      </w:r>
    </w:p>
    <w:p w:rsidR="003E2C59" w:rsidRDefault="003E2C59">
      <w:pPr>
        <w:jc w:val="both"/>
        <w:rPr>
          <w:rFonts w:ascii="Arial" w:hAnsi="Arial" w:cs="Arial"/>
        </w:rPr>
      </w:pPr>
    </w:p>
    <w:p w:rsidR="003E2C59" w:rsidRDefault="00E05B63">
      <w:pPr>
        <w:jc w:val="both"/>
        <w:rPr>
          <w:rFonts w:ascii="Arial" w:hAnsi="Arial" w:cs="Arial"/>
        </w:rPr>
      </w:pPr>
      <w:r>
        <w:rPr>
          <w:rFonts w:ascii="Arial" w:hAnsi="Arial" w:cs="Arial"/>
        </w:rPr>
        <w:t xml:space="preserve">níže uvedeného dne, měsíce a roku uzavírají tuto Smlouvu o realizaci překládky sítě elektronických komunikací (dále jen </w:t>
      </w:r>
      <w:r>
        <w:rPr>
          <w:rFonts w:ascii="Arial" w:hAnsi="Arial" w:cs="Arial"/>
          <w:b/>
          <w:bCs/>
        </w:rPr>
        <w:t>„Smlouva“</w:t>
      </w:r>
      <w:r>
        <w:rPr>
          <w:rFonts w:ascii="Arial" w:hAnsi="Arial" w:cs="Arial"/>
        </w:rPr>
        <w:t>)</w:t>
      </w:r>
    </w:p>
    <w:p w:rsidR="003E2C59" w:rsidRDefault="00E05B63">
      <w:pPr>
        <w:pStyle w:val="lnek-odstavec"/>
        <w:spacing w:before="360"/>
      </w:pPr>
      <w:r>
        <w:t>Definice pojmů</w:t>
      </w:r>
    </w:p>
    <w:p w:rsidR="003E2C59" w:rsidRDefault="00E05B63">
      <w:pPr>
        <w:spacing w:before="120"/>
        <w:jc w:val="both"/>
        <w:rPr>
          <w:rFonts w:ascii="Arial" w:hAnsi="Arial" w:cs="Arial"/>
        </w:rPr>
      </w:pPr>
      <w:r>
        <w:rPr>
          <w:rFonts w:ascii="Arial" w:hAnsi="Arial" w:cs="Arial"/>
        </w:rPr>
        <w:t>Překládkou sítě elektronických komunikací (dále jen „SEK“) se rozumí stavba spočívající ve změně trasy vedení veřejné komunikační sítě do jiné nemovitosti nebo přemístění zařízení veřejné komunikační sítě v rámci stávající nemovitosti, na základě investičního záměru Stavebníka.</w:t>
      </w:r>
    </w:p>
    <w:p w:rsidR="003E2C59" w:rsidRDefault="00E05B63">
      <w:pPr>
        <w:pStyle w:val="lnek-odstavec"/>
        <w:spacing w:before="300"/>
      </w:pPr>
      <w:r>
        <w:t>I.</w:t>
      </w:r>
    </w:p>
    <w:p w:rsidR="003E2C59" w:rsidRDefault="00E05B63">
      <w:pPr>
        <w:jc w:val="center"/>
        <w:rPr>
          <w:rFonts w:ascii="Arial" w:hAnsi="Arial" w:cs="Arial"/>
          <w:b/>
          <w:sz w:val="22"/>
        </w:rPr>
      </w:pPr>
      <w:r>
        <w:rPr>
          <w:rFonts w:ascii="Arial" w:hAnsi="Arial" w:cs="Arial"/>
          <w:b/>
          <w:sz w:val="22"/>
        </w:rPr>
        <w:t>Úvodní ustanovení</w:t>
      </w:r>
    </w:p>
    <w:p w:rsidR="003E2C59" w:rsidRDefault="00E05B63">
      <w:pPr>
        <w:pStyle w:val="Zkladntext"/>
        <w:numPr>
          <w:ilvl w:val="0"/>
          <w:numId w:val="6"/>
        </w:numPr>
        <w:tabs>
          <w:tab w:val="left" w:pos="567"/>
        </w:tabs>
        <w:spacing w:before="120" w:after="0"/>
        <w:ind w:left="567" w:hanging="567"/>
        <w:jc w:val="both"/>
        <w:rPr>
          <w:rFonts w:ascii="Arial" w:hAnsi="Arial" w:cs="Arial"/>
        </w:rPr>
      </w:pPr>
      <w:r>
        <w:rPr>
          <w:rFonts w:ascii="Arial" w:hAnsi="Arial" w:cs="Arial"/>
        </w:rPr>
        <w:t>ČDT je vlastníkem SEK, jež má být přeložena na základě této Smlouvy.</w:t>
      </w:r>
    </w:p>
    <w:p w:rsidR="003E2C59" w:rsidRDefault="00E05B63">
      <w:pPr>
        <w:pStyle w:val="Zkladntext"/>
        <w:numPr>
          <w:ilvl w:val="0"/>
          <w:numId w:val="6"/>
        </w:numPr>
        <w:tabs>
          <w:tab w:val="left" w:pos="567"/>
        </w:tabs>
        <w:spacing w:before="120" w:after="0"/>
        <w:ind w:left="567" w:hanging="567"/>
        <w:jc w:val="both"/>
        <w:rPr>
          <w:rFonts w:ascii="Arial" w:hAnsi="Arial" w:cs="Arial"/>
        </w:rPr>
      </w:pPr>
      <w:r>
        <w:rPr>
          <w:rFonts w:ascii="Arial" w:hAnsi="Arial" w:cs="Arial"/>
        </w:rPr>
        <w:t>Stavebník bude realizovat stavbu „Modernizace silnice II/322 Kojice“, na základě níž dojde k přeložení SEK ČDT oproti původnímu stavu jejího uložení.</w:t>
      </w:r>
    </w:p>
    <w:p w:rsidR="003E2C59" w:rsidRDefault="00E05B63">
      <w:pPr>
        <w:pStyle w:val="Zkladntext"/>
        <w:numPr>
          <w:ilvl w:val="0"/>
          <w:numId w:val="6"/>
        </w:numPr>
        <w:tabs>
          <w:tab w:val="left" w:pos="567"/>
        </w:tabs>
        <w:spacing w:before="120" w:after="0"/>
        <w:ind w:left="567" w:hanging="567"/>
        <w:jc w:val="both"/>
        <w:rPr>
          <w:rFonts w:ascii="Arial" w:hAnsi="Arial" w:cs="Arial"/>
        </w:rPr>
      </w:pPr>
      <w:r>
        <w:rPr>
          <w:rFonts w:ascii="Arial" w:hAnsi="Arial" w:cs="Arial"/>
        </w:rPr>
        <w:lastRenderedPageBreak/>
        <w:t xml:space="preserve">Překládka SEK (dále jen „Překládka“), dle této Smlouvy je vedena u ČDT pod označením “Modernizace silnice II/322 Kojice – SO 402 Přeložka kabelu ČDT“. </w:t>
      </w:r>
    </w:p>
    <w:p w:rsidR="003E2C59" w:rsidRDefault="00E05B63">
      <w:pPr>
        <w:pStyle w:val="lnek-odstavec"/>
        <w:spacing w:before="300"/>
      </w:pPr>
      <w:r>
        <w:t>II.</w:t>
      </w:r>
    </w:p>
    <w:p w:rsidR="003E2C59" w:rsidRDefault="00E05B63">
      <w:pPr>
        <w:jc w:val="center"/>
        <w:rPr>
          <w:rFonts w:ascii="Arial" w:hAnsi="Arial" w:cs="Arial"/>
          <w:b/>
          <w:sz w:val="22"/>
        </w:rPr>
      </w:pPr>
      <w:r>
        <w:rPr>
          <w:rFonts w:ascii="Arial" w:hAnsi="Arial" w:cs="Arial"/>
          <w:b/>
          <w:sz w:val="22"/>
        </w:rPr>
        <w:t>Předmět Smlouvy</w:t>
      </w:r>
    </w:p>
    <w:p w:rsidR="003E2C59" w:rsidRDefault="00E05B63">
      <w:pPr>
        <w:numPr>
          <w:ilvl w:val="0"/>
          <w:numId w:val="7"/>
        </w:numPr>
        <w:tabs>
          <w:tab w:val="clear" w:pos="720"/>
          <w:tab w:val="left" w:pos="540"/>
        </w:tabs>
        <w:spacing w:before="120"/>
        <w:ind w:left="539" w:hanging="539"/>
        <w:jc w:val="both"/>
        <w:rPr>
          <w:rFonts w:ascii="Arial" w:hAnsi="Arial" w:cs="Arial"/>
        </w:rPr>
      </w:pPr>
      <w:r>
        <w:rPr>
          <w:rFonts w:ascii="Arial" w:hAnsi="Arial" w:cs="Arial"/>
        </w:rPr>
        <w:t>Předmětem této Smlouvy je požadavek Stavebníka na Překládku, kde SEK je ve vlastnictví ČDT, závazek ČDT zajistit si Překládku a s ní související záležitosti v rozsahu a za podmínek stanovených touto Smlouvou a závazek Stavebníka, jež Překládku vyvolal, být ČDT v realizaci Překládky v součinnosti a uhradit ČDT, a to v souladu s ustanovením § 104 odst. 17., ZeK, všechny náklady, které ČDT v souvislosti se zajištěním Překládky vzniknou.</w:t>
      </w:r>
    </w:p>
    <w:p w:rsidR="003E2C59" w:rsidRDefault="00E05B63">
      <w:pPr>
        <w:pStyle w:val="lnek-odstavec"/>
        <w:spacing w:before="300"/>
      </w:pPr>
      <w:r>
        <w:t>III.</w:t>
      </w:r>
    </w:p>
    <w:p w:rsidR="003E2C59" w:rsidRDefault="00E05B63">
      <w:pPr>
        <w:jc w:val="center"/>
        <w:rPr>
          <w:rFonts w:ascii="Arial" w:hAnsi="Arial" w:cs="Arial"/>
          <w:b/>
          <w:sz w:val="22"/>
        </w:rPr>
      </w:pPr>
      <w:r>
        <w:rPr>
          <w:rFonts w:ascii="Arial" w:hAnsi="Arial" w:cs="Arial"/>
          <w:b/>
          <w:sz w:val="22"/>
        </w:rPr>
        <w:t>Překládka SEK a její podmínky</w:t>
      </w:r>
    </w:p>
    <w:p w:rsidR="003E2C59" w:rsidRDefault="00E05B63">
      <w:pPr>
        <w:numPr>
          <w:ilvl w:val="0"/>
          <w:numId w:val="1"/>
        </w:numPr>
        <w:tabs>
          <w:tab w:val="clear" w:pos="720"/>
          <w:tab w:val="left" w:pos="540"/>
        </w:tabs>
        <w:spacing w:before="120"/>
        <w:ind w:left="567" w:hanging="567"/>
        <w:jc w:val="both"/>
        <w:rPr>
          <w:rFonts w:ascii="Arial" w:hAnsi="Arial" w:cs="Arial"/>
        </w:rPr>
      </w:pPr>
      <w:r>
        <w:rPr>
          <w:rFonts w:ascii="Arial" w:hAnsi="Arial" w:cs="Arial"/>
        </w:rPr>
        <w:t>Překládka dle této Smlouvy bude realizována v rozsahu (územním a stavebně technickém) na nemovitostech dle:</w:t>
      </w:r>
    </w:p>
    <w:p w:rsidR="003E2C59" w:rsidRDefault="00E05B63">
      <w:pPr>
        <w:pStyle w:val="Odstavecseseznamem"/>
        <w:numPr>
          <w:ilvl w:val="0"/>
          <w:numId w:val="15"/>
        </w:numPr>
        <w:spacing w:before="60"/>
        <w:ind w:left="896" w:hanging="357"/>
        <w:jc w:val="both"/>
        <w:rPr>
          <w:rFonts w:ascii="Arial" w:hAnsi="Arial" w:cs="Arial"/>
        </w:rPr>
      </w:pPr>
      <w:r>
        <w:rPr>
          <w:rFonts w:ascii="Arial" w:hAnsi="Arial" w:cs="Arial"/>
          <w:sz w:val="20"/>
          <w:szCs w:val="20"/>
        </w:rPr>
        <w:t>projektové dokumentace Překládky zpracované Dopravně inženýrskou kanceláří</w:t>
      </w:r>
      <w:r>
        <w:rPr>
          <w:rFonts w:ascii="Arial" w:hAnsi="Arial" w:cs="Arial"/>
        </w:rPr>
        <w:t xml:space="preserve">, </w:t>
      </w:r>
      <w:r>
        <w:rPr>
          <w:rFonts w:ascii="Arial" w:hAnsi="Arial" w:cs="Arial"/>
          <w:sz w:val="20"/>
          <w:szCs w:val="20"/>
        </w:rPr>
        <w:t>Bezděchova 1668, 500 02 Hradec Králové, s datem 07/2020.</w:t>
      </w:r>
    </w:p>
    <w:p w:rsidR="003E2C59" w:rsidRDefault="00E05B63">
      <w:pPr>
        <w:pStyle w:val="Odstavecseseznamem"/>
        <w:numPr>
          <w:ilvl w:val="0"/>
          <w:numId w:val="15"/>
        </w:numPr>
        <w:spacing w:before="60"/>
        <w:ind w:left="896" w:hanging="357"/>
        <w:jc w:val="both"/>
        <w:rPr>
          <w:rFonts w:ascii="Arial" w:hAnsi="Arial" w:cs="Arial"/>
        </w:rPr>
      </w:pPr>
      <w:r>
        <w:rPr>
          <w:rFonts w:ascii="Arial" w:hAnsi="Arial" w:cs="Arial"/>
          <w:sz w:val="20"/>
          <w:szCs w:val="20"/>
        </w:rPr>
        <w:t>cenového návrhu – rozpočtu, který je Přílohou č. 1 této Smlouvy.</w:t>
      </w:r>
    </w:p>
    <w:p w:rsidR="003E2C59" w:rsidRDefault="00E05B63">
      <w:pPr>
        <w:numPr>
          <w:ilvl w:val="0"/>
          <w:numId w:val="1"/>
        </w:numPr>
        <w:tabs>
          <w:tab w:val="clear" w:pos="720"/>
          <w:tab w:val="left" w:pos="540"/>
        </w:tabs>
        <w:spacing w:before="120"/>
        <w:ind w:left="567" w:hanging="567"/>
        <w:jc w:val="both"/>
        <w:rPr>
          <w:rFonts w:ascii="Arial" w:hAnsi="Arial" w:cs="Arial"/>
        </w:rPr>
      </w:pPr>
      <w:r>
        <w:rPr>
          <w:rFonts w:ascii="Arial" w:hAnsi="Arial" w:cs="Arial"/>
        </w:rPr>
        <w:t>Předpoklady a podmínky pro realizaci Překládky jsou zejména:</w:t>
      </w:r>
    </w:p>
    <w:p w:rsidR="003E2C59" w:rsidRDefault="00E05B63">
      <w:pPr>
        <w:pStyle w:val="Odstavecseseznamem"/>
        <w:numPr>
          <w:ilvl w:val="0"/>
          <w:numId w:val="9"/>
        </w:numPr>
        <w:spacing w:before="60"/>
        <w:jc w:val="both"/>
        <w:rPr>
          <w:rFonts w:ascii="Arial" w:hAnsi="Arial" w:cs="Arial"/>
        </w:rPr>
      </w:pPr>
      <w:r>
        <w:rPr>
          <w:rFonts w:ascii="Arial" w:hAnsi="Arial" w:cs="Arial"/>
          <w:sz w:val="20"/>
          <w:szCs w:val="20"/>
        </w:rPr>
        <w:t>zajištění pravomocného územního rozhodnutí – rozhodnutí o umístění stavby nebo územního souhlasu Překládky Stavebníkem ať již samostatně nebo v rámci celkové jeho stavby,</w:t>
      </w:r>
    </w:p>
    <w:p w:rsidR="003E2C59" w:rsidRDefault="00E05B63">
      <w:pPr>
        <w:pStyle w:val="Odstavecseseznamem"/>
        <w:numPr>
          <w:ilvl w:val="0"/>
          <w:numId w:val="9"/>
        </w:numPr>
        <w:spacing w:before="60" w:after="120"/>
        <w:ind w:left="896" w:hanging="357"/>
        <w:jc w:val="both"/>
        <w:rPr>
          <w:rFonts w:ascii="Arial" w:hAnsi="Arial" w:cs="Arial"/>
        </w:rPr>
      </w:pPr>
      <w:r>
        <w:rPr>
          <w:rFonts w:ascii="Arial" w:hAnsi="Arial" w:cs="Arial"/>
          <w:sz w:val="20"/>
          <w:szCs w:val="20"/>
        </w:rPr>
        <w:t>zajištění práv k užívání Překládkou dotčených nemovitostí, tzn. uzavření smlouvy</w:t>
      </w:r>
    </w:p>
    <w:p w:rsidR="003E2C59" w:rsidRDefault="00E05B63">
      <w:pPr>
        <w:pStyle w:val="Odstavecseseznamem"/>
        <w:numPr>
          <w:ilvl w:val="0"/>
          <w:numId w:val="16"/>
        </w:numPr>
        <w:spacing w:before="60"/>
        <w:ind w:left="1242" w:hanging="340"/>
        <w:jc w:val="both"/>
        <w:rPr>
          <w:rFonts w:ascii="Arial" w:hAnsi="Arial" w:cs="Arial"/>
          <w:sz w:val="20"/>
          <w:szCs w:val="20"/>
        </w:rPr>
      </w:pPr>
      <w:r>
        <w:rPr>
          <w:rFonts w:ascii="Arial" w:hAnsi="Arial" w:cs="Arial"/>
          <w:sz w:val="20"/>
          <w:szCs w:val="20"/>
        </w:rPr>
        <w:t>o smlouvě budoucí o zřízení služebnosti</w:t>
      </w:r>
    </w:p>
    <w:p w:rsidR="003E2C59" w:rsidRDefault="00E05B63">
      <w:pPr>
        <w:spacing w:before="60"/>
        <w:ind w:left="340" w:firstLine="340"/>
        <w:jc w:val="both"/>
        <w:rPr>
          <w:rFonts w:ascii="Arial" w:hAnsi="Arial" w:cs="Arial"/>
        </w:rPr>
      </w:pPr>
      <w:r>
        <w:rPr>
          <w:rFonts w:ascii="Arial" w:hAnsi="Arial" w:cs="Arial"/>
        </w:rPr>
        <w:t>nebo</w:t>
      </w:r>
    </w:p>
    <w:p w:rsidR="003E2C59" w:rsidRDefault="00E05B63">
      <w:pPr>
        <w:pStyle w:val="Odstavecseseznamem"/>
        <w:numPr>
          <w:ilvl w:val="0"/>
          <w:numId w:val="16"/>
        </w:numPr>
        <w:spacing w:before="60"/>
        <w:ind w:left="1242" w:hanging="340"/>
        <w:jc w:val="both"/>
        <w:rPr>
          <w:rFonts w:ascii="Arial" w:hAnsi="Arial" w:cs="Arial"/>
          <w:sz w:val="20"/>
          <w:szCs w:val="20"/>
        </w:rPr>
      </w:pPr>
      <w:r>
        <w:rPr>
          <w:rFonts w:ascii="Arial" w:hAnsi="Arial" w:cs="Arial"/>
          <w:sz w:val="20"/>
          <w:szCs w:val="20"/>
        </w:rPr>
        <w:t>o uložení,</w:t>
      </w:r>
    </w:p>
    <w:p w:rsidR="003E2C59" w:rsidRDefault="00E05B63">
      <w:pPr>
        <w:spacing w:before="120"/>
        <w:ind w:left="567"/>
        <w:jc w:val="both"/>
        <w:rPr>
          <w:rFonts w:ascii="Arial" w:hAnsi="Arial" w:cs="Arial"/>
        </w:rPr>
      </w:pPr>
      <w:r>
        <w:rPr>
          <w:rFonts w:ascii="Arial" w:hAnsi="Arial" w:cs="Arial"/>
        </w:rPr>
        <w:t>s vlastníky nemovitostí dotčených Překládkou Stavebníkem, a to před zahájením prací na Překládce ČDT (to vše dále jen „Předpoklady pro realizaci Překládky“).</w:t>
      </w:r>
    </w:p>
    <w:p w:rsidR="003E2C59" w:rsidRDefault="00E05B63">
      <w:pPr>
        <w:pStyle w:val="Odstavecseseznamem"/>
        <w:numPr>
          <w:ilvl w:val="0"/>
          <w:numId w:val="1"/>
        </w:numPr>
        <w:tabs>
          <w:tab w:val="clear" w:pos="720"/>
          <w:tab w:val="left" w:pos="567"/>
        </w:tabs>
        <w:spacing w:before="120"/>
        <w:ind w:left="567" w:hanging="567"/>
        <w:jc w:val="both"/>
        <w:rPr>
          <w:rFonts w:ascii="Arial" w:hAnsi="Arial" w:cs="Arial"/>
        </w:rPr>
      </w:pPr>
      <w:r>
        <w:rPr>
          <w:rFonts w:ascii="Arial" w:hAnsi="Arial" w:cs="Arial"/>
          <w:sz w:val="20"/>
          <w:szCs w:val="20"/>
        </w:rPr>
        <w:t>Bez zajištění Předpokladů pro realizaci Překládky nebude Překládka ČDT realizována.</w:t>
      </w:r>
    </w:p>
    <w:p w:rsidR="003E2C59" w:rsidRDefault="00E05B63">
      <w:pPr>
        <w:pStyle w:val="Odstavecseseznamem"/>
        <w:numPr>
          <w:ilvl w:val="0"/>
          <w:numId w:val="1"/>
        </w:numPr>
        <w:tabs>
          <w:tab w:val="clear" w:pos="720"/>
          <w:tab w:val="left" w:pos="567"/>
        </w:tabs>
        <w:spacing w:before="120"/>
        <w:ind w:left="567" w:hanging="567"/>
        <w:jc w:val="both"/>
        <w:rPr>
          <w:rFonts w:ascii="Arial" w:hAnsi="Arial" w:cs="Arial"/>
        </w:rPr>
      </w:pPr>
      <w:r>
        <w:rPr>
          <w:rFonts w:ascii="Arial" w:hAnsi="Arial" w:cs="Arial"/>
          <w:sz w:val="20"/>
          <w:szCs w:val="20"/>
        </w:rPr>
        <w:t>Vlastníkem přeložené SEK zůstává společnost ČDT.</w:t>
      </w:r>
    </w:p>
    <w:p w:rsidR="003E2C59" w:rsidRDefault="00E05B63">
      <w:pPr>
        <w:pStyle w:val="Odstavecseseznamem"/>
        <w:numPr>
          <w:ilvl w:val="0"/>
          <w:numId w:val="1"/>
        </w:numPr>
        <w:tabs>
          <w:tab w:val="clear" w:pos="720"/>
          <w:tab w:val="left" w:pos="567"/>
        </w:tabs>
        <w:spacing w:before="120"/>
        <w:ind w:left="567" w:hanging="567"/>
        <w:jc w:val="both"/>
        <w:rPr>
          <w:rFonts w:ascii="Arial" w:hAnsi="Arial" w:cs="Arial"/>
        </w:rPr>
      </w:pPr>
      <w:r>
        <w:rPr>
          <w:rFonts w:ascii="Arial" w:hAnsi="Arial" w:cs="Arial"/>
          <w:sz w:val="20"/>
          <w:szCs w:val="20"/>
        </w:rPr>
        <w:t>ČDT je oprávněna realizací Překládky na základě svého rozhodnutí, pověřit i jinou osobu. Při realizaci Překládky jinou osobou, nese společnost ČDT odpovědnost, jako by Překládku realizovala sama.</w:t>
      </w:r>
    </w:p>
    <w:p w:rsidR="003E2C59" w:rsidRDefault="00E05B63">
      <w:pPr>
        <w:pStyle w:val="lnek-odstavec"/>
        <w:spacing w:before="300"/>
      </w:pPr>
      <w:r>
        <w:t>IV.</w:t>
      </w:r>
    </w:p>
    <w:p w:rsidR="003E2C59" w:rsidRDefault="00E05B63">
      <w:pPr>
        <w:jc w:val="center"/>
        <w:rPr>
          <w:rFonts w:ascii="Arial" w:hAnsi="Arial" w:cs="Arial"/>
          <w:b/>
          <w:sz w:val="22"/>
        </w:rPr>
      </w:pPr>
      <w:r>
        <w:rPr>
          <w:rFonts w:ascii="Arial" w:hAnsi="Arial" w:cs="Arial"/>
          <w:b/>
          <w:sz w:val="22"/>
        </w:rPr>
        <w:t>Závazky spojené s překládkou SEK</w:t>
      </w:r>
    </w:p>
    <w:p w:rsidR="003E2C59" w:rsidRDefault="00E05B63">
      <w:pPr>
        <w:numPr>
          <w:ilvl w:val="0"/>
          <w:numId w:val="2"/>
        </w:numPr>
        <w:tabs>
          <w:tab w:val="left" w:pos="540"/>
        </w:tabs>
        <w:spacing w:before="120"/>
        <w:ind w:left="567" w:hanging="567"/>
        <w:jc w:val="both"/>
        <w:rPr>
          <w:rFonts w:ascii="Arial" w:hAnsi="Arial" w:cs="Arial"/>
        </w:rPr>
      </w:pPr>
      <w:r>
        <w:rPr>
          <w:rFonts w:ascii="Arial" w:hAnsi="Arial" w:cs="Arial"/>
        </w:rPr>
        <w:t>V souvislosti s provedením překládky se Stavebník zavazuje:</w:t>
      </w:r>
    </w:p>
    <w:p w:rsidR="003E2C59" w:rsidRDefault="00E05B63">
      <w:pPr>
        <w:tabs>
          <w:tab w:val="left" w:pos="567"/>
        </w:tabs>
        <w:spacing w:before="120"/>
        <w:jc w:val="both"/>
        <w:rPr>
          <w:rFonts w:ascii="Arial" w:hAnsi="Arial" w:cs="Arial"/>
        </w:rPr>
      </w:pPr>
      <w:r>
        <w:rPr>
          <w:rFonts w:ascii="Arial" w:hAnsi="Arial" w:cs="Arial"/>
        </w:rPr>
        <w:tab/>
      </w:r>
      <w:r>
        <w:rPr>
          <w:rFonts w:ascii="Arial" w:hAnsi="Arial" w:cs="Arial"/>
          <w:u w:val="single"/>
        </w:rPr>
        <w:t>před realizací Překládky</w:t>
      </w:r>
    </w:p>
    <w:p w:rsidR="003E2C59" w:rsidRDefault="00E05B63">
      <w:pPr>
        <w:pStyle w:val="Odstavecseseznamem"/>
        <w:numPr>
          <w:ilvl w:val="0"/>
          <w:numId w:val="9"/>
        </w:numPr>
        <w:tabs>
          <w:tab w:val="left" w:pos="567"/>
        </w:tabs>
        <w:spacing w:before="120"/>
        <w:jc w:val="both"/>
        <w:rPr>
          <w:rFonts w:ascii="Arial" w:hAnsi="Arial" w:cs="Arial"/>
        </w:rPr>
      </w:pPr>
      <w:r>
        <w:rPr>
          <w:rFonts w:ascii="Arial" w:hAnsi="Arial" w:cs="Arial"/>
          <w:sz w:val="20"/>
          <w:szCs w:val="20"/>
        </w:rPr>
        <w:t>oznámit společnosti ČDT nejpozději do 60 dnů před realizací Překládky stavební připravenost viz čl. III., odst. 2 této Smlouvy., a kontaktní osobu ve věcech technických viz čl. VIII., této Smlouvy.</w:t>
      </w:r>
    </w:p>
    <w:p w:rsidR="003E2C59" w:rsidRDefault="00E05B63">
      <w:pPr>
        <w:pStyle w:val="Odstavecseseznamem"/>
        <w:numPr>
          <w:ilvl w:val="0"/>
          <w:numId w:val="2"/>
        </w:numPr>
        <w:tabs>
          <w:tab w:val="left" w:pos="567"/>
        </w:tabs>
        <w:spacing w:before="120"/>
        <w:ind w:left="567" w:hanging="567"/>
        <w:jc w:val="both"/>
        <w:rPr>
          <w:rFonts w:ascii="Arial" w:hAnsi="Arial" w:cs="Arial"/>
        </w:rPr>
      </w:pPr>
      <w:r>
        <w:rPr>
          <w:rFonts w:ascii="Arial" w:eastAsia="Times New Roman" w:hAnsi="Arial" w:cs="Arial"/>
          <w:sz w:val="20"/>
          <w:szCs w:val="20"/>
          <w:lang w:eastAsia="cs-CZ"/>
        </w:rPr>
        <w:t>Stavebník ke dni uzavření této Smlouvy převádí na ČDT některá práva a povinnosti z Územního</w:t>
      </w:r>
      <w:r>
        <w:rPr>
          <w:rFonts w:ascii="Arial" w:hAnsi="Arial" w:cs="Arial"/>
          <w:sz w:val="20"/>
          <w:szCs w:val="20"/>
        </w:rPr>
        <w:t xml:space="preserve"> rozhodnutí – rozhodnutí o umístění stavby Modernizace komunikace II/322 – Obchvat Kojice č.j. 2660/10/SÚ/HKr  ze dne 4. 9. 2010 a to toliko práva k umístění, resp. přeložení veřejné komunikační sítě ČDT za podmínek stanovených v tomto územním rozhodnutí, a dále související práva a povinnosti, která plynou v tomto územním rozhodnutí, a dále související práva a povinnosti, která plynou ze stanovisek dotčených orgánů státní správy, správců inženýrských sítí a účastníků řízení, tak jak jsou v tomto územním rozhodnutí stanoveny. ČDT tato převáděná práva ke dni zavření této Smlouvy přijímá. </w:t>
      </w:r>
    </w:p>
    <w:p w:rsidR="003E2C59" w:rsidRDefault="00E05B63">
      <w:pPr>
        <w:pStyle w:val="Odstavecseseznamem"/>
        <w:numPr>
          <w:ilvl w:val="0"/>
          <w:numId w:val="2"/>
        </w:numPr>
        <w:tabs>
          <w:tab w:val="left" w:pos="567"/>
        </w:tabs>
        <w:spacing w:before="120"/>
        <w:ind w:left="567" w:hanging="567"/>
        <w:jc w:val="both"/>
        <w:rPr>
          <w:rFonts w:ascii="Arial" w:hAnsi="Arial" w:cs="Arial"/>
          <w:sz w:val="20"/>
          <w:szCs w:val="20"/>
        </w:rPr>
      </w:pPr>
      <w:r>
        <w:rPr>
          <w:rFonts w:ascii="Arial" w:hAnsi="Arial" w:cs="Arial"/>
          <w:sz w:val="20"/>
          <w:szCs w:val="20"/>
        </w:rPr>
        <w:t xml:space="preserve">ČDT se zavazuje, že zajistí realizaci Překládky v souladu s harmonogramem celé stavby zpracovaným Stavebníkem, a to za předpokladu, že nejpozději 2 měsíce před tímto datem budou zajištěny ve prospěch společnosti ČDT všechny Předpoklady pro realizaci Překládky uvedené v čl. III., odst. 2., této Smlouvy, jinak nejpozději do 4 měsíců od jejich zajištění ve prospěch ČDT. </w:t>
      </w:r>
    </w:p>
    <w:p w:rsidR="003E2C59" w:rsidRDefault="00E05B63">
      <w:pPr>
        <w:pStyle w:val="Odstavecseseznamem"/>
        <w:numPr>
          <w:ilvl w:val="0"/>
          <w:numId w:val="2"/>
        </w:numPr>
        <w:tabs>
          <w:tab w:val="left" w:pos="567"/>
        </w:tabs>
        <w:spacing w:before="120"/>
        <w:ind w:left="567" w:hanging="567"/>
        <w:jc w:val="both"/>
        <w:rPr>
          <w:rFonts w:ascii="Arial" w:hAnsi="Arial" w:cs="Arial"/>
          <w:sz w:val="20"/>
          <w:szCs w:val="20"/>
        </w:rPr>
      </w:pPr>
      <w:r>
        <w:rPr>
          <w:rFonts w:ascii="Arial" w:hAnsi="Arial" w:cs="Arial"/>
          <w:sz w:val="20"/>
          <w:szCs w:val="20"/>
        </w:rPr>
        <w:t>Stavebník bere na vědomí, že mezi ČDT a vlastníky Překládkou dotčených nemovitosti musí dojít s ohledem na ustanovení § 104 ZeK k úpravě vzájemných právních vztahů v podobě, uzavření písemné smlouvy o budoucí smlouvě o zřízení služebnosti anebo jiné smlouvy a po realizaci Překládky k uzavření smlouvy o zřízení služebnosti nebo jiné smlouvy. Náhrady za zřízení služebnosti či náhrady z jiné smlouvy, které ČDT vlastníkům dotčených nemovitostí uhradí, bude Stavebník s ohledem na ustanovení § 104 odst. 17., ZeK povinen uhradit ČDT jako náklady vzniklé ČDT v souvislosti s Překládkou, stejně tak v případě nákladů ČDT za uhrazení správních poplatků za vklad služebností do katastru nemovitostí.</w:t>
      </w:r>
    </w:p>
    <w:p w:rsidR="003E2C59" w:rsidRDefault="00E05B63">
      <w:pPr>
        <w:pStyle w:val="Odstavecseseznamem"/>
        <w:numPr>
          <w:ilvl w:val="0"/>
          <w:numId w:val="2"/>
        </w:numPr>
        <w:tabs>
          <w:tab w:val="left" w:pos="567"/>
        </w:tabs>
        <w:spacing w:before="120"/>
        <w:ind w:left="567" w:hanging="567"/>
        <w:jc w:val="both"/>
        <w:rPr>
          <w:rFonts w:ascii="Arial" w:hAnsi="Arial" w:cs="Arial"/>
          <w:sz w:val="20"/>
          <w:szCs w:val="20"/>
        </w:rPr>
      </w:pPr>
      <w:r>
        <w:rPr>
          <w:rFonts w:ascii="Arial" w:hAnsi="Arial" w:cs="Arial"/>
          <w:sz w:val="20"/>
          <w:szCs w:val="20"/>
        </w:rPr>
        <w:lastRenderedPageBreak/>
        <w:t>Sjednaná lhůta realizace Překládky dle čl. IV., odst. 4., této Smlouvy se prodlužuje o tolik pracovních dnů, o kolik dnů byly práce k jejímu provedení přerušeny nebo nemohly být případně zahájeny z důvodu nikoliv na straně ČDT.</w:t>
      </w:r>
    </w:p>
    <w:p w:rsidR="003E2C59" w:rsidRDefault="00E05B63">
      <w:pPr>
        <w:pStyle w:val="Odstavecseseznamem"/>
        <w:numPr>
          <w:ilvl w:val="0"/>
          <w:numId w:val="2"/>
        </w:numPr>
        <w:tabs>
          <w:tab w:val="left" w:pos="567"/>
        </w:tabs>
        <w:spacing w:before="120"/>
        <w:ind w:left="567" w:hanging="567"/>
        <w:jc w:val="both"/>
        <w:rPr>
          <w:rFonts w:ascii="Arial" w:hAnsi="Arial" w:cs="Arial"/>
          <w:sz w:val="20"/>
          <w:szCs w:val="20"/>
        </w:rPr>
      </w:pPr>
      <w:r>
        <w:rPr>
          <w:rFonts w:ascii="Arial" w:hAnsi="Arial" w:cs="Arial"/>
          <w:sz w:val="20"/>
          <w:szCs w:val="20"/>
        </w:rPr>
        <w:t xml:space="preserve">Dnem ukončení realizace Překládky je den, kdy je Stavebníkovi doručeno na adresu uvedenou v hlavičce této Smlouvy nebo adresu elektronické pošty uvedenou v čl. VIII., této Smlouvy oznámení o ukončení realizace Překládky. </w:t>
      </w:r>
    </w:p>
    <w:p w:rsidR="003E2C59" w:rsidRDefault="00E05B63">
      <w:pPr>
        <w:pStyle w:val="lnek-odstavec"/>
        <w:spacing w:before="300"/>
      </w:pPr>
      <w:r>
        <w:t>V.</w:t>
      </w:r>
    </w:p>
    <w:p w:rsidR="003E2C59" w:rsidRDefault="00E05B63">
      <w:pPr>
        <w:jc w:val="center"/>
        <w:rPr>
          <w:rFonts w:ascii="Arial" w:hAnsi="Arial" w:cs="Arial"/>
          <w:b/>
          <w:sz w:val="22"/>
        </w:rPr>
      </w:pPr>
      <w:r>
        <w:rPr>
          <w:rFonts w:ascii="Arial" w:hAnsi="Arial" w:cs="Arial"/>
          <w:b/>
          <w:sz w:val="22"/>
        </w:rPr>
        <w:t>Náklady spojené s překládkou SEK</w:t>
      </w:r>
    </w:p>
    <w:p w:rsidR="003E2C59" w:rsidRDefault="00D575DA">
      <w:pPr>
        <w:numPr>
          <w:ilvl w:val="0"/>
          <w:numId w:val="3"/>
        </w:numPr>
        <w:tabs>
          <w:tab w:val="clear" w:pos="720"/>
          <w:tab w:val="left" w:pos="567"/>
        </w:tabs>
        <w:spacing w:before="120"/>
        <w:ind w:left="567" w:hanging="567"/>
        <w:jc w:val="both"/>
        <w:rPr>
          <w:rFonts w:ascii="Arial" w:hAnsi="Arial" w:cs="Arial"/>
        </w:rPr>
      </w:pPr>
      <w:r>
        <w:rPr>
          <w:rFonts w:ascii="Arial" w:hAnsi="Arial" w:cs="Arial"/>
        </w:rPr>
        <w:t>xx</w:t>
      </w:r>
    </w:p>
    <w:p w:rsidR="003E2C59" w:rsidRDefault="00D575DA">
      <w:pPr>
        <w:numPr>
          <w:ilvl w:val="0"/>
          <w:numId w:val="3"/>
        </w:numPr>
        <w:tabs>
          <w:tab w:val="clear" w:pos="720"/>
          <w:tab w:val="left" w:pos="567"/>
        </w:tabs>
        <w:spacing w:before="120"/>
        <w:ind w:left="567" w:hanging="567"/>
        <w:jc w:val="both"/>
        <w:rPr>
          <w:rFonts w:ascii="Arial" w:hAnsi="Arial" w:cs="Arial"/>
        </w:rPr>
      </w:pPr>
      <w:r>
        <w:rPr>
          <w:rFonts w:ascii="Arial" w:hAnsi="Arial" w:cs="Arial"/>
        </w:rPr>
        <w:t>xx</w:t>
      </w:r>
    </w:p>
    <w:p w:rsidR="003E2C59" w:rsidRDefault="00D575DA">
      <w:pPr>
        <w:numPr>
          <w:ilvl w:val="0"/>
          <w:numId w:val="3"/>
        </w:numPr>
        <w:tabs>
          <w:tab w:val="clear" w:pos="720"/>
          <w:tab w:val="left" w:pos="567"/>
        </w:tabs>
        <w:spacing w:before="120"/>
        <w:ind w:left="567" w:hanging="567"/>
        <w:jc w:val="both"/>
        <w:rPr>
          <w:rFonts w:ascii="Arial" w:hAnsi="Arial" w:cs="Arial"/>
        </w:rPr>
      </w:pPr>
      <w:r>
        <w:rPr>
          <w:rFonts w:ascii="Arial" w:hAnsi="Arial" w:cs="Arial"/>
        </w:rPr>
        <w:t>xx</w:t>
      </w:r>
    </w:p>
    <w:p w:rsidR="003E2C59" w:rsidRDefault="00D575DA">
      <w:pPr>
        <w:numPr>
          <w:ilvl w:val="0"/>
          <w:numId w:val="3"/>
        </w:numPr>
        <w:tabs>
          <w:tab w:val="clear" w:pos="720"/>
          <w:tab w:val="left" w:pos="567"/>
        </w:tabs>
        <w:spacing w:before="120"/>
        <w:ind w:left="567" w:hanging="567"/>
        <w:jc w:val="both"/>
        <w:rPr>
          <w:rFonts w:ascii="Arial" w:hAnsi="Arial" w:cs="Arial"/>
        </w:rPr>
      </w:pPr>
      <w:r>
        <w:rPr>
          <w:rFonts w:ascii="Arial" w:hAnsi="Arial" w:cs="Arial"/>
        </w:rPr>
        <w:t>xx</w:t>
      </w: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3E2C59" w:rsidRDefault="00E05B63">
      <w:pPr>
        <w:pStyle w:val="lnek-odstavec"/>
        <w:spacing w:before="300"/>
      </w:pPr>
      <w:r>
        <w:t>VI.</w:t>
      </w:r>
    </w:p>
    <w:p w:rsidR="003E2C59" w:rsidRDefault="00E05B63">
      <w:pPr>
        <w:jc w:val="center"/>
        <w:rPr>
          <w:rFonts w:ascii="Arial" w:hAnsi="Arial" w:cs="Arial"/>
          <w:b/>
          <w:sz w:val="22"/>
        </w:rPr>
      </w:pPr>
      <w:r>
        <w:rPr>
          <w:rFonts w:ascii="Arial" w:hAnsi="Arial" w:cs="Arial"/>
          <w:b/>
          <w:sz w:val="22"/>
        </w:rPr>
        <w:t>Platební podmínky</w:t>
      </w:r>
    </w:p>
    <w:p w:rsidR="003E2C59" w:rsidRDefault="00E05B63">
      <w:pPr>
        <w:numPr>
          <w:ilvl w:val="0"/>
          <w:numId w:val="4"/>
        </w:numPr>
        <w:tabs>
          <w:tab w:val="clear" w:pos="720"/>
          <w:tab w:val="left" w:pos="567"/>
        </w:tabs>
        <w:spacing w:before="120"/>
        <w:ind w:left="567" w:hanging="567"/>
        <w:jc w:val="both"/>
        <w:rPr>
          <w:rFonts w:ascii="Arial" w:hAnsi="Arial" w:cs="Arial"/>
        </w:rPr>
      </w:pPr>
      <w:r>
        <w:rPr>
          <w:rFonts w:ascii="Arial" w:hAnsi="Arial" w:cs="Arial"/>
        </w:rPr>
        <w:t xml:space="preserve">Smluvní strany se dohodly na platebních podmínkách úhrady nákladů za realizaci Překládky dle čl. V. odst. 2 a 3 této Smlouvy formou faktur vystavovaných ze strany ČDT měsíčně na základě soupisu </w:t>
      </w:r>
      <w:r>
        <w:rPr>
          <w:rFonts w:ascii="Arial" w:hAnsi="Arial" w:cs="Arial"/>
        </w:rPr>
        <w:lastRenderedPageBreak/>
        <w:t>skutečně provedených prací a dodávek odsouhlasených odpovědným zástupcem Stavebníka, který bude nedílnou součástí faktury. Po dokončení realizace Překládky vystaví ČDT konečnou fakturu, jejíž součástí bude odsouhlasený soupis nákladů a ve kterém budou doúčtovány náklady za realizaci Překládky. Stavebník je povinen faktury uhradit ve lhůtě splatnosti 30 dnů ode dne vystavení každé jednotlivé faktury.</w:t>
      </w:r>
    </w:p>
    <w:p w:rsidR="003E2C59" w:rsidRDefault="00E05B63">
      <w:pPr>
        <w:numPr>
          <w:ilvl w:val="0"/>
          <w:numId w:val="4"/>
        </w:numPr>
        <w:tabs>
          <w:tab w:val="clear" w:pos="720"/>
          <w:tab w:val="left" w:pos="567"/>
        </w:tabs>
        <w:spacing w:before="120"/>
        <w:ind w:left="567" w:hanging="567"/>
        <w:jc w:val="both"/>
        <w:rPr>
          <w:rFonts w:ascii="Arial" w:hAnsi="Arial" w:cs="Arial"/>
        </w:rPr>
      </w:pPr>
      <w:r>
        <w:rPr>
          <w:rFonts w:ascii="Arial" w:hAnsi="Arial" w:cs="Arial"/>
        </w:rPr>
        <w:t>Faktury budou Stavebníkovi zasílány na adresu uvedenou v hlavičce této Smlouvy.</w:t>
      </w:r>
    </w:p>
    <w:p w:rsidR="003E2C59" w:rsidRDefault="00E05B63">
      <w:pPr>
        <w:numPr>
          <w:ilvl w:val="0"/>
          <w:numId w:val="4"/>
        </w:numPr>
        <w:tabs>
          <w:tab w:val="clear" w:pos="720"/>
          <w:tab w:val="left" w:pos="567"/>
        </w:tabs>
        <w:spacing w:before="120"/>
        <w:ind w:left="567" w:hanging="567"/>
        <w:jc w:val="both"/>
        <w:rPr>
          <w:rFonts w:ascii="Arial" w:hAnsi="Arial" w:cs="Arial"/>
        </w:rPr>
      </w:pPr>
      <w:r>
        <w:rPr>
          <w:rFonts w:ascii="Arial" w:hAnsi="Arial" w:cs="Arial"/>
        </w:rPr>
        <w:t xml:space="preserve">Náklady ČDT uvedené v čl. V., odst. 4., této Smlouvy budou hrazeny Stavebníkem odděleně na základě samostatných faktur vystavených ČDT a Stavebník je povinen uhradit je ve lhůtě splatnosti 30 dnů ode dne vystavení každé jednotlivé faktury. </w:t>
      </w:r>
    </w:p>
    <w:p w:rsidR="003E2C59" w:rsidRDefault="00E05B63">
      <w:pPr>
        <w:numPr>
          <w:ilvl w:val="0"/>
          <w:numId w:val="4"/>
        </w:numPr>
        <w:tabs>
          <w:tab w:val="clear" w:pos="720"/>
          <w:tab w:val="left" w:pos="567"/>
        </w:tabs>
        <w:spacing w:before="120"/>
        <w:ind w:left="567" w:hanging="567"/>
        <w:jc w:val="both"/>
        <w:rPr>
          <w:rFonts w:ascii="Arial" w:hAnsi="Arial" w:cs="Arial"/>
          <w:b/>
        </w:rPr>
      </w:pPr>
      <w:r>
        <w:rPr>
          <w:rFonts w:ascii="Arial" w:hAnsi="Arial" w:cs="Arial"/>
        </w:rPr>
        <w:t>Náklady dle této Smlouvy budou Stavebníkem hrazeny na účet ČDT uvedený v hlavičce této Smlouvy, pokud nebude fakturou vystavenou ČDT stanoveno jinak. Dnem úhrady faktury (zaplacením fakturovaných nákladů) se rozumí den připsání účtované (fakturované) částky na účet ČDT.</w:t>
      </w:r>
      <w:r>
        <w:rPr>
          <w:rFonts w:ascii="Arial" w:hAnsi="Arial" w:cs="Arial"/>
          <w:b/>
        </w:rPr>
        <w:t xml:space="preserve"> </w:t>
      </w:r>
    </w:p>
    <w:p w:rsidR="003E2C59" w:rsidRDefault="00E05B63">
      <w:pPr>
        <w:pStyle w:val="lnek-odstavec"/>
        <w:spacing w:before="300"/>
      </w:pPr>
      <w:r>
        <w:t>VII.</w:t>
      </w:r>
    </w:p>
    <w:p w:rsidR="003E2C59" w:rsidRDefault="00E05B63">
      <w:pPr>
        <w:jc w:val="center"/>
        <w:rPr>
          <w:rFonts w:ascii="Arial" w:hAnsi="Arial" w:cs="Arial"/>
          <w:b/>
          <w:sz w:val="22"/>
        </w:rPr>
      </w:pPr>
      <w:r>
        <w:rPr>
          <w:rFonts w:ascii="Arial" w:hAnsi="Arial" w:cs="Arial"/>
          <w:b/>
          <w:sz w:val="22"/>
        </w:rPr>
        <w:t>Smluvní sankce</w:t>
      </w:r>
    </w:p>
    <w:p w:rsidR="003E2C59" w:rsidRDefault="00D575DA">
      <w:pPr>
        <w:pStyle w:val="Odstavecseseznamem"/>
        <w:numPr>
          <w:ilvl w:val="0"/>
          <w:numId w:val="8"/>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D575DA">
      <w:pPr>
        <w:pStyle w:val="Odstavecseseznamem"/>
        <w:numPr>
          <w:ilvl w:val="0"/>
          <w:numId w:val="8"/>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D575DA">
      <w:pPr>
        <w:pStyle w:val="Odstavecseseznamem"/>
        <w:numPr>
          <w:ilvl w:val="0"/>
          <w:numId w:val="8"/>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D575DA">
      <w:pPr>
        <w:pStyle w:val="Odstavecseseznamem"/>
        <w:numPr>
          <w:ilvl w:val="0"/>
          <w:numId w:val="8"/>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E05B63">
      <w:pPr>
        <w:pStyle w:val="lnek-odstavec"/>
        <w:spacing w:before="300"/>
      </w:pPr>
      <w:r>
        <w:t>VIII.</w:t>
      </w:r>
    </w:p>
    <w:p w:rsidR="003E2C59" w:rsidRDefault="00E05B63">
      <w:pPr>
        <w:jc w:val="center"/>
        <w:rPr>
          <w:rFonts w:ascii="Arial" w:hAnsi="Arial" w:cs="Arial"/>
          <w:b/>
          <w:sz w:val="22"/>
        </w:rPr>
      </w:pPr>
      <w:r>
        <w:rPr>
          <w:rFonts w:ascii="Arial" w:hAnsi="Arial" w:cs="Arial"/>
          <w:b/>
          <w:sz w:val="22"/>
        </w:rPr>
        <w:t>Kontaktní osoby</w:t>
      </w:r>
    </w:p>
    <w:p w:rsidR="003E2C59" w:rsidRDefault="00E05B63">
      <w:pPr>
        <w:pStyle w:val="Odstavecseseznamem"/>
        <w:numPr>
          <w:ilvl w:val="0"/>
          <w:numId w:val="10"/>
        </w:numPr>
        <w:tabs>
          <w:tab w:val="left" w:pos="567"/>
        </w:tabs>
        <w:spacing w:before="120"/>
        <w:ind w:left="567" w:hanging="567"/>
        <w:jc w:val="both"/>
        <w:rPr>
          <w:rFonts w:ascii="Arial" w:hAnsi="Arial" w:cs="Arial"/>
          <w:sz w:val="20"/>
          <w:szCs w:val="20"/>
        </w:rPr>
      </w:pPr>
      <w:r>
        <w:rPr>
          <w:rFonts w:ascii="Arial" w:hAnsi="Arial" w:cs="Arial"/>
          <w:sz w:val="20"/>
          <w:szCs w:val="20"/>
          <w:u w:val="single"/>
        </w:rPr>
        <w:t>za ČDT</w:t>
      </w:r>
      <w:r>
        <w:rPr>
          <w:rFonts w:ascii="Arial" w:hAnsi="Arial" w:cs="Arial"/>
          <w:sz w:val="20"/>
          <w:szCs w:val="20"/>
        </w:rPr>
        <w:t>:</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ve věcech smluvních: </w:t>
      </w:r>
      <w:r w:rsidR="00D575DA">
        <w:rPr>
          <w:rFonts w:ascii="Arial" w:hAnsi="Arial" w:cs="Arial"/>
          <w:sz w:val="20"/>
          <w:szCs w:val="20"/>
        </w:rPr>
        <w:t>xx</w:t>
      </w:r>
      <w:r>
        <w:rPr>
          <w:rFonts w:ascii="Arial" w:hAnsi="Arial" w:cs="Arial"/>
          <w:sz w:val="20"/>
          <w:szCs w:val="20"/>
        </w:rPr>
        <w:tab/>
        <w:t xml:space="preserve">funkce: </w:t>
      </w:r>
      <w:r w:rsidR="00D575DA">
        <w:rPr>
          <w:rFonts w:ascii="Arial" w:hAnsi="Arial" w:cs="Arial"/>
          <w:sz w:val="20"/>
          <w:szCs w:val="20"/>
        </w:rPr>
        <w:t>xx</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e-mail: </w:t>
      </w:r>
      <w:r w:rsidR="00D575DA">
        <w:rPr>
          <w:rFonts w:ascii="Arial" w:hAnsi="Arial" w:cs="Arial"/>
          <w:sz w:val="20"/>
          <w:szCs w:val="20"/>
        </w:rPr>
        <w:t>xx</w:t>
      </w:r>
      <w:r>
        <w:rPr>
          <w:rFonts w:ascii="Arial" w:hAnsi="Arial" w:cs="Arial"/>
          <w:sz w:val="20"/>
          <w:szCs w:val="20"/>
        </w:rPr>
        <w:tab/>
        <w:t xml:space="preserve">tel.: </w:t>
      </w:r>
      <w:r w:rsidR="00D575DA">
        <w:rPr>
          <w:rFonts w:ascii="Arial" w:hAnsi="Arial" w:cs="Arial"/>
          <w:sz w:val="20"/>
          <w:szCs w:val="20"/>
        </w:rPr>
        <w:t>xx</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ve věcech technických: </w:t>
      </w:r>
      <w:r w:rsidR="00D575DA">
        <w:rPr>
          <w:rFonts w:ascii="Arial" w:hAnsi="Arial" w:cs="Arial"/>
          <w:sz w:val="20"/>
          <w:szCs w:val="20"/>
        </w:rPr>
        <w:t>xx</w:t>
      </w:r>
      <w:r>
        <w:rPr>
          <w:rFonts w:ascii="Arial" w:hAnsi="Arial" w:cs="Arial"/>
          <w:sz w:val="20"/>
          <w:szCs w:val="20"/>
        </w:rPr>
        <w:tab/>
        <w:t xml:space="preserve">funkce: </w:t>
      </w:r>
      <w:r w:rsidR="00D575DA">
        <w:rPr>
          <w:rFonts w:ascii="Arial" w:hAnsi="Arial" w:cs="Arial"/>
          <w:sz w:val="20"/>
          <w:szCs w:val="20"/>
        </w:rPr>
        <w:t>xx</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e-mail: </w:t>
      </w:r>
      <w:r w:rsidR="00D575DA">
        <w:rPr>
          <w:rFonts w:ascii="Arial" w:hAnsi="Arial" w:cs="Arial"/>
          <w:sz w:val="20"/>
          <w:szCs w:val="20"/>
        </w:rPr>
        <w:t>xx</w:t>
      </w:r>
      <w:r>
        <w:rPr>
          <w:rFonts w:ascii="Arial" w:hAnsi="Arial" w:cs="Arial"/>
          <w:sz w:val="20"/>
          <w:szCs w:val="20"/>
        </w:rPr>
        <w:tab/>
        <w:t xml:space="preserve">tel.: </w:t>
      </w:r>
      <w:r w:rsidR="00D575DA">
        <w:rPr>
          <w:rFonts w:ascii="Arial" w:hAnsi="Arial" w:cs="Arial"/>
          <w:sz w:val="20"/>
          <w:szCs w:val="20"/>
        </w:rPr>
        <w:t>xx</w:t>
      </w:r>
    </w:p>
    <w:p w:rsidR="003E2C59" w:rsidRDefault="003E2C59">
      <w:pPr>
        <w:pStyle w:val="Odstavecseseznamem"/>
        <w:tabs>
          <w:tab w:val="left" w:pos="567"/>
          <w:tab w:val="left" w:pos="5670"/>
        </w:tabs>
        <w:spacing w:before="120"/>
        <w:ind w:left="567"/>
        <w:jc w:val="both"/>
        <w:rPr>
          <w:rFonts w:ascii="Arial" w:hAnsi="Arial" w:cs="Arial"/>
          <w:sz w:val="20"/>
          <w:szCs w:val="20"/>
        </w:rPr>
      </w:pPr>
    </w:p>
    <w:p w:rsidR="003E2C59" w:rsidRDefault="00E05B63">
      <w:pPr>
        <w:pStyle w:val="Odstavecseseznamem"/>
        <w:numPr>
          <w:ilvl w:val="0"/>
          <w:numId w:val="10"/>
        </w:numPr>
        <w:tabs>
          <w:tab w:val="left" w:pos="567"/>
        </w:tabs>
        <w:spacing w:before="120"/>
        <w:ind w:left="567" w:hanging="567"/>
        <w:jc w:val="both"/>
        <w:rPr>
          <w:rFonts w:ascii="Arial" w:hAnsi="Arial" w:cs="Arial"/>
          <w:sz w:val="20"/>
          <w:szCs w:val="20"/>
        </w:rPr>
      </w:pPr>
      <w:r>
        <w:rPr>
          <w:rFonts w:ascii="Arial" w:hAnsi="Arial" w:cs="Arial"/>
          <w:sz w:val="20"/>
          <w:szCs w:val="20"/>
          <w:u w:val="single"/>
        </w:rPr>
        <w:t>za Stavebníka</w:t>
      </w:r>
      <w:r>
        <w:rPr>
          <w:rFonts w:ascii="Arial" w:hAnsi="Arial" w:cs="Arial"/>
          <w:sz w:val="20"/>
          <w:szCs w:val="20"/>
        </w:rPr>
        <w:t>:</w:t>
      </w:r>
    </w:p>
    <w:p w:rsidR="003E2C59" w:rsidRDefault="00E05B63">
      <w:pPr>
        <w:pStyle w:val="Odstavecseseznamem"/>
        <w:tabs>
          <w:tab w:val="left" w:pos="567"/>
          <w:tab w:val="left" w:pos="5670"/>
        </w:tabs>
        <w:spacing w:before="120"/>
        <w:ind w:left="5667" w:hanging="5100"/>
        <w:jc w:val="both"/>
        <w:rPr>
          <w:rFonts w:ascii="Arial" w:hAnsi="Arial" w:cs="Arial"/>
          <w:sz w:val="20"/>
          <w:szCs w:val="20"/>
        </w:rPr>
      </w:pPr>
      <w:r>
        <w:rPr>
          <w:rFonts w:ascii="Arial" w:hAnsi="Arial" w:cs="Arial"/>
          <w:sz w:val="20"/>
          <w:szCs w:val="20"/>
        </w:rPr>
        <w:t xml:space="preserve">ve věcech smluvních: </w:t>
      </w:r>
      <w:r w:rsidR="00D575DA">
        <w:rPr>
          <w:rFonts w:ascii="Arial" w:hAnsi="Arial" w:cs="Arial"/>
          <w:sz w:val="20"/>
          <w:szCs w:val="20"/>
        </w:rPr>
        <w:t>xx</w:t>
      </w:r>
      <w:r>
        <w:rPr>
          <w:rFonts w:ascii="Arial" w:hAnsi="Arial" w:cs="Arial"/>
          <w:sz w:val="20"/>
          <w:szCs w:val="20"/>
        </w:rPr>
        <w:tab/>
        <w:t xml:space="preserve">funkce: </w:t>
      </w:r>
      <w:r w:rsidR="00D575DA">
        <w:rPr>
          <w:rFonts w:ascii="Arial" w:hAnsi="Arial" w:cs="Arial"/>
          <w:sz w:val="20"/>
          <w:szCs w:val="20"/>
        </w:rPr>
        <w:t>xx</w:t>
      </w:r>
      <w:r>
        <w:rPr>
          <w:rFonts w:ascii="Arial" w:hAnsi="Arial" w:cs="Arial"/>
          <w:sz w:val="20"/>
          <w:szCs w:val="20"/>
        </w:rPr>
        <w:t xml:space="preserve"> </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e-mail: </w:t>
      </w:r>
      <w:r w:rsidR="00D575DA">
        <w:rPr>
          <w:rFonts w:ascii="Arial" w:hAnsi="Arial" w:cs="Arial"/>
          <w:sz w:val="20"/>
          <w:szCs w:val="20"/>
        </w:rPr>
        <w:t>xx</w:t>
      </w:r>
      <w:r>
        <w:rPr>
          <w:rFonts w:ascii="Arial" w:hAnsi="Arial" w:cs="Arial"/>
          <w:sz w:val="20"/>
          <w:szCs w:val="20"/>
        </w:rPr>
        <w:tab/>
        <w:t xml:space="preserve">tel.: </w:t>
      </w:r>
      <w:r w:rsidR="00D575DA">
        <w:rPr>
          <w:rFonts w:ascii="Arial" w:hAnsi="Arial" w:cs="Arial"/>
          <w:sz w:val="20"/>
          <w:szCs w:val="20"/>
        </w:rPr>
        <w:t>x</w:t>
      </w:r>
    </w:p>
    <w:p w:rsidR="003E2C59" w:rsidRDefault="003E2C59">
      <w:pPr>
        <w:pStyle w:val="Odstavecseseznamem"/>
        <w:tabs>
          <w:tab w:val="left" w:pos="567"/>
          <w:tab w:val="left" w:pos="5670"/>
        </w:tabs>
        <w:spacing w:before="120"/>
        <w:ind w:left="567"/>
        <w:jc w:val="both"/>
        <w:rPr>
          <w:rFonts w:ascii="Arial" w:hAnsi="Arial" w:cs="Arial"/>
          <w:sz w:val="20"/>
          <w:szCs w:val="20"/>
        </w:rPr>
      </w:pPr>
    </w:p>
    <w:p w:rsidR="003E2C59" w:rsidRDefault="00E05B63">
      <w:pPr>
        <w:pStyle w:val="Odstavecseseznamem"/>
        <w:tabs>
          <w:tab w:val="left" w:pos="567"/>
          <w:tab w:val="left" w:pos="5670"/>
        </w:tabs>
        <w:spacing w:before="120"/>
        <w:ind w:left="5667" w:hanging="5100"/>
        <w:jc w:val="both"/>
        <w:rPr>
          <w:rFonts w:ascii="Arial" w:hAnsi="Arial" w:cs="Arial"/>
          <w:sz w:val="20"/>
          <w:szCs w:val="20"/>
        </w:rPr>
      </w:pPr>
      <w:r>
        <w:rPr>
          <w:rFonts w:ascii="Arial" w:hAnsi="Arial" w:cs="Arial"/>
          <w:sz w:val="20"/>
          <w:szCs w:val="20"/>
        </w:rPr>
        <w:t xml:space="preserve">ve věcech technických: </w:t>
      </w:r>
      <w:r w:rsidR="00D575DA">
        <w:rPr>
          <w:rFonts w:ascii="Arial" w:hAnsi="Arial" w:cs="Arial"/>
          <w:sz w:val="20"/>
          <w:szCs w:val="20"/>
        </w:rPr>
        <w:t>xx</w:t>
      </w:r>
      <w:r>
        <w:rPr>
          <w:rFonts w:ascii="Arial" w:hAnsi="Arial" w:cs="Arial"/>
          <w:sz w:val="20"/>
          <w:szCs w:val="20"/>
        </w:rPr>
        <w:tab/>
        <w:t xml:space="preserve">funkce: </w:t>
      </w:r>
      <w:r w:rsidR="00D575DA">
        <w:rPr>
          <w:rFonts w:ascii="Arial" w:hAnsi="Arial" w:cs="Arial"/>
          <w:sz w:val="20"/>
          <w:szCs w:val="20"/>
        </w:rPr>
        <w:t>xx</w:t>
      </w:r>
    </w:p>
    <w:p w:rsidR="003E2C59" w:rsidRDefault="00E05B63">
      <w:pPr>
        <w:pStyle w:val="Odstavecseseznamem"/>
        <w:tabs>
          <w:tab w:val="left" w:pos="567"/>
          <w:tab w:val="left" w:pos="5670"/>
        </w:tabs>
        <w:spacing w:before="120"/>
        <w:ind w:left="567"/>
        <w:jc w:val="both"/>
        <w:rPr>
          <w:rFonts w:ascii="Arial" w:hAnsi="Arial" w:cs="Arial"/>
          <w:sz w:val="20"/>
          <w:szCs w:val="20"/>
        </w:rPr>
      </w:pPr>
      <w:r>
        <w:rPr>
          <w:rFonts w:ascii="Arial" w:hAnsi="Arial" w:cs="Arial"/>
          <w:sz w:val="20"/>
          <w:szCs w:val="20"/>
        </w:rPr>
        <w:t xml:space="preserve">e-mail: </w:t>
      </w:r>
      <w:r w:rsidR="00D575DA">
        <w:rPr>
          <w:rFonts w:ascii="Arial" w:hAnsi="Arial" w:cs="Arial"/>
          <w:sz w:val="20"/>
          <w:szCs w:val="20"/>
        </w:rPr>
        <w:t>xx</w:t>
      </w:r>
      <w:r>
        <w:rPr>
          <w:rFonts w:ascii="Arial" w:hAnsi="Arial" w:cs="Arial"/>
          <w:sz w:val="20"/>
          <w:szCs w:val="20"/>
        </w:rPr>
        <w:t xml:space="preserve"> </w:t>
      </w:r>
      <w:r>
        <w:rPr>
          <w:rFonts w:ascii="Arial" w:hAnsi="Arial" w:cs="Arial"/>
          <w:sz w:val="20"/>
          <w:szCs w:val="20"/>
        </w:rPr>
        <w:tab/>
        <w:t xml:space="preserve">tel.: </w:t>
      </w:r>
      <w:r w:rsidR="00D575DA">
        <w:rPr>
          <w:rFonts w:ascii="Arial" w:hAnsi="Arial" w:cs="Arial"/>
          <w:sz w:val="20"/>
          <w:szCs w:val="20"/>
        </w:rPr>
        <w:t>xx</w:t>
      </w:r>
    </w:p>
    <w:p w:rsidR="003E2C59" w:rsidRDefault="00E05B63">
      <w:pPr>
        <w:pStyle w:val="lnek-odstavec"/>
        <w:spacing w:before="300"/>
      </w:pPr>
      <w:r>
        <w:t>IX.</w:t>
      </w:r>
    </w:p>
    <w:p w:rsidR="003E2C59" w:rsidRDefault="00E05B63">
      <w:pPr>
        <w:jc w:val="center"/>
        <w:rPr>
          <w:rFonts w:ascii="Arial" w:hAnsi="Arial" w:cs="Arial"/>
          <w:b/>
          <w:sz w:val="22"/>
        </w:rPr>
      </w:pPr>
      <w:r>
        <w:rPr>
          <w:rFonts w:ascii="Arial" w:hAnsi="Arial" w:cs="Arial"/>
          <w:b/>
          <w:sz w:val="22"/>
        </w:rPr>
        <w:t>Odstoupení od Smlouvy</w:t>
      </w:r>
    </w:p>
    <w:p w:rsidR="003E2C59" w:rsidRDefault="00D575DA">
      <w:pPr>
        <w:pStyle w:val="Odstavecseseznamem"/>
        <w:numPr>
          <w:ilvl w:val="0"/>
          <w:numId w:val="11"/>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D575DA">
      <w:pPr>
        <w:pStyle w:val="Odstavecseseznamem"/>
        <w:numPr>
          <w:ilvl w:val="0"/>
          <w:numId w:val="11"/>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E05B63">
      <w:pPr>
        <w:pStyle w:val="lnek-odstavec"/>
        <w:spacing w:before="300"/>
      </w:pPr>
      <w:r>
        <w:t>X.</w:t>
      </w:r>
    </w:p>
    <w:p w:rsidR="003E2C59" w:rsidRDefault="00E05B63">
      <w:pPr>
        <w:jc w:val="center"/>
        <w:rPr>
          <w:rFonts w:ascii="Arial" w:hAnsi="Arial" w:cs="Arial"/>
          <w:b/>
          <w:sz w:val="22"/>
        </w:rPr>
      </w:pPr>
      <w:r>
        <w:rPr>
          <w:rFonts w:ascii="Arial" w:hAnsi="Arial" w:cs="Arial"/>
          <w:b/>
          <w:sz w:val="22"/>
        </w:rPr>
        <w:t>Rozvazovací podmínka</w:t>
      </w:r>
    </w:p>
    <w:p w:rsidR="003E2C59" w:rsidRDefault="00D575DA">
      <w:pPr>
        <w:pStyle w:val="Odstavecseseznamem"/>
        <w:numPr>
          <w:ilvl w:val="0"/>
          <w:numId w:val="12"/>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3E2C59" w:rsidRDefault="00D575DA">
      <w:pPr>
        <w:pStyle w:val="Odstavecseseznamem"/>
        <w:numPr>
          <w:ilvl w:val="0"/>
          <w:numId w:val="12"/>
        </w:numPr>
        <w:tabs>
          <w:tab w:val="left" w:pos="567"/>
        </w:tabs>
        <w:spacing w:before="120"/>
        <w:ind w:left="567" w:hanging="567"/>
        <w:jc w:val="both"/>
        <w:rPr>
          <w:rFonts w:ascii="Arial" w:hAnsi="Arial" w:cs="Arial"/>
          <w:sz w:val="20"/>
          <w:szCs w:val="20"/>
        </w:rPr>
      </w:pPr>
      <w:r>
        <w:rPr>
          <w:rFonts w:ascii="Arial" w:hAnsi="Arial" w:cs="Arial"/>
          <w:sz w:val="20"/>
          <w:szCs w:val="20"/>
        </w:rPr>
        <w:t>xx</w:t>
      </w: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Default="00D575DA" w:rsidP="00D575DA">
      <w:pPr>
        <w:tabs>
          <w:tab w:val="left" w:pos="567"/>
        </w:tabs>
        <w:spacing w:before="120"/>
        <w:jc w:val="both"/>
        <w:rPr>
          <w:rFonts w:ascii="Arial" w:hAnsi="Arial" w:cs="Arial"/>
        </w:rPr>
      </w:pPr>
    </w:p>
    <w:p w:rsidR="00D575DA" w:rsidRPr="00D575DA" w:rsidRDefault="00D575DA" w:rsidP="00D575DA">
      <w:pPr>
        <w:tabs>
          <w:tab w:val="left" w:pos="567"/>
        </w:tabs>
        <w:spacing w:before="120"/>
        <w:jc w:val="both"/>
        <w:rPr>
          <w:rFonts w:ascii="Arial" w:hAnsi="Arial" w:cs="Arial"/>
        </w:rPr>
      </w:pPr>
    </w:p>
    <w:p w:rsidR="003E2C59" w:rsidRDefault="00E05B63">
      <w:pPr>
        <w:pStyle w:val="lnek-odstavec"/>
        <w:spacing w:before="300"/>
      </w:pPr>
      <w:r>
        <w:t>XI.</w:t>
      </w:r>
    </w:p>
    <w:p w:rsidR="003E2C59" w:rsidRDefault="00E05B63">
      <w:pPr>
        <w:jc w:val="center"/>
        <w:rPr>
          <w:rFonts w:ascii="Arial" w:hAnsi="Arial" w:cs="Arial"/>
          <w:b/>
          <w:sz w:val="22"/>
        </w:rPr>
      </w:pPr>
      <w:r>
        <w:rPr>
          <w:rFonts w:ascii="Arial" w:hAnsi="Arial" w:cs="Arial"/>
          <w:b/>
          <w:sz w:val="22"/>
        </w:rPr>
        <w:t>Zvláštní ustanovení</w:t>
      </w:r>
    </w:p>
    <w:p w:rsidR="003E2C59" w:rsidRDefault="00E05B63">
      <w:pPr>
        <w:numPr>
          <w:ilvl w:val="0"/>
          <w:numId w:val="13"/>
        </w:numPr>
        <w:tabs>
          <w:tab w:val="left" w:pos="540"/>
          <w:tab w:val="left" w:pos="567"/>
          <w:tab w:val="left" w:pos="5670"/>
        </w:tabs>
        <w:spacing w:before="120"/>
        <w:ind w:left="567" w:hanging="567"/>
        <w:jc w:val="both"/>
        <w:rPr>
          <w:rFonts w:ascii="Arial" w:hAnsi="Arial" w:cs="Arial"/>
        </w:rPr>
      </w:pPr>
      <w:r>
        <w:rPr>
          <w:rFonts w:ascii="Arial" w:hAnsi="Arial" w:cs="Arial"/>
        </w:rPr>
        <w:t>Strany berou na vědomí, že obě strany mají povinnost ze zákona č. 340/2015 Sb., zákon o registru smluv v platném znění, tuto Smlouvu, pod zákonem stanovenou sankcí, uveřejnit v registru smluv. Účinnost této Smlouvy tak nastane jejím publikováním v registru smluv. Strany se dohodly, že uveřejnění v registru smluv zajistí výhradně ČDT.</w:t>
      </w:r>
    </w:p>
    <w:p w:rsidR="003E2C59" w:rsidRDefault="003E2C59">
      <w:pPr>
        <w:tabs>
          <w:tab w:val="left" w:pos="567"/>
          <w:tab w:val="left" w:pos="5670"/>
        </w:tabs>
        <w:spacing w:before="120"/>
        <w:ind w:left="567"/>
        <w:jc w:val="both"/>
        <w:rPr>
          <w:rFonts w:ascii="Arial" w:hAnsi="Arial" w:cs="Arial"/>
        </w:rPr>
      </w:pPr>
    </w:p>
    <w:p w:rsidR="003E2C59" w:rsidRDefault="00E05B63">
      <w:pPr>
        <w:pStyle w:val="Odstavecseseznamem"/>
        <w:numPr>
          <w:ilvl w:val="0"/>
          <w:numId w:val="13"/>
        </w:numPr>
        <w:tabs>
          <w:tab w:val="left" w:pos="567"/>
          <w:tab w:val="left" w:pos="5670"/>
        </w:tabs>
        <w:spacing w:before="120"/>
        <w:ind w:left="567" w:hanging="567"/>
        <w:jc w:val="both"/>
        <w:rPr>
          <w:rFonts w:ascii="Arial" w:hAnsi="Arial" w:cs="Arial"/>
          <w:sz w:val="20"/>
          <w:szCs w:val="20"/>
        </w:rPr>
      </w:pPr>
      <w:r>
        <w:rPr>
          <w:rFonts w:ascii="Arial" w:hAnsi="Arial" w:cs="Arial"/>
        </w:rPr>
        <w:t xml:space="preserve"> </w:t>
      </w:r>
      <w:r>
        <w:rPr>
          <w:rFonts w:ascii="Arial" w:hAnsi="Arial" w:cs="Arial"/>
          <w:sz w:val="20"/>
          <w:szCs w:val="20"/>
        </w:rPr>
        <w:t>Strany tímto výslovně konstatují, že považují celý obsah článků V., VII., VIII., IX., a X., této Smlouvy včetně veškerých příloh této Smlouvy za předmět obchodního tajemství ve smyslu § 504 ObčZ. Smluvní strany se vzájemně zavazují v případě vzniku pochybností o rozsahu uveřejněných informací poskytovat si nezbytnou součinnost k prokázání rozsahu a obsahu obchodního tajemství v příslušném soudním/správním řízení.</w:t>
      </w:r>
    </w:p>
    <w:p w:rsidR="003E2C59" w:rsidRDefault="00E05B63">
      <w:pPr>
        <w:pStyle w:val="lnek-odstavec"/>
        <w:spacing w:before="300"/>
      </w:pPr>
      <w:r>
        <w:t>XII.</w:t>
      </w:r>
    </w:p>
    <w:p w:rsidR="003E2C59" w:rsidRDefault="00E05B63">
      <w:pPr>
        <w:jc w:val="center"/>
        <w:rPr>
          <w:rFonts w:ascii="Arial" w:hAnsi="Arial" w:cs="Arial"/>
          <w:b/>
          <w:sz w:val="22"/>
        </w:rPr>
      </w:pPr>
      <w:r>
        <w:rPr>
          <w:rFonts w:ascii="Arial" w:hAnsi="Arial" w:cs="Arial"/>
          <w:b/>
          <w:sz w:val="22"/>
        </w:rPr>
        <w:t xml:space="preserve">Zpracování a ochrana osobních údajů </w:t>
      </w:r>
    </w:p>
    <w:p w:rsidR="003E2C59" w:rsidRDefault="00E05B63">
      <w:pPr>
        <w:pStyle w:val="Odstavecseseznamem"/>
        <w:numPr>
          <w:ilvl w:val="0"/>
          <w:numId w:val="14"/>
        </w:numPr>
        <w:tabs>
          <w:tab w:val="left" w:pos="567"/>
        </w:tabs>
        <w:spacing w:before="120"/>
        <w:ind w:left="567" w:hanging="567"/>
        <w:jc w:val="both"/>
        <w:rPr>
          <w:rFonts w:ascii="Arial" w:hAnsi="Arial" w:cs="Arial"/>
          <w:sz w:val="20"/>
          <w:szCs w:val="20"/>
        </w:rPr>
      </w:pPr>
      <w:r>
        <w:rPr>
          <w:rFonts w:ascii="Arial" w:hAnsi="Arial" w:cs="Arial"/>
          <w:sz w:val="20"/>
          <w:szCs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(obecné nařízení o ochraně osobních údajů) (dále jen „Nařízení“), a dále v souladu s relevantními vnitrostátními právními předpisy, kterým je zejména zákon č. 110/2019 Sb., o zpracování osobních údajů, v platném znění (dále jen „ZZOU“). Podrobnosti ke zpracování osobních údajů jsou uvedeny v Podmínkách ochrany osobních údajů a Zásadách zpracování osobních údajů (oba dokumenty dále jen „Dokumenty“). Dokumenty jsou ke stažení na </w:t>
      </w:r>
      <w:hyperlink r:id="rId11">
        <w:r>
          <w:rPr>
            <w:rStyle w:val="Internetovodkaz"/>
            <w:rFonts w:ascii="Arial" w:hAnsi="Arial" w:cs="Arial"/>
            <w:sz w:val="20"/>
            <w:szCs w:val="20"/>
          </w:rPr>
          <w:t>www.cdt.cz/soubory-ke-stazeni</w:t>
        </w:r>
      </w:hyperlink>
      <w:r>
        <w:rPr>
          <w:rFonts w:ascii="Arial" w:hAnsi="Arial" w:cs="Arial"/>
          <w:sz w:val="20"/>
          <w:szCs w:val="20"/>
        </w:rPr>
        <w:t xml:space="preserve">. </w:t>
      </w:r>
    </w:p>
    <w:p w:rsidR="003E2C59" w:rsidRDefault="00E05B63">
      <w:pPr>
        <w:pStyle w:val="Odstavecseseznamem"/>
        <w:numPr>
          <w:ilvl w:val="0"/>
          <w:numId w:val="14"/>
        </w:numPr>
        <w:tabs>
          <w:tab w:val="left" w:pos="567"/>
        </w:tabs>
        <w:spacing w:before="120"/>
        <w:ind w:left="567" w:hanging="567"/>
        <w:jc w:val="both"/>
        <w:rPr>
          <w:rFonts w:ascii="Arial" w:hAnsi="Arial" w:cs="Arial"/>
          <w:sz w:val="20"/>
          <w:szCs w:val="20"/>
        </w:rPr>
      </w:pPr>
      <w:r>
        <w:rPr>
          <w:rFonts w:ascii="Arial" w:hAnsi="Arial" w:cs="Arial"/>
          <w:sz w:val="20"/>
          <w:szCs w:val="20"/>
        </w:rPr>
        <w:t>Stavebník výslovně prohlašuje, že se s obsahem Dokumentů před podpisem této Smlouvy seznámil a nemá vůči nim námitek.</w:t>
      </w:r>
    </w:p>
    <w:p w:rsidR="003E2C59" w:rsidRDefault="00E05B63">
      <w:pPr>
        <w:pStyle w:val="Odstavecseseznamem"/>
        <w:numPr>
          <w:ilvl w:val="0"/>
          <w:numId w:val="14"/>
        </w:numPr>
        <w:tabs>
          <w:tab w:val="left" w:pos="567"/>
        </w:tabs>
        <w:spacing w:before="120"/>
        <w:ind w:left="567" w:hanging="567"/>
        <w:jc w:val="both"/>
        <w:rPr>
          <w:rFonts w:ascii="Arial" w:hAnsi="Arial" w:cs="Arial"/>
          <w:sz w:val="20"/>
          <w:szCs w:val="20"/>
        </w:rPr>
      </w:pPr>
      <w:r>
        <w:rPr>
          <w:rFonts w:ascii="Arial" w:hAnsi="Arial" w:cs="Arial"/>
          <w:sz w:val="20"/>
          <w:szCs w:val="20"/>
        </w:rPr>
        <w:t xml:space="preserve">Stavebník prohlašuje a zavazuje se, že veškeré osobní údaje z jím zajišťovaného či dodávaného plnění na základě této Smlouvy včetně osobních údajů plynoucích či obdržených v souvislosti s uzavřením Smlouvy, jsou zpracovávány v souladu s ochranou soukromí a standardy nastavení ochrany soukromí dle platné evropské a české legislativy. Stavebník se zavazuje v případě porušení ujednání tohoto odstavce bez námitek uhradit ČDT veškeré škody tímto porušením vzniklé. </w:t>
      </w:r>
    </w:p>
    <w:p w:rsidR="003E2C59" w:rsidRDefault="00E05B63">
      <w:pPr>
        <w:pStyle w:val="lnek-odstavec"/>
        <w:spacing w:before="300"/>
      </w:pPr>
      <w:r>
        <w:t>XIII.</w:t>
      </w:r>
    </w:p>
    <w:p w:rsidR="003E2C59" w:rsidRDefault="00E05B63">
      <w:pPr>
        <w:jc w:val="center"/>
        <w:rPr>
          <w:rFonts w:ascii="Arial" w:hAnsi="Arial" w:cs="Arial"/>
          <w:b/>
          <w:sz w:val="22"/>
        </w:rPr>
      </w:pPr>
      <w:r>
        <w:rPr>
          <w:rFonts w:ascii="Arial" w:hAnsi="Arial" w:cs="Arial"/>
          <w:b/>
          <w:sz w:val="22"/>
        </w:rPr>
        <w:t>Závěrečná ustanovení</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 xml:space="preserve">Tato Smlouva nabývá platnosti a účinnosti okamžikem jejího uzavření oběma stranami, přičemž za základ se bere pozdější datum podpisu, není-li stanoveno dle čl. XI., odst. 2., této Smlouvy datum pozdější. </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Vztahy, které nejsou upraveny touto Smlouvou, se řídí ustanoveními ObčZ a ZeK.</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Práva vzniklá z této Smlouvy nesmí být postoupena bez předchozího písemného souhlasu druhé strany, pokud v této Smlouvě není stanoveno jinak (viz. čl. III., odst. 5.).</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Započtení na pohledávky vzniklé z této Smlouvy se nepřipouští.</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Tato Smlouva může být měněna pouze písemně. Za písemnou formu není pro tento účel považována výměna e-mailových či jiných elektronických zpráv.</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Veškerá korespondence mezi smluvními stranami bude zasílána doporučeně na adresy uvedené v hlavičce této Smlouvy nebo na adresy elektronické pošty uvedené v čl. VIII., této Smlouvy. Strany se dohodly, že ustanovení § 573 ObčZ se neuplatní.</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Strany vylučují aplikaci ustanovení § 1805 odst. 2., ObčZ na tuto Smlouvu.</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 xml:space="preserve">Tato Smlouva obsahuje úplné ujednání o předmětu Smlouvy a všech náležitostech, které strany měly a chtěly ve Smlouvě ujednat, a které považují za důležité pro závaznost této Smlouvy. Žádný projev stran </w:t>
      </w:r>
      <w:r>
        <w:rPr>
          <w:rFonts w:ascii="Arial" w:hAnsi="Arial" w:cs="Arial"/>
        </w:rPr>
        <w:lastRenderedPageBreak/>
        <w:t>učiněný při jednání o této Smlouvě ani projev učiněný po uzavření této Smlouvy nesmí být vykládán v rozporu s výslovnými ustanoveními této Smlouvy a nezakládá žádný závazek žádné ze stran.</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Odpověď strany této Smlouvy, podle § 1740 odst. 3 ObčZ, s dodatkem nebo odchylkou, není přijetím nabídky na uzavření této Smlouvy, ani když podstatně nemění podmínky nabídky.</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Žádný závazek dle této Smlouvy není fixním závazkem podle § 1980 ObčZ.</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Strany potvrzují, že uzavření této Smlouvy je výsledkem jednání stran a každá ze stran měla příležitost ovlivnit obsah této Smlouvy.</w:t>
      </w:r>
    </w:p>
    <w:p w:rsidR="003E2C59" w:rsidRDefault="00E05B63">
      <w:pPr>
        <w:numPr>
          <w:ilvl w:val="0"/>
          <w:numId w:val="5"/>
        </w:numPr>
        <w:tabs>
          <w:tab w:val="left" w:pos="567"/>
        </w:tabs>
        <w:spacing w:before="120"/>
        <w:ind w:left="567" w:hanging="567"/>
        <w:jc w:val="both"/>
        <w:rPr>
          <w:rFonts w:ascii="Arial" w:hAnsi="Arial" w:cs="Arial"/>
        </w:rPr>
      </w:pPr>
      <w:r>
        <w:rPr>
          <w:rFonts w:ascii="Arial" w:hAnsi="Arial" w:cs="Arial"/>
        </w:rPr>
        <w:t>Tato Smlouva je vyhotovena v</w:t>
      </w:r>
      <w:r w:rsidR="00F86278">
        <w:rPr>
          <w:rFonts w:ascii="Arial" w:hAnsi="Arial" w:cs="Arial"/>
        </w:rPr>
        <w:t xml:space="preserve"> pěti </w:t>
      </w:r>
      <w:r w:rsidR="00D77063">
        <w:rPr>
          <w:rFonts w:ascii="Arial" w:hAnsi="Arial" w:cs="Arial"/>
        </w:rPr>
        <w:t xml:space="preserve"> </w:t>
      </w:r>
      <w:r>
        <w:rPr>
          <w:rFonts w:ascii="Arial" w:hAnsi="Arial" w:cs="Arial"/>
        </w:rPr>
        <w:t>(</w:t>
      </w:r>
      <w:r w:rsidR="00F86278">
        <w:rPr>
          <w:rFonts w:ascii="Arial" w:hAnsi="Arial" w:cs="Arial"/>
        </w:rPr>
        <w:t>5</w:t>
      </w:r>
      <w:r w:rsidR="00D77063">
        <w:rPr>
          <w:rFonts w:ascii="Arial" w:hAnsi="Arial" w:cs="Arial"/>
        </w:rPr>
        <w:t>)</w:t>
      </w:r>
      <w:r>
        <w:rPr>
          <w:rFonts w:ascii="Arial" w:hAnsi="Arial" w:cs="Arial"/>
        </w:rPr>
        <w:t xml:space="preserve"> originálech, z nichž jeden (1) obdrží </w:t>
      </w:r>
      <w:r w:rsidR="00F86278">
        <w:rPr>
          <w:rFonts w:ascii="Arial" w:hAnsi="Arial" w:cs="Arial"/>
        </w:rPr>
        <w:t>ČDT a</w:t>
      </w:r>
      <w:r w:rsidR="00745106">
        <w:rPr>
          <w:rFonts w:ascii="Arial" w:hAnsi="Arial" w:cs="Arial"/>
        </w:rPr>
        <w:t xml:space="preserve"> čtyři</w:t>
      </w:r>
      <w:r w:rsidR="00F86278">
        <w:rPr>
          <w:rFonts w:ascii="Arial" w:hAnsi="Arial" w:cs="Arial"/>
        </w:rPr>
        <w:t xml:space="preserve"> </w:t>
      </w:r>
      <w:r w:rsidR="00D77063">
        <w:rPr>
          <w:rFonts w:ascii="Arial" w:hAnsi="Arial" w:cs="Arial"/>
        </w:rPr>
        <w:t>(</w:t>
      </w:r>
      <w:r>
        <w:rPr>
          <w:rFonts w:ascii="Arial" w:hAnsi="Arial" w:cs="Arial"/>
        </w:rPr>
        <w:t>4</w:t>
      </w:r>
      <w:r w:rsidR="00D77063">
        <w:rPr>
          <w:rFonts w:ascii="Arial" w:hAnsi="Arial" w:cs="Arial"/>
        </w:rPr>
        <w:t>)</w:t>
      </w:r>
      <w:r>
        <w:rPr>
          <w:rFonts w:ascii="Arial" w:hAnsi="Arial" w:cs="Arial"/>
        </w:rPr>
        <w:t xml:space="preserve"> Stavebník.</w:t>
      </w:r>
    </w:p>
    <w:p w:rsidR="003E2C59" w:rsidRDefault="00E05B63">
      <w:pPr>
        <w:numPr>
          <w:ilvl w:val="0"/>
          <w:numId w:val="5"/>
        </w:numPr>
        <w:tabs>
          <w:tab w:val="left" w:pos="540"/>
        </w:tabs>
        <w:spacing w:before="120" w:after="600"/>
        <w:ind w:left="539" w:hanging="539"/>
        <w:jc w:val="both"/>
        <w:rPr>
          <w:rFonts w:ascii="Arial" w:hAnsi="Arial" w:cs="Arial"/>
        </w:rPr>
      </w:pPr>
      <w:r>
        <w:rPr>
          <w:rFonts w:ascii="Arial" w:hAnsi="Arial" w:cs="Arial"/>
        </w:rPr>
        <w:t>Nedílnou součástí této Smlouvy je Příloha č. 1 Cenový návrh – rozpočet, Příloha č. 2 - Podmínky pro stavební činnosti v blízkosti komunikačního vedení ve vlastnictví –CD – Telematika a.s..</w:t>
      </w:r>
    </w:p>
    <w:tbl>
      <w:tblPr>
        <w:tblW w:w="9089" w:type="dxa"/>
        <w:jc w:val="center"/>
        <w:tblLook w:val="01E0" w:firstRow="1" w:lastRow="1" w:firstColumn="1" w:lastColumn="1" w:noHBand="0" w:noVBand="0"/>
      </w:tblPr>
      <w:tblGrid>
        <w:gridCol w:w="3653"/>
        <w:gridCol w:w="536"/>
        <w:gridCol w:w="425"/>
        <w:gridCol w:w="4475"/>
      </w:tblGrid>
      <w:tr w:rsidR="003E2C59">
        <w:trPr>
          <w:trHeight w:val="391"/>
          <w:jc w:val="center"/>
        </w:trPr>
        <w:tc>
          <w:tcPr>
            <w:tcW w:w="3652" w:type="dxa"/>
            <w:vAlign w:val="center"/>
          </w:tcPr>
          <w:p w:rsidR="003E2C59" w:rsidRDefault="00E05B63">
            <w:pPr>
              <w:jc w:val="center"/>
              <w:rPr>
                <w:rFonts w:ascii="Arial" w:hAnsi="Arial" w:cs="Arial"/>
              </w:rPr>
            </w:pPr>
            <w:r>
              <w:rPr>
                <w:rFonts w:ascii="Arial" w:hAnsi="Arial" w:cs="Arial"/>
              </w:rPr>
              <w:t>V Praze dne ________</w:t>
            </w:r>
          </w:p>
        </w:tc>
        <w:tc>
          <w:tcPr>
            <w:tcW w:w="536" w:type="dxa"/>
            <w:vAlign w:val="center"/>
          </w:tcPr>
          <w:p w:rsidR="003E2C59" w:rsidRDefault="003E2C59">
            <w:pPr>
              <w:jc w:val="center"/>
              <w:rPr>
                <w:rFonts w:ascii="Arial" w:hAnsi="Arial" w:cs="Arial"/>
              </w:rPr>
            </w:pPr>
          </w:p>
        </w:tc>
        <w:tc>
          <w:tcPr>
            <w:tcW w:w="425" w:type="dxa"/>
            <w:vAlign w:val="center"/>
          </w:tcPr>
          <w:p w:rsidR="003E2C59" w:rsidRDefault="003E2C59">
            <w:pPr>
              <w:jc w:val="center"/>
              <w:rPr>
                <w:rFonts w:ascii="Arial" w:hAnsi="Arial" w:cs="Arial"/>
              </w:rPr>
            </w:pPr>
          </w:p>
        </w:tc>
        <w:tc>
          <w:tcPr>
            <w:tcW w:w="4475" w:type="dxa"/>
            <w:vAlign w:val="center"/>
          </w:tcPr>
          <w:p w:rsidR="003E2C59" w:rsidRDefault="00E05B63">
            <w:pPr>
              <w:jc w:val="center"/>
              <w:rPr>
                <w:rFonts w:ascii="Arial" w:hAnsi="Arial" w:cs="Arial"/>
              </w:rPr>
            </w:pPr>
            <w:r>
              <w:rPr>
                <w:rFonts w:ascii="Arial" w:hAnsi="Arial" w:cs="Arial"/>
              </w:rPr>
              <w:t>V Pardubicích dne ________</w:t>
            </w:r>
          </w:p>
        </w:tc>
      </w:tr>
      <w:tr w:rsidR="003E2C59">
        <w:trPr>
          <w:jc w:val="center"/>
        </w:trPr>
        <w:tc>
          <w:tcPr>
            <w:tcW w:w="3652" w:type="dxa"/>
          </w:tcPr>
          <w:p w:rsidR="003E2C59" w:rsidRDefault="003E2C59">
            <w:pPr>
              <w:jc w:val="center"/>
              <w:rPr>
                <w:rFonts w:ascii="Arial" w:hAnsi="Arial" w:cs="Arial"/>
                <w:b/>
              </w:rPr>
            </w:pPr>
          </w:p>
          <w:p w:rsidR="003E2C59" w:rsidRDefault="00E05B63">
            <w:pPr>
              <w:jc w:val="center"/>
              <w:rPr>
                <w:rFonts w:ascii="Arial" w:hAnsi="Arial" w:cs="Arial"/>
                <w:b/>
              </w:rPr>
            </w:pPr>
            <w:r>
              <w:rPr>
                <w:rFonts w:ascii="Arial" w:hAnsi="Arial" w:cs="Arial"/>
                <w:b/>
              </w:rPr>
              <w:t>ČD - Telematika a.s.</w:t>
            </w:r>
          </w:p>
        </w:tc>
        <w:tc>
          <w:tcPr>
            <w:tcW w:w="536" w:type="dxa"/>
          </w:tcPr>
          <w:p w:rsidR="003E2C59" w:rsidRDefault="003E2C59">
            <w:pPr>
              <w:jc w:val="center"/>
              <w:rPr>
                <w:rFonts w:ascii="Arial" w:hAnsi="Arial" w:cs="Arial"/>
                <w:b/>
              </w:rPr>
            </w:pPr>
          </w:p>
        </w:tc>
        <w:tc>
          <w:tcPr>
            <w:tcW w:w="425" w:type="dxa"/>
          </w:tcPr>
          <w:p w:rsidR="003E2C59" w:rsidRDefault="003E2C59">
            <w:pPr>
              <w:jc w:val="center"/>
              <w:rPr>
                <w:rFonts w:ascii="Arial" w:hAnsi="Arial" w:cs="Arial"/>
                <w:b/>
              </w:rPr>
            </w:pPr>
          </w:p>
        </w:tc>
        <w:tc>
          <w:tcPr>
            <w:tcW w:w="4475" w:type="dxa"/>
          </w:tcPr>
          <w:p w:rsidR="003E2C59" w:rsidRDefault="003E2C59">
            <w:pPr>
              <w:jc w:val="center"/>
              <w:rPr>
                <w:rFonts w:ascii="Arial" w:hAnsi="Arial" w:cs="Arial"/>
              </w:rPr>
            </w:pPr>
          </w:p>
          <w:p w:rsidR="003E2C59" w:rsidRDefault="00E05B63">
            <w:pPr>
              <w:jc w:val="center"/>
              <w:rPr>
                <w:rFonts w:ascii="Arial" w:hAnsi="Arial" w:cs="Arial"/>
                <w:b/>
              </w:rPr>
            </w:pPr>
            <w:r>
              <w:rPr>
                <w:rFonts w:ascii="Arial" w:hAnsi="Arial" w:cs="Arial"/>
                <w:b/>
              </w:rPr>
              <w:t>Pardubický kraj</w:t>
            </w:r>
          </w:p>
        </w:tc>
      </w:tr>
      <w:tr w:rsidR="003E2C59">
        <w:trPr>
          <w:trHeight w:val="1619"/>
          <w:jc w:val="center"/>
        </w:trPr>
        <w:tc>
          <w:tcPr>
            <w:tcW w:w="3652" w:type="dxa"/>
          </w:tcPr>
          <w:p w:rsidR="003E2C59" w:rsidRDefault="003E2C59">
            <w:pPr>
              <w:jc w:val="center"/>
              <w:rPr>
                <w:rFonts w:ascii="Arial" w:hAnsi="Arial" w:cs="Arial"/>
              </w:rPr>
            </w:pPr>
          </w:p>
          <w:p w:rsidR="003E2C59" w:rsidRDefault="003E2C59">
            <w:pPr>
              <w:jc w:val="center"/>
              <w:rPr>
                <w:rFonts w:ascii="Arial" w:hAnsi="Arial" w:cs="Arial"/>
              </w:rPr>
            </w:pPr>
          </w:p>
          <w:p w:rsidR="003E2C59" w:rsidRDefault="00E05B63">
            <w:pPr>
              <w:jc w:val="center"/>
              <w:rPr>
                <w:rFonts w:ascii="Arial" w:hAnsi="Arial" w:cs="Arial"/>
              </w:rPr>
            </w:pPr>
            <w:r>
              <w:rPr>
                <w:rFonts w:ascii="Arial" w:hAnsi="Arial" w:cs="Arial"/>
              </w:rPr>
              <w:t>____________________</w:t>
            </w:r>
          </w:p>
          <w:p w:rsidR="003E2C59" w:rsidRDefault="00E05B63">
            <w:pPr>
              <w:jc w:val="center"/>
              <w:rPr>
                <w:rFonts w:ascii="Arial" w:hAnsi="Arial" w:cs="Arial"/>
              </w:rPr>
            </w:pPr>
            <w:r>
              <w:rPr>
                <w:rFonts w:ascii="Arial" w:hAnsi="Arial" w:cs="Arial"/>
              </w:rPr>
              <w:t>na základě plné moci</w:t>
            </w:r>
          </w:p>
          <w:p w:rsidR="003E2C59" w:rsidRDefault="00D575DA">
            <w:pPr>
              <w:jc w:val="center"/>
              <w:rPr>
                <w:rFonts w:ascii="Arial" w:hAnsi="Arial" w:cs="Arial"/>
              </w:rPr>
            </w:pPr>
            <w:r>
              <w:rPr>
                <w:rFonts w:ascii="Arial" w:hAnsi="Arial" w:cs="Arial"/>
              </w:rPr>
              <w:t>xx</w:t>
            </w:r>
          </w:p>
        </w:tc>
        <w:tc>
          <w:tcPr>
            <w:tcW w:w="536" w:type="dxa"/>
          </w:tcPr>
          <w:p w:rsidR="003E2C59" w:rsidRDefault="003E2C59">
            <w:pPr>
              <w:jc w:val="center"/>
              <w:rPr>
                <w:rFonts w:ascii="Arial" w:hAnsi="Arial" w:cs="Arial"/>
              </w:rPr>
            </w:pPr>
          </w:p>
        </w:tc>
        <w:tc>
          <w:tcPr>
            <w:tcW w:w="425" w:type="dxa"/>
          </w:tcPr>
          <w:p w:rsidR="003E2C59" w:rsidRDefault="003E2C59">
            <w:pPr>
              <w:jc w:val="center"/>
              <w:rPr>
                <w:rFonts w:ascii="Arial" w:hAnsi="Arial" w:cs="Arial"/>
              </w:rPr>
            </w:pPr>
          </w:p>
        </w:tc>
        <w:tc>
          <w:tcPr>
            <w:tcW w:w="4475" w:type="dxa"/>
          </w:tcPr>
          <w:p w:rsidR="003E2C59" w:rsidRDefault="003E2C59">
            <w:pPr>
              <w:jc w:val="center"/>
              <w:rPr>
                <w:rFonts w:ascii="Arial" w:hAnsi="Arial" w:cs="Arial"/>
              </w:rPr>
            </w:pPr>
          </w:p>
          <w:p w:rsidR="003E2C59" w:rsidRDefault="003E2C59">
            <w:pPr>
              <w:jc w:val="center"/>
              <w:rPr>
                <w:rFonts w:ascii="Arial" w:hAnsi="Arial" w:cs="Arial"/>
              </w:rPr>
            </w:pPr>
          </w:p>
          <w:p w:rsidR="003E2C59" w:rsidRDefault="00E05B63">
            <w:pPr>
              <w:jc w:val="center"/>
              <w:rPr>
                <w:rFonts w:ascii="Arial" w:hAnsi="Arial" w:cs="Arial"/>
              </w:rPr>
            </w:pPr>
            <w:r>
              <w:rPr>
                <w:rFonts w:ascii="Arial" w:hAnsi="Arial" w:cs="Arial"/>
              </w:rPr>
              <w:t>____________________</w:t>
            </w:r>
          </w:p>
          <w:p w:rsidR="003E2C59" w:rsidRDefault="00E05B63">
            <w:pPr>
              <w:jc w:val="center"/>
              <w:rPr>
                <w:rFonts w:ascii="Arial" w:hAnsi="Arial" w:cs="Arial"/>
              </w:rPr>
            </w:pPr>
            <w:r>
              <w:rPr>
                <w:rFonts w:ascii="Arial" w:hAnsi="Arial" w:cs="Arial"/>
              </w:rPr>
              <w:t>na základě pověření</w:t>
            </w:r>
          </w:p>
          <w:p w:rsidR="003E2C59" w:rsidRDefault="00D575DA">
            <w:pPr>
              <w:jc w:val="center"/>
              <w:rPr>
                <w:rFonts w:ascii="Arial" w:hAnsi="Arial" w:cs="Arial"/>
              </w:rPr>
            </w:pPr>
            <w:r>
              <w:rPr>
                <w:rFonts w:ascii="Arial" w:hAnsi="Arial" w:cs="Arial"/>
              </w:rPr>
              <w:t>xx</w:t>
            </w:r>
            <w:bookmarkStart w:id="0" w:name="_GoBack"/>
            <w:bookmarkEnd w:id="0"/>
          </w:p>
        </w:tc>
      </w:tr>
    </w:tbl>
    <w:p w:rsidR="003E2C59" w:rsidRDefault="003E2C59">
      <w:pPr>
        <w:rPr>
          <w:rFonts w:ascii="Arial" w:hAnsi="Arial" w:cs="Arial"/>
          <w:sz w:val="8"/>
        </w:rPr>
      </w:pPr>
    </w:p>
    <w:sectPr w:rsidR="003E2C59">
      <w:headerReference w:type="default" r:id="rId12"/>
      <w:footerReference w:type="default" r:id="rId13"/>
      <w:headerReference w:type="first" r:id="rId14"/>
      <w:pgSz w:w="11906" w:h="16838"/>
      <w:pgMar w:top="766" w:right="991" w:bottom="851" w:left="1134" w:header="709" w:footer="709" w:gutter="0"/>
      <w:cols w:space="708"/>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9F" w:rsidRDefault="000D739F">
      <w:r>
        <w:separator/>
      </w:r>
    </w:p>
  </w:endnote>
  <w:endnote w:type="continuationSeparator" w:id="0">
    <w:p w:rsidR="000D739F" w:rsidRDefault="000D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59" w:rsidRDefault="00E05B63">
    <w:pPr>
      <w:pStyle w:val="Zpat"/>
      <w:pBdr>
        <w:top w:val="single" w:sz="4" w:space="1" w:color="7F7F7F"/>
      </w:pBdr>
      <w:jc w:val="center"/>
      <w:rPr>
        <w:rFonts w:ascii="Arial" w:hAnsi="Arial" w:cs="Arial"/>
        <w:color w:val="7F7F7F"/>
      </w:rPr>
    </w:pPr>
    <w:r>
      <w:rPr>
        <w:rFonts w:ascii="Arial" w:hAnsi="Arial" w:cs="Arial"/>
        <w:color w:val="7F7F7F"/>
      </w:rPr>
      <w:t xml:space="preserve">Strana </w:t>
    </w: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D575DA">
      <w:rPr>
        <w:rStyle w:val="slostrnky"/>
        <w:rFonts w:ascii="Arial" w:hAnsi="Arial" w:cs="Arial"/>
        <w:noProof/>
      </w:rPr>
      <w:t>2</w:t>
    </w:r>
    <w:r>
      <w:rPr>
        <w:rStyle w:val="slostrnky"/>
        <w:rFonts w:ascii="Arial" w:hAnsi="Arial" w:cs="Arial"/>
      </w:rPr>
      <w:fldChar w:fldCharType="end"/>
    </w:r>
    <w:r>
      <w:rPr>
        <w:rStyle w:val="slostrnky"/>
        <w:rFonts w:ascii="Arial" w:hAnsi="Arial" w:cs="Arial"/>
        <w:color w:val="7F7F7F"/>
      </w:rPr>
      <w:t xml:space="preserve"> (celkem </w:t>
    </w:r>
    <w:r>
      <w:rPr>
        <w:rStyle w:val="slostrnky"/>
        <w:rFonts w:ascii="Arial" w:hAnsi="Arial" w:cs="Arial"/>
      </w:rPr>
      <w:fldChar w:fldCharType="begin"/>
    </w:r>
    <w:r>
      <w:rPr>
        <w:rStyle w:val="slostrnky"/>
        <w:rFonts w:ascii="Arial" w:hAnsi="Arial" w:cs="Arial"/>
      </w:rPr>
      <w:instrText>NUMPAGES</w:instrText>
    </w:r>
    <w:r>
      <w:rPr>
        <w:rStyle w:val="slostrnky"/>
        <w:rFonts w:ascii="Arial" w:hAnsi="Arial" w:cs="Arial"/>
      </w:rPr>
      <w:fldChar w:fldCharType="separate"/>
    </w:r>
    <w:r w:rsidR="00D575DA">
      <w:rPr>
        <w:rStyle w:val="slostrnky"/>
        <w:rFonts w:ascii="Arial" w:hAnsi="Arial" w:cs="Arial"/>
        <w:noProof/>
      </w:rPr>
      <w:t>6</w:t>
    </w:r>
    <w:r>
      <w:rPr>
        <w:rStyle w:val="slostrnky"/>
        <w:rFonts w:ascii="Arial" w:hAnsi="Arial" w:cs="Arial"/>
      </w:rPr>
      <w:fldChar w:fldCharType="end"/>
    </w:r>
    <w:r>
      <w:rPr>
        <w:rStyle w:val="slostrnky"/>
        <w:rFonts w:ascii="Arial" w:hAnsi="Arial" w:cs="Arial"/>
        <w:color w:val="7F7F7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9F" w:rsidRDefault="000D739F">
      <w:r>
        <w:separator/>
      </w:r>
    </w:p>
  </w:footnote>
  <w:footnote w:type="continuationSeparator" w:id="0">
    <w:p w:rsidR="000D739F" w:rsidRDefault="000D7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59" w:rsidRDefault="003E2C59">
    <w:pPr>
      <w:pStyle w:val="Zhlav"/>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59" w:rsidRDefault="00E05B63">
    <w:pPr>
      <w:pStyle w:val="Zhlav"/>
      <w:jc w:val="right"/>
      <w:rPr>
        <w:rFonts w:ascii="Arial" w:hAnsi="Arial" w:cs="Arial"/>
      </w:rPr>
    </w:pPr>
    <w:r>
      <w:rPr>
        <w:rFonts w:ascii="Arial" w:hAnsi="Arial" w:cs="Arial"/>
        <w:noProof/>
      </w:rPr>
      <w:drawing>
        <wp:anchor distT="0" distB="0" distL="0" distR="0" simplePos="0" relativeHeight="2" behindDoc="1" locked="0" layoutInCell="1" allowOverlap="1">
          <wp:simplePos x="0" y="0"/>
          <wp:positionH relativeFrom="page">
            <wp:posOffset>762000</wp:posOffset>
          </wp:positionH>
          <wp:positionV relativeFrom="page">
            <wp:posOffset>388620</wp:posOffset>
          </wp:positionV>
          <wp:extent cx="1370330" cy="601980"/>
          <wp:effectExtent l="0" t="0" r="0" b="0"/>
          <wp:wrapNone/>
          <wp:docPr id="1" name="Logo ČD-T rgb EMF"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ČD-T rgb EMF" descr="logo_rgb"/>
                  <pic:cNvPicPr>
                    <a:picLocks noChangeAspect="1" noChangeArrowheads="1"/>
                  </pic:cNvPicPr>
                </pic:nvPicPr>
                <pic:blipFill>
                  <a:blip r:embed="rId1"/>
                  <a:stretch>
                    <a:fillRect/>
                  </a:stretch>
                </pic:blipFill>
                <pic:spPr bwMode="auto">
                  <a:xfrm>
                    <a:off x="0" y="0"/>
                    <a:ext cx="1370330" cy="6019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24B8"/>
    <w:multiLevelType w:val="multilevel"/>
    <w:tmpl w:val="A5AC496E"/>
    <w:lvl w:ilvl="0">
      <w:start w:val="3"/>
      <w:numFmt w:val="bullet"/>
      <w:lvlText w:val="-"/>
      <w:lvlJc w:val="left"/>
      <w:pPr>
        <w:ind w:left="1895" w:hanging="360"/>
      </w:pPr>
      <w:rPr>
        <w:rFonts w:ascii="Arial" w:hAnsi="Arial" w:cs="Arial" w:hint="default"/>
        <w:sz w:val="20"/>
        <w:szCs w:val="20"/>
      </w:rPr>
    </w:lvl>
    <w:lvl w:ilvl="1">
      <w:start w:val="1"/>
      <w:numFmt w:val="bullet"/>
      <w:lvlText w:val="o"/>
      <w:lvlJc w:val="left"/>
      <w:pPr>
        <w:ind w:left="2615" w:hanging="360"/>
      </w:pPr>
      <w:rPr>
        <w:rFonts w:ascii="Courier New" w:hAnsi="Courier New" w:cs="Courier New" w:hint="default"/>
      </w:rPr>
    </w:lvl>
    <w:lvl w:ilvl="2">
      <w:start w:val="1"/>
      <w:numFmt w:val="bullet"/>
      <w:lvlText w:val=""/>
      <w:lvlJc w:val="left"/>
      <w:pPr>
        <w:ind w:left="3335" w:hanging="360"/>
      </w:pPr>
      <w:rPr>
        <w:rFonts w:ascii="Wingdings" w:hAnsi="Wingdings" w:cs="Wingdings" w:hint="default"/>
      </w:rPr>
    </w:lvl>
    <w:lvl w:ilvl="3">
      <w:start w:val="1"/>
      <w:numFmt w:val="bullet"/>
      <w:lvlText w:val=""/>
      <w:lvlJc w:val="left"/>
      <w:pPr>
        <w:ind w:left="4055" w:hanging="360"/>
      </w:pPr>
      <w:rPr>
        <w:rFonts w:ascii="Symbol" w:hAnsi="Symbol" w:cs="Symbol" w:hint="default"/>
      </w:rPr>
    </w:lvl>
    <w:lvl w:ilvl="4">
      <w:start w:val="1"/>
      <w:numFmt w:val="bullet"/>
      <w:lvlText w:val="o"/>
      <w:lvlJc w:val="left"/>
      <w:pPr>
        <w:ind w:left="4775" w:hanging="360"/>
      </w:pPr>
      <w:rPr>
        <w:rFonts w:ascii="Courier New" w:hAnsi="Courier New" w:cs="Courier New" w:hint="default"/>
      </w:rPr>
    </w:lvl>
    <w:lvl w:ilvl="5">
      <w:start w:val="1"/>
      <w:numFmt w:val="bullet"/>
      <w:lvlText w:val=""/>
      <w:lvlJc w:val="left"/>
      <w:pPr>
        <w:ind w:left="5495" w:hanging="360"/>
      </w:pPr>
      <w:rPr>
        <w:rFonts w:ascii="Wingdings" w:hAnsi="Wingdings" w:cs="Wingdings" w:hint="default"/>
      </w:rPr>
    </w:lvl>
    <w:lvl w:ilvl="6">
      <w:start w:val="1"/>
      <w:numFmt w:val="bullet"/>
      <w:lvlText w:val=""/>
      <w:lvlJc w:val="left"/>
      <w:pPr>
        <w:ind w:left="6215" w:hanging="360"/>
      </w:pPr>
      <w:rPr>
        <w:rFonts w:ascii="Symbol" w:hAnsi="Symbol" w:cs="Symbol" w:hint="default"/>
      </w:rPr>
    </w:lvl>
    <w:lvl w:ilvl="7">
      <w:start w:val="1"/>
      <w:numFmt w:val="bullet"/>
      <w:lvlText w:val="o"/>
      <w:lvlJc w:val="left"/>
      <w:pPr>
        <w:ind w:left="6935" w:hanging="360"/>
      </w:pPr>
      <w:rPr>
        <w:rFonts w:ascii="Courier New" w:hAnsi="Courier New" w:cs="Courier New" w:hint="default"/>
      </w:rPr>
    </w:lvl>
    <w:lvl w:ilvl="8">
      <w:start w:val="1"/>
      <w:numFmt w:val="bullet"/>
      <w:lvlText w:val=""/>
      <w:lvlJc w:val="left"/>
      <w:pPr>
        <w:ind w:left="7655" w:hanging="360"/>
      </w:pPr>
      <w:rPr>
        <w:rFonts w:ascii="Wingdings" w:hAnsi="Wingdings" w:cs="Wingdings" w:hint="default"/>
      </w:rPr>
    </w:lvl>
  </w:abstractNum>
  <w:abstractNum w:abstractNumId="1">
    <w:nsid w:val="16E17765"/>
    <w:multiLevelType w:val="multilevel"/>
    <w:tmpl w:val="4842A3D0"/>
    <w:lvl w:ilvl="0">
      <w:start w:val="1"/>
      <w:numFmt w:val="decimal"/>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
    <w:nsid w:val="182A27DF"/>
    <w:multiLevelType w:val="multilevel"/>
    <w:tmpl w:val="9FFC1B5E"/>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70566A"/>
    <w:multiLevelType w:val="multilevel"/>
    <w:tmpl w:val="D6A2B7F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B7F6E22"/>
    <w:multiLevelType w:val="multilevel"/>
    <w:tmpl w:val="BDAAA676"/>
    <w:lvl w:ilvl="0">
      <w:start w:val="3"/>
      <w:numFmt w:val="bullet"/>
      <w:lvlText w:val="-"/>
      <w:lvlJc w:val="left"/>
      <w:pPr>
        <w:ind w:left="899" w:hanging="360"/>
      </w:pPr>
      <w:rPr>
        <w:rFonts w:ascii="Arial" w:hAnsi="Arial" w:cs="Arial" w:hint="default"/>
        <w:sz w:val="20"/>
        <w:szCs w:val="20"/>
      </w:rPr>
    </w:lvl>
    <w:lvl w:ilvl="1">
      <w:start w:val="1"/>
      <w:numFmt w:val="lowerLetter"/>
      <w:lvlText w:val="%2."/>
      <w:lvlJc w:val="left"/>
      <w:pPr>
        <w:ind w:left="1619" w:hanging="360"/>
      </w:pPr>
    </w:lvl>
    <w:lvl w:ilvl="2">
      <w:start w:val="1"/>
      <w:numFmt w:val="bullet"/>
      <w:lvlText w:val=""/>
      <w:lvlJc w:val="left"/>
      <w:pPr>
        <w:ind w:left="2339" w:hanging="360"/>
      </w:pPr>
      <w:rPr>
        <w:rFonts w:ascii="Wingdings" w:hAnsi="Wingdings" w:cs="Wingdings" w:hint="default"/>
      </w:rPr>
    </w:lvl>
    <w:lvl w:ilvl="3">
      <w:start w:val="1"/>
      <w:numFmt w:val="bullet"/>
      <w:lvlText w:val=""/>
      <w:lvlJc w:val="left"/>
      <w:pPr>
        <w:ind w:left="3059" w:hanging="360"/>
      </w:pPr>
      <w:rPr>
        <w:rFonts w:ascii="Symbol" w:hAnsi="Symbol" w:cs="Arial" w:hint="default"/>
        <w:sz w:val="20"/>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cs="Wingdings" w:hint="default"/>
      </w:rPr>
    </w:lvl>
    <w:lvl w:ilvl="6">
      <w:start w:val="1"/>
      <w:numFmt w:val="bullet"/>
      <w:lvlText w:val=""/>
      <w:lvlJc w:val="left"/>
      <w:pPr>
        <w:ind w:left="5219" w:hanging="360"/>
      </w:pPr>
      <w:rPr>
        <w:rFonts w:ascii="Symbol" w:hAnsi="Symbol" w:cs="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cs="Wingdings" w:hint="default"/>
      </w:rPr>
    </w:lvl>
  </w:abstractNum>
  <w:abstractNum w:abstractNumId="5">
    <w:nsid w:val="2FDD6528"/>
    <w:multiLevelType w:val="multilevel"/>
    <w:tmpl w:val="E6E69F60"/>
    <w:lvl w:ilvl="0">
      <w:start w:val="1"/>
      <w:numFmt w:val="lowerLetter"/>
      <w:lvlText w:val="%1."/>
      <w:lvlJc w:val="left"/>
      <w:pPr>
        <w:ind w:left="1259" w:hanging="360"/>
      </w:pPr>
      <w:rPr>
        <w:sz w:val="20"/>
        <w:szCs w:val="20"/>
      </w:r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6">
    <w:nsid w:val="31264207"/>
    <w:multiLevelType w:val="multilevel"/>
    <w:tmpl w:val="A17803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7E124A"/>
    <w:multiLevelType w:val="multilevel"/>
    <w:tmpl w:val="B414D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03332B"/>
    <w:multiLevelType w:val="multilevel"/>
    <w:tmpl w:val="7B26FF56"/>
    <w:lvl w:ilvl="0">
      <w:start w:val="1"/>
      <w:numFmt w:val="decimal"/>
      <w:lvlText w:val="%1."/>
      <w:lvlJc w:val="left"/>
      <w:pPr>
        <w:tabs>
          <w:tab w:val="num" w:pos="1065"/>
        </w:tabs>
        <w:ind w:left="1065" w:hanging="705"/>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16C042C"/>
    <w:multiLevelType w:val="multilevel"/>
    <w:tmpl w:val="7CFA1214"/>
    <w:lvl w:ilvl="0">
      <w:start w:val="1"/>
      <w:numFmt w:val="decimal"/>
      <w:lvlText w:val="%1."/>
      <w:lvlJc w:val="left"/>
      <w:pPr>
        <w:tabs>
          <w:tab w:val="num" w:pos="1065"/>
        </w:tabs>
        <w:ind w:left="1065" w:hanging="705"/>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6042F08"/>
    <w:multiLevelType w:val="multilevel"/>
    <w:tmpl w:val="E79845BE"/>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11">
    <w:nsid w:val="59641E7B"/>
    <w:multiLevelType w:val="multilevel"/>
    <w:tmpl w:val="0B90E6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53A2C9B"/>
    <w:multiLevelType w:val="multilevel"/>
    <w:tmpl w:val="DEE46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6709167B"/>
    <w:multiLevelType w:val="multilevel"/>
    <w:tmpl w:val="200A95CE"/>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8E5BBD"/>
    <w:multiLevelType w:val="multilevel"/>
    <w:tmpl w:val="3FDEB5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225"/>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D633D41"/>
    <w:multiLevelType w:val="multilevel"/>
    <w:tmpl w:val="3A0C5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FD20ADD"/>
    <w:multiLevelType w:val="multilevel"/>
    <w:tmpl w:val="CE06716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3"/>
  </w:num>
  <w:num w:numId="2">
    <w:abstractNumId w:val="8"/>
  </w:num>
  <w:num w:numId="3">
    <w:abstractNumId w:val="2"/>
  </w:num>
  <w:num w:numId="4">
    <w:abstractNumId w:val="6"/>
  </w:num>
  <w:num w:numId="5">
    <w:abstractNumId w:val="9"/>
  </w:num>
  <w:num w:numId="6">
    <w:abstractNumId w:val="14"/>
  </w:num>
  <w:num w:numId="7">
    <w:abstractNumId w:val="15"/>
  </w:num>
  <w:num w:numId="8">
    <w:abstractNumId w:val="7"/>
  </w:num>
  <w:num w:numId="9">
    <w:abstractNumId w:val="4"/>
  </w:num>
  <w:num w:numId="10">
    <w:abstractNumId w:val="10"/>
  </w:num>
  <w:num w:numId="11">
    <w:abstractNumId w:val="16"/>
  </w:num>
  <w:num w:numId="12">
    <w:abstractNumId w:val="3"/>
  </w:num>
  <w:num w:numId="13">
    <w:abstractNumId w:val="12"/>
  </w:num>
  <w:num w:numId="14">
    <w:abstractNumId w:val="1"/>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59"/>
    <w:rsid w:val="000D739F"/>
    <w:rsid w:val="002C0E2F"/>
    <w:rsid w:val="003E2C59"/>
    <w:rsid w:val="00745106"/>
    <w:rsid w:val="00982834"/>
    <w:rsid w:val="00AC71CA"/>
    <w:rsid w:val="00D575DA"/>
    <w:rsid w:val="00D77063"/>
    <w:rsid w:val="00E05B63"/>
    <w:rsid w:val="00EC3490"/>
    <w:rsid w:val="00F862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50D99-CCA2-426F-AE92-7774DF36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968"/>
  </w:style>
  <w:style w:type="paragraph" w:styleId="Nadpis1">
    <w:name w:val="heading 1"/>
    <w:basedOn w:val="Normln"/>
    <w:next w:val="Normln"/>
    <w:qFormat/>
    <w:rsid w:val="005C4BCD"/>
    <w:pPr>
      <w:keepNext/>
      <w:spacing w:before="240" w:after="60"/>
      <w:outlineLvl w:val="0"/>
    </w:pPr>
    <w:rPr>
      <w:rFonts w:ascii="Trebuchet MS" w:hAnsi="Trebuchet MS" w:cs="Arial"/>
      <w:b/>
      <w:bCs/>
      <w:kern w:val="2"/>
      <w:sz w:val="32"/>
      <w:szCs w:val="32"/>
    </w:rPr>
  </w:style>
  <w:style w:type="paragraph" w:styleId="Nadpis2">
    <w:name w:val="heading 2"/>
    <w:basedOn w:val="Normln"/>
    <w:next w:val="Normln"/>
    <w:qFormat/>
    <w:rsid w:val="005C4BCD"/>
    <w:pPr>
      <w:keepNext/>
      <w:spacing w:before="240" w:after="60"/>
      <w:outlineLvl w:val="1"/>
    </w:pPr>
    <w:rPr>
      <w:rFonts w:ascii="Trebuchet MS" w:hAnsi="Trebuchet MS" w:cs="Arial"/>
      <w:b/>
      <w:bCs/>
      <w:iCs/>
      <w:sz w:val="28"/>
      <w:szCs w:val="28"/>
    </w:rPr>
  </w:style>
  <w:style w:type="paragraph" w:styleId="Nadpis3">
    <w:name w:val="heading 3"/>
    <w:basedOn w:val="Normln"/>
    <w:next w:val="Normln"/>
    <w:link w:val="Nadpis3Char"/>
    <w:qFormat/>
    <w:rsid w:val="005C4BCD"/>
    <w:pPr>
      <w:keepNext/>
      <w:spacing w:before="240" w:after="60"/>
      <w:outlineLvl w:val="2"/>
    </w:pPr>
    <w:rPr>
      <w:rFonts w:ascii="Trebuchet MS" w:hAnsi="Trebuchet MS" w:cs="Arial"/>
      <w:b/>
      <w:bCs/>
      <w:sz w:val="26"/>
      <w:szCs w:val="26"/>
    </w:rPr>
  </w:style>
  <w:style w:type="paragraph" w:styleId="Nadpis4">
    <w:name w:val="heading 4"/>
    <w:basedOn w:val="Normln"/>
    <w:next w:val="Normln"/>
    <w:qFormat/>
    <w:rsid w:val="004C0968"/>
    <w:pPr>
      <w:keepNext/>
      <w:tabs>
        <w:tab w:val="left" w:pos="1440"/>
      </w:tabs>
      <w:spacing w:before="240" w:after="60"/>
      <w:outlineLvl w:val="3"/>
    </w:pPr>
    <w:rPr>
      <w:b/>
      <w:bCs/>
      <w:sz w:val="28"/>
      <w:szCs w:val="28"/>
    </w:rPr>
  </w:style>
  <w:style w:type="paragraph" w:styleId="Nadpis5">
    <w:name w:val="heading 5"/>
    <w:basedOn w:val="Normln"/>
    <w:next w:val="Normln"/>
    <w:qFormat/>
    <w:rsid w:val="004C0968"/>
    <w:pPr>
      <w:tabs>
        <w:tab w:val="left" w:pos="1800"/>
      </w:tabs>
      <w:spacing w:before="240" w:after="60"/>
      <w:outlineLvl w:val="4"/>
    </w:pPr>
    <w:rPr>
      <w:b/>
      <w:bCs/>
      <w:i/>
      <w:iCs/>
      <w:sz w:val="26"/>
      <w:szCs w:val="26"/>
    </w:rPr>
  </w:style>
  <w:style w:type="paragraph" w:styleId="Nadpis6">
    <w:name w:val="heading 6"/>
    <w:basedOn w:val="Normln"/>
    <w:next w:val="Normln"/>
    <w:qFormat/>
    <w:rsid w:val="004C0968"/>
    <w:pPr>
      <w:tabs>
        <w:tab w:val="left" w:pos="2160"/>
      </w:tabs>
      <w:spacing w:before="240" w:after="60"/>
      <w:outlineLvl w:val="5"/>
    </w:pPr>
    <w:rPr>
      <w:b/>
      <w:bCs/>
      <w:sz w:val="22"/>
      <w:szCs w:val="22"/>
    </w:rPr>
  </w:style>
  <w:style w:type="paragraph" w:styleId="Nadpis7">
    <w:name w:val="heading 7"/>
    <w:basedOn w:val="Normln"/>
    <w:next w:val="Normln"/>
    <w:qFormat/>
    <w:rsid w:val="004C0968"/>
    <w:pPr>
      <w:tabs>
        <w:tab w:val="left" w:pos="1296"/>
      </w:tabs>
      <w:spacing w:before="240" w:after="60"/>
      <w:ind w:left="1296" w:hanging="1296"/>
      <w:outlineLvl w:val="6"/>
    </w:pPr>
  </w:style>
  <w:style w:type="paragraph" w:styleId="Nadpis8">
    <w:name w:val="heading 8"/>
    <w:basedOn w:val="Normln"/>
    <w:next w:val="Normln"/>
    <w:qFormat/>
    <w:rsid w:val="004C0968"/>
    <w:pPr>
      <w:tabs>
        <w:tab w:val="left" w:pos="1440"/>
      </w:tabs>
      <w:spacing w:before="240" w:after="60"/>
      <w:ind w:left="1440" w:hanging="1440"/>
      <w:outlineLvl w:val="7"/>
    </w:pPr>
    <w:rPr>
      <w:i/>
      <w:iCs/>
    </w:rPr>
  </w:style>
  <w:style w:type="paragraph" w:styleId="Nadpis9">
    <w:name w:val="heading 9"/>
    <w:basedOn w:val="Normln"/>
    <w:next w:val="Normln"/>
    <w:qFormat/>
    <w:rsid w:val="004C0968"/>
    <w:pPr>
      <w:tabs>
        <w:tab w:val="left"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4C0968"/>
  </w:style>
  <w:style w:type="character" w:styleId="Odkaznakoment">
    <w:name w:val="annotation reference"/>
    <w:uiPriority w:val="99"/>
    <w:semiHidden/>
    <w:qFormat/>
    <w:rsid w:val="002F7A3C"/>
    <w:rPr>
      <w:sz w:val="16"/>
      <w:szCs w:val="16"/>
    </w:rPr>
  </w:style>
  <w:style w:type="character" w:customStyle="1" w:styleId="platne1">
    <w:name w:val="platne1"/>
    <w:basedOn w:val="Standardnpsmoodstavce"/>
    <w:qFormat/>
    <w:rsid w:val="00D5356B"/>
  </w:style>
  <w:style w:type="character" w:customStyle="1" w:styleId="Internetovodkaz">
    <w:name w:val="Internetový odkaz"/>
    <w:uiPriority w:val="99"/>
    <w:rsid w:val="00A21161"/>
    <w:rPr>
      <w:color w:val="0000FF"/>
      <w:u w:val="single"/>
    </w:rPr>
  </w:style>
  <w:style w:type="character" w:customStyle="1" w:styleId="TextkomenteChar">
    <w:name w:val="Text komentáře Char"/>
    <w:link w:val="Textkomente"/>
    <w:uiPriority w:val="99"/>
    <w:qFormat/>
    <w:rsid w:val="00E64FCF"/>
  </w:style>
  <w:style w:type="character" w:customStyle="1" w:styleId="ZhlavChar">
    <w:name w:val="Záhlaví Char"/>
    <w:link w:val="Zhlav"/>
    <w:qFormat/>
    <w:rsid w:val="00E7542F"/>
  </w:style>
  <w:style w:type="character" w:customStyle="1" w:styleId="Nadpis3Char">
    <w:name w:val="Nadpis 3 Char"/>
    <w:basedOn w:val="Standardnpsmoodstavce"/>
    <w:link w:val="Nadpis3"/>
    <w:qFormat/>
    <w:rsid w:val="002C20B6"/>
    <w:rPr>
      <w:rFonts w:ascii="Trebuchet MS" w:hAnsi="Trebuchet MS" w:cs="Arial"/>
      <w:b/>
      <w:bCs/>
      <w:sz w:val="26"/>
      <w:szCs w:val="26"/>
    </w:rPr>
  </w:style>
  <w:style w:type="character" w:customStyle="1" w:styleId="Styl1-varianta1Char">
    <w:name w:val="Styl1-varianta 1 Char"/>
    <w:basedOn w:val="Nadpis3Char"/>
    <w:qFormat/>
    <w:rsid w:val="002C20B6"/>
    <w:rPr>
      <w:rFonts w:ascii="Arial" w:hAnsi="Arial" w:cs="Arial"/>
      <w:b/>
      <w:bCs w:val="0"/>
      <w:sz w:val="26"/>
      <w:szCs w:val="26"/>
    </w:rPr>
  </w:style>
  <w:style w:type="character" w:customStyle="1" w:styleId="lnek-odstavecChar">
    <w:name w:val="Článek - odstavec Char"/>
    <w:basedOn w:val="Standardnpsmoodstavce"/>
    <w:qFormat/>
    <w:rsid w:val="002C20B6"/>
    <w:rPr>
      <w:rFonts w:ascii="Arial" w:hAnsi="Arial" w:cs="Arial"/>
      <w:b/>
      <w:sz w:val="22"/>
    </w:rPr>
  </w:style>
  <w:style w:type="character" w:customStyle="1" w:styleId="ZkladntextChar">
    <w:name w:val="Základní text Char"/>
    <w:link w:val="Zkladntext"/>
    <w:qFormat/>
    <w:rsid w:val="005953A2"/>
  </w:style>
  <w:style w:type="character" w:customStyle="1" w:styleId="PodtitulChar">
    <w:name w:val="Podtitul Char"/>
    <w:basedOn w:val="Standardnpsmoodstavce"/>
    <w:link w:val="Podtitul"/>
    <w:qFormat/>
    <w:rsid w:val="006605D3"/>
    <w:rPr>
      <w:rFonts w:asciiTheme="majorHAnsi" w:eastAsiaTheme="majorEastAsia" w:hAnsiTheme="majorHAnsi" w:cstheme="majorBidi"/>
      <w:i/>
      <w:iCs/>
      <w:color w:val="4F81BD" w:themeColor="accent1"/>
      <w:spacing w:val="15"/>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4C096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5C4BCD"/>
    <w:pPr>
      <w:tabs>
        <w:tab w:val="center" w:pos="4536"/>
        <w:tab w:val="right" w:pos="9072"/>
      </w:tabs>
    </w:pPr>
  </w:style>
  <w:style w:type="paragraph" w:styleId="Zpat">
    <w:name w:val="footer"/>
    <w:basedOn w:val="Normln"/>
    <w:rsid w:val="005C4BCD"/>
    <w:pPr>
      <w:tabs>
        <w:tab w:val="center" w:pos="4536"/>
        <w:tab w:val="right" w:pos="9072"/>
      </w:tabs>
    </w:pPr>
  </w:style>
  <w:style w:type="paragraph" w:styleId="Zkladntext2">
    <w:name w:val="Body Text 2"/>
    <w:basedOn w:val="Normln"/>
    <w:qFormat/>
    <w:rsid w:val="004C0968"/>
    <w:pPr>
      <w:suppressAutoHyphens/>
    </w:pPr>
    <w:rPr>
      <w:rFonts w:ascii="Tahoma" w:hAnsi="Tahoma" w:cs="Tahoma"/>
      <w:b/>
      <w:bCs/>
      <w:lang w:eastAsia="ar-SA"/>
    </w:rPr>
  </w:style>
  <w:style w:type="paragraph" w:styleId="Textkomente">
    <w:name w:val="annotation text"/>
    <w:basedOn w:val="Normln"/>
    <w:link w:val="TextkomenteChar"/>
    <w:uiPriority w:val="99"/>
    <w:qFormat/>
    <w:rsid w:val="002F7A3C"/>
  </w:style>
  <w:style w:type="paragraph" w:styleId="Pedmtkomente">
    <w:name w:val="annotation subject"/>
    <w:basedOn w:val="Textkomente"/>
    <w:next w:val="Textkomente"/>
    <w:semiHidden/>
    <w:qFormat/>
    <w:rsid w:val="002F7A3C"/>
    <w:rPr>
      <w:b/>
      <w:bCs/>
    </w:rPr>
  </w:style>
  <w:style w:type="paragraph" w:styleId="Textbubliny">
    <w:name w:val="Balloon Text"/>
    <w:basedOn w:val="Normln"/>
    <w:semiHidden/>
    <w:qFormat/>
    <w:rsid w:val="002F7A3C"/>
    <w:rPr>
      <w:rFonts w:ascii="Tahoma" w:hAnsi="Tahoma" w:cs="Tahoma"/>
      <w:sz w:val="16"/>
      <w:szCs w:val="16"/>
    </w:rPr>
  </w:style>
  <w:style w:type="paragraph" w:customStyle="1" w:styleId="Oddlova">
    <w:name w:val="Oddělovač"/>
    <w:basedOn w:val="Normln"/>
    <w:next w:val="Normln"/>
    <w:qFormat/>
    <w:rsid w:val="00D132C3"/>
    <w:pPr>
      <w:shd w:val="clear" w:color="auto" w:fill="0C0C0C"/>
      <w:spacing w:before="240" w:after="120"/>
      <w:ind w:left="181" w:hanging="181"/>
      <w:jc w:val="center"/>
    </w:pPr>
    <w:rPr>
      <w:rFonts w:ascii="Arial" w:hAnsi="Arial"/>
      <w:b/>
      <w:color w:val="FFFFFF"/>
      <w:sz w:val="28"/>
    </w:rPr>
  </w:style>
  <w:style w:type="paragraph" w:customStyle="1" w:styleId="Char">
    <w:name w:val="Char"/>
    <w:basedOn w:val="Normln"/>
    <w:qFormat/>
    <w:rsid w:val="00370B57"/>
    <w:pPr>
      <w:spacing w:after="160" w:line="240" w:lineRule="exact"/>
    </w:pPr>
    <w:rPr>
      <w:rFonts w:ascii="Verdana" w:hAnsi="Verdana"/>
      <w:lang w:val="en-US" w:eastAsia="en-US"/>
    </w:rPr>
  </w:style>
  <w:style w:type="paragraph" w:styleId="Nzev">
    <w:name w:val="Title"/>
    <w:basedOn w:val="Normln"/>
    <w:qFormat/>
    <w:rsid w:val="00CC7E94"/>
    <w:pPr>
      <w:jc w:val="center"/>
    </w:pPr>
    <w:rPr>
      <w:b/>
      <w:bCs/>
      <w:sz w:val="28"/>
      <w:szCs w:val="24"/>
    </w:rPr>
  </w:style>
  <w:style w:type="paragraph" w:styleId="Revize">
    <w:name w:val="Revision"/>
    <w:uiPriority w:val="99"/>
    <w:semiHidden/>
    <w:qFormat/>
    <w:rsid w:val="009C5087"/>
  </w:style>
  <w:style w:type="paragraph" w:styleId="Odstavecseseznamem">
    <w:name w:val="List Paragraph"/>
    <w:basedOn w:val="Normln"/>
    <w:uiPriority w:val="34"/>
    <w:qFormat/>
    <w:rsid w:val="00B73203"/>
    <w:pPr>
      <w:ind w:left="720"/>
      <w:contextualSpacing/>
    </w:pPr>
    <w:rPr>
      <w:rFonts w:eastAsia="Calibri"/>
      <w:sz w:val="24"/>
      <w:szCs w:val="22"/>
      <w:lang w:eastAsia="en-US"/>
    </w:rPr>
  </w:style>
  <w:style w:type="paragraph" w:customStyle="1" w:styleId="nadpislnku">
    <w:name w:val="nadpis článku"/>
    <w:basedOn w:val="Normln"/>
    <w:next w:val="Normln"/>
    <w:qFormat/>
    <w:rsid w:val="00B73203"/>
    <w:pPr>
      <w:keepNext/>
      <w:spacing w:before="360" w:after="240"/>
      <w:jc w:val="center"/>
    </w:pPr>
    <w:rPr>
      <w:b/>
      <w:i/>
      <w:sz w:val="24"/>
      <w:szCs w:val="24"/>
    </w:rPr>
  </w:style>
  <w:style w:type="paragraph" w:customStyle="1" w:styleId="Default">
    <w:name w:val="Default"/>
    <w:qFormat/>
    <w:rsid w:val="00612ED7"/>
    <w:rPr>
      <w:rFonts w:ascii="Arial" w:hAnsi="Arial" w:cs="Arial"/>
      <w:color w:val="000000"/>
      <w:sz w:val="24"/>
      <w:szCs w:val="24"/>
    </w:rPr>
  </w:style>
  <w:style w:type="paragraph" w:customStyle="1" w:styleId="Styl1-varianta1">
    <w:name w:val="Styl1-varianta 1"/>
    <w:basedOn w:val="Nadpis3"/>
    <w:qFormat/>
    <w:rsid w:val="002C20B6"/>
    <w:pPr>
      <w:spacing w:before="480" w:after="360"/>
    </w:pPr>
    <w:rPr>
      <w:rFonts w:ascii="Arial" w:hAnsi="Arial"/>
      <w:bCs w:val="0"/>
      <w:sz w:val="20"/>
      <w:szCs w:val="20"/>
    </w:rPr>
  </w:style>
  <w:style w:type="paragraph" w:customStyle="1" w:styleId="lnek-odstavec">
    <w:name w:val="Článek - odstavec"/>
    <w:basedOn w:val="Normln"/>
    <w:qFormat/>
    <w:rsid w:val="002C20B6"/>
    <w:pPr>
      <w:spacing w:before="600"/>
      <w:jc w:val="center"/>
    </w:pPr>
    <w:rPr>
      <w:rFonts w:ascii="Arial" w:hAnsi="Arial" w:cs="Arial"/>
      <w:b/>
      <w:sz w:val="22"/>
    </w:rPr>
  </w:style>
  <w:style w:type="paragraph" w:styleId="Podtitul">
    <w:name w:val="Subtitle"/>
    <w:basedOn w:val="Normln"/>
    <w:next w:val="Normln"/>
    <w:link w:val="PodtitulChar"/>
    <w:qFormat/>
    <w:rsid w:val="006605D3"/>
    <w:rPr>
      <w:rFonts w:asciiTheme="majorHAnsi" w:eastAsiaTheme="majorEastAsia" w:hAnsiTheme="majorHAnsi" w:cstheme="majorBidi"/>
      <w:i/>
      <w:iCs/>
      <w:color w:val="4F81BD" w:themeColor="accent1"/>
      <w:spacing w:val="15"/>
      <w:sz w:val="24"/>
      <w:szCs w:val="24"/>
    </w:rPr>
  </w:style>
  <w:style w:type="table" w:styleId="Mkatabulky">
    <w:name w:val="Table Grid"/>
    <w:basedOn w:val="Normlntabulka"/>
    <w:rsid w:val="00130C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t.cz/soubory-ke-stazen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379A8719115B4C8021D89EBD8ED4A5" ma:contentTypeVersion="0" ma:contentTypeDescription="Vytvoří nový dokument" ma:contentTypeScope="" ma:versionID="1a0727aa45c86786508a49abb6480ff4">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DC4BC6-78AB-4778-9FEC-974E49602FF1}">
  <ds:schemaRefs>
    <ds:schemaRef ds:uri="http://schemas.microsoft.com/sharepoint/v3/contenttype/forms"/>
  </ds:schemaRefs>
</ds:datastoreItem>
</file>

<file path=customXml/itemProps2.xml><?xml version="1.0" encoding="utf-8"?>
<ds:datastoreItem xmlns:ds="http://schemas.openxmlformats.org/officeDocument/2006/customXml" ds:itemID="{7465CB83-6429-4CDA-8015-A948828D7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822F04-AA29-4129-8A2B-F645C5881A2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CFEE506-32FA-4DE5-A044-C4415681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Šablona_ HLAVIČKOVÝ_PAPÍR_BEZ_ADRESY_A_PRUHU</vt:lpstr>
    </vt:vector>
  </TitlesOfParts>
  <Company>ČD-Telematika a. s.</Company>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Šablona_ HLAVIČKOVÝ_PAPÍR_BEZ_ADRESY_A_PRUHU</dc:title>
  <dc:subject/>
  <dc:creator>Jiří Havlík</dc:creator>
  <cp:keywords>ŠABLONA</cp:keywords>
  <dc:description/>
  <cp:lastModifiedBy>Vaněčková Ivana</cp:lastModifiedBy>
  <cp:revision>2</cp:revision>
  <cp:lastPrinted>2021-02-11T08:43:00Z</cp:lastPrinted>
  <dcterms:created xsi:type="dcterms:W3CDTF">2021-04-08T06:04:00Z</dcterms:created>
  <dcterms:modified xsi:type="dcterms:W3CDTF">2021-04-08T06:04:00Z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ČD-Telematika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0x01010082379A8719115B4C8021D89EBD8ED4A5</vt:lpwstr>
  </property>
</Properties>
</file>