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81455" cy="36576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1455" cy="365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3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2021002044</w:t>
      </w:r>
    </w:p>
    <w:p>
      <w:pPr>
        <w:widowControl w:val="0"/>
        <w:spacing w:after="69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kupní smlouvě ze dne 25.11.2020, / dále jen „ smlouva “ /, uzavřené mezi</w:t>
      </w:r>
    </w:p>
    <w:tbl>
      <w:tblPr>
        <w:tblOverlap w:val="never"/>
        <w:jc w:val="center"/>
        <w:tblLayout w:type="fixed"/>
      </w:tblPr>
      <w:tblGrid>
        <w:gridCol w:w="2621"/>
        <w:gridCol w:w="6498"/>
      </w:tblGrid>
      <w:tr>
        <w:trPr>
          <w:trHeight w:val="55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Zdravotnická záchranná služba Jihomoravského kraje, příspěvková organizace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Kamenice 798/1 d, 625 00 Brno</w:t>
            </w:r>
          </w:p>
        </w:tc>
      </w:tr>
      <w:tr>
        <w:trPr>
          <w:trHeight w:val="28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MUDr. Hana Albrechtová, ředitelka</w:t>
            </w:r>
          </w:p>
        </w:tc>
      </w:tr>
      <w:tr>
        <w:trPr>
          <w:trHeight w:val="5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10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11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2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...........</w:t>
            </w:r>
            <w:r>
              <w:rPr>
                <w:color w:val="000000"/>
                <w:spacing w:val="3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color w:val="000000"/>
                <w:spacing w:val="1"/>
                <w:w w:val="100"/>
                <w:position w:val="0"/>
                <w:sz w:val="24"/>
                <w:szCs w:val="24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color w:val="000000"/>
                <w:spacing w:val="2"/>
                <w:w w:val="100"/>
                <w:position w:val="0"/>
                <w:sz w:val="24"/>
                <w:szCs w:val="24"/>
                <w:u w:val="single"/>
                <w:shd w:val="clear" w:color="auto" w:fill="000000"/>
                <w:lang w:val="en-US" w:eastAsia="en-US" w:bidi="en-US"/>
              </w:rPr>
              <w:t>..........................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10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11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7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8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5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6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...</w:t>
            </w:r>
          </w:p>
        </w:tc>
      </w:tr>
      <w:tr>
        <w:trPr>
          <w:trHeight w:val="27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00346292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CZ00346292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tabs>
          <w:tab w:pos="2862" w:val="left"/>
        </w:tabs>
        <w:bidi w:val="0"/>
        <w:spacing w:before="0" w:after="0" w:line="240" w:lineRule="auto"/>
        <w:ind w:left="18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Zápis v OR:</w:t>
        <w:tab/>
        <w:t>Krajský soud v Brně sp. zn. Pr 1245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Bankovní spojení (číslo účtu): MONETA Money Bank, a.s., č. ú. </w:t>
      </w:r>
      <w:r>
        <w:rPr>
          <w:color w:val="000000"/>
          <w:spacing w:val="1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................</w:t>
      </w:r>
      <w:r>
        <w:rPr>
          <w:color w:val="000000"/>
          <w:spacing w:val="2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..........</w:t>
      </w:r>
    </w:p>
    <w:p>
      <w:pPr>
        <w:widowControl w:val="0"/>
        <w:spacing w:after="25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,,kupující“)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center"/>
        <w:tblLayout w:type="fixed"/>
      </w:tblPr>
      <w:tblGrid>
        <w:gridCol w:w="2621"/>
        <w:gridCol w:w="6494"/>
      </w:tblGrid>
      <w:tr>
        <w:trPr>
          <w:trHeight w:val="26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FOSAN s.r.o.</w:t>
            </w:r>
          </w:p>
        </w:tc>
      </w:tr>
      <w:tr>
        <w:trPr>
          <w:trHeight w:val="27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Řeznovice 86, 664 91 Ivančice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Jan Ryška - jednatel</w:t>
            </w:r>
          </w:p>
        </w:tc>
      </w:tr>
      <w:tr>
        <w:trPr>
          <w:trHeight w:val="5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Kontaktní osoba: 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color w:val="000000"/>
                <w:spacing w:val="8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9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4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........</w:t>
            </w:r>
            <w:r>
              <w:rPr>
                <w:color w:val="000000"/>
                <w:spacing w:val="5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8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9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6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7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.............</w:t>
            </w:r>
            <w:r>
              <w:rPr>
                <w:color w:val="000000"/>
                <w:spacing w:val="4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5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6"/>
                <w:w w:val="100"/>
                <w:position w:val="0"/>
                <w:sz w:val="24"/>
                <w:szCs w:val="24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 64509214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CZ64509214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tabs>
          <w:tab w:pos="283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Zápis v OR:</w:t>
        <w:tab/>
        <w:t>vedeném KS v Brně, oddíl C, vložka 221839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Bankovní spojení (číslo účtu): KB a.s., pobočka Ivančice, č.ú. </w:t>
      </w:r>
      <w:r>
        <w:rPr>
          <w:color w:val="000000"/>
          <w:spacing w:val="1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2"/>
          <w:w w:val="100"/>
          <w:position w:val="0"/>
          <w:sz w:val="24"/>
          <w:szCs w:val="24"/>
          <w:shd w:val="clear" w:color="auto" w:fill="000000"/>
          <w:lang w:val="cs-CZ" w:eastAsia="cs-CZ" w:bidi="cs-CZ"/>
        </w:rPr>
        <w:t>.........................</w:t>
      </w:r>
    </w:p>
    <w:p>
      <w:pPr>
        <w:widowControl w:val="0"/>
        <w:spacing w:after="25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„prodávající“)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čl. 3 smlouvy se vkládá nový čl. 3a, který zní takto 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Lhůta plnění podle čl. 3 této smlouvy se staví a neběží pro překážky, které nejsou na straně prodávajícího, a to po dobu trvání této překážky. Překážkou ve smyslu tohoto článku této smlouvy se rozumí zejména a/ prodlení kupujícího s přijetím nabídnutého plnění, b/ okolnosti vis maior.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60" w:line="240" w:lineRule="auto"/>
        <w:ind w:left="0" w:right="0" w:firstLine="0"/>
        <w:jc w:val="center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 smlouvy nejsou tímto dodatkem nijak dotčena.</w:t>
      </w:r>
      <w:r>
        <w:br w:type="page"/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60" w:line="240" w:lineRule="auto"/>
        <w:ind w:left="0" w:right="0" w:firstLine="0"/>
        <w:jc w:val="center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nabývá účinnosti dnem jeho uzavření.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60" w:line="240" w:lineRule="auto"/>
        <w:ind w:left="4380" w:right="0" w:firstLine="0"/>
        <w:jc w:val="lef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Dáno v Brně dne 25.2.2021 ve dvou originálních písemných vyhotoveních, z nichž každá ze smluvních stran obdrží po jednom.</w:t>
      </w:r>
    </w:p>
    <w:p>
      <w:pPr>
        <w:pStyle w:val="Style35"/>
        <w:keepNext w:val="0"/>
        <w:keepLines w:val="0"/>
        <w:widowControl w:val="0"/>
        <w:shd w:val="clear" w:color="auto" w:fill="auto"/>
        <w:tabs>
          <w:tab w:pos="1984" w:val="left"/>
        </w:tabs>
        <w:bidi w:val="0"/>
        <w:spacing w:before="0" w:after="0"/>
        <w:ind w:left="0" w:right="0" w:firstLine="0"/>
        <w:jc w:val="center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4158615</wp:posOffset>
            </wp:positionH>
            <wp:positionV relativeFrom="margin">
              <wp:posOffset>2290445</wp:posOffset>
            </wp:positionV>
            <wp:extent cx="1621790" cy="1371600"/>
            <wp:wrapSquare wrapText="left"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621790" cy="13716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495935" distL="226060" distR="2265680" simplePos="0" relativeHeight="125829379" behindDoc="0" locked="0" layoutInCell="1" allowOverlap="1">
            <wp:simplePos x="0" y="0"/>
            <wp:positionH relativeFrom="page">
              <wp:posOffset>900430</wp:posOffset>
            </wp:positionH>
            <wp:positionV relativeFrom="margin">
              <wp:posOffset>3181985</wp:posOffset>
            </wp:positionV>
            <wp:extent cx="1969135" cy="615950"/>
            <wp:wrapSquare wrapText="right"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969135" cy="6159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788670</wp:posOffset>
                </wp:positionH>
                <wp:positionV relativeFrom="margin">
                  <wp:posOffset>3712210</wp:posOffset>
                </wp:positionV>
                <wp:extent cx="1717040" cy="582930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7040" cy="582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MUDr. H</w:t>
                            </w:r>
                            <w:r>
                              <w:rPr>
                                <w:color w:val="000000"/>
                                <w:spacing w:val="8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spacing w:val="9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000000"/>
                                <w:lang w:val="cs-CZ" w:eastAsia="cs-CZ" w:bidi="cs-CZ"/>
                              </w:rPr>
                              <w:t>.............</w:t>
                            </w:r>
                            <w:r>
                              <w:rPr>
                                <w:color w:val="000000"/>
                                <w:spacing w:val="4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000000"/>
                                <w:lang w:val="cs-CZ" w:eastAsia="cs-CZ" w:bidi="cs-CZ"/>
                              </w:rPr>
                              <w:t>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 ředitelka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62.100000000000001pt;margin-top:292.30000000000001pt;width:135.19999999999999pt;height:45.899999999999999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MUDr. H</w:t>
                      </w:r>
                      <w:r>
                        <w:rPr>
                          <w:color w:val="000000"/>
                          <w:spacing w:val="8"/>
                          <w:w w:val="100"/>
                          <w:position w:val="0"/>
                          <w:sz w:val="24"/>
                          <w:szCs w:val="24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color w:val="000000"/>
                          <w:spacing w:val="9"/>
                          <w:w w:val="100"/>
                          <w:position w:val="0"/>
                          <w:sz w:val="24"/>
                          <w:szCs w:val="24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z w:val="24"/>
                          <w:szCs w:val="24"/>
                          <w:shd w:val="clear" w:color="auto" w:fill="000000"/>
                          <w:lang w:val="cs-CZ" w:eastAsia="cs-CZ" w:bidi="cs-CZ"/>
                        </w:rPr>
                        <w:t>.............</w:t>
                      </w:r>
                      <w:r>
                        <w:rPr>
                          <w:color w:val="000000"/>
                          <w:spacing w:val="4"/>
                          <w:w w:val="100"/>
                          <w:position w:val="0"/>
                          <w:sz w:val="24"/>
                          <w:szCs w:val="24"/>
                          <w:shd w:val="clear" w:color="auto" w:fill="000000"/>
                          <w:lang w:val="cs-CZ" w:eastAsia="cs-CZ" w:bidi="cs-CZ"/>
                        </w:rPr>
                        <w:t>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 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Kupující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28320" distB="10795" distL="3490595" distR="114935" simplePos="0" relativeHeight="125829380" behindDoc="0" locked="0" layoutInCell="1" allowOverlap="1">
                <wp:simplePos x="0" y="0"/>
                <wp:positionH relativeFrom="page">
                  <wp:posOffset>4164965</wp:posOffset>
                </wp:positionH>
                <wp:positionV relativeFrom="margin">
                  <wp:posOffset>3710305</wp:posOffset>
                </wp:positionV>
                <wp:extent cx="854710" cy="574040"/>
                <wp:wrapSquare wrapText="right"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4710" cy="574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Jan Ryška jednatel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27.94999999999999pt;margin-top:292.15000000000003pt;width:67.299999999999997pt;height:45.200000000000003pt;z-index:-125829373;mso-wrap-distance-left:274.85000000000002pt;mso-wrap-distance-top:41.600000000000001pt;mso-wrap-distance-right:9.0500000000000007pt;mso-wrap-distance-bottom:0.8499999999999999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Jan Ryška jednatel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Prodávající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ŘEZNOVICE 86. 664 91</w:t>
        <w:tab/>
      </w:r>
      <w:r>
        <w:rPr>
          <w:color w:val="76A3E5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/>
        <w:ind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tel.Hax:</w:t>
      </w:r>
      <w:r>
        <w:rPr>
          <w:b/>
          <w:bCs/>
          <w:i w:val="0"/>
          <w:iCs w:val="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 546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452 912 l&amp;D: 64600214 DIČ:</w:t>
      </w:r>
    </w:p>
    <w:sectPr>
      <w:footnotePr>
        <w:pos w:val="pageBottom"/>
        <w:numFmt w:val="decimal"/>
        <w:numRestart w:val="continuous"/>
      </w:footnotePr>
      <w:pgSz w:w="11900" w:h="16840"/>
      <w:pgMar w:top="406" w:right="1237" w:bottom="1628" w:left="1239" w:header="0" w:footer="120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Jiné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6">
    <w:name w:val="Základní text (2)_"/>
    <w:basedOn w:val="DefaultParagraphFont"/>
    <w:link w:val="Style35"/>
    <w:rPr>
      <w:rFonts w:ascii="Arial" w:eastAsia="Arial" w:hAnsi="Arial" w:cs="Arial"/>
      <w:b w:val="0"/>
      <w:bCs w:val="0"/>
      <w:i/>
      <w:iCs/>
      <w:smallCaps w:val="0"/>
      <w:strike w:val="0"/>
      <w:color w:val="3C7DD8"/>
      <w:sz w:val="13"/>
      <w:szCs w:val="13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  <w:spacing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  <w:spacing w:after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auto"/>
      <w:spacing w:after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35">
    <w:name w:val="Základní text (2)"/>
    <w:basedOn w:val="Normal"/>
    <w:link w:val="CharStyle36"/>
    <w:pPr>
      <w:widowControl w:val="0"/>
      <w:shd w:val="clear" w:color="auto" w:fill="auto"/>
      <w:spacing w:line="276" w:lineRule="auto"/>
      <w:ind w:left="280" w:right="160"/>
      <w:jc w:val="right"/>
    </w:pPr>
    <w:rPr>
      <w:rFonts w:ascii="Arial" w:eastAsia="Arial" w:hAnsi="Arial" w:cs="Arial"/>
      <w:b w:val="0"/>
      <w:bCs w:val="0"/>
      <w:i/>
      <w:iCs/>
      <w:smallCaps w:val="0"/>
      <w:strike w:val="0"/>
      <w:color w:val="3C7DD8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22C-6e-20210406110123</dc:title>
  <dc:subject/>
  <dc:creator/>
  <cp:keywords/>
</cp:coreProperties>
</file>