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85" w:rsidRDefault="005A3185">
      <w:pPr>
        <w:pStyle w:val="Zkladntext"/>
        <w:rPr>
          <w:rFonts w:ascii="Times New Roman"/>
        </w:rPr>
      </w:pPr>
    </w:p>
    <w:p w:rsidR="005A3185" w:rsidRDefault="005A3185">
      <w:pPr>
        <w:pStyle w:val="Zkladntext"/>
        <w:rPr>
          <w:rFonts w:ascii="Times New Roman"/>
        </w:rPr>
      </w:pPr>
    </w:p>
    <w:p w:rsidR="005A3185" w:rsidRDefault="005A3185">
      <w:pPr>
        <w:pStyle w:val="Zkladntext"/>
        <w:rPr>
          <w:rFonts w:ascii="Times New Roman"/>
        </w:rPr>
      </w:pPr>
    </w:p>
    <w:p w:rsidR="005A3185" w:rsidRDefault="005A3185">
      <w:pPr>
        <w:pStyle w:val="Zkladntext"/>
        <w:rPr>
          <w:rFonts w:ascii="Times New Roman"/>
        </w:rPr>
      </w:pPr>
    </w:p>
    <w:p w:rsidR="005A3185" w:rsidRDefault="005A3185">
      <w:pPr>
        <w:pStyle w:val="Zkladntext"/>
        <w:spacing w:before="7"/>
        <w:rPr>
          <w:rFonts w:ascii="Times New Roman"/>
          <w:sz w:val="21"/>
        </w:rPr>
      </w:pPr>
    </w:p>
    <w:p w:rsidR="005A3185" w:rsidRDefault="00C964F8">
      <w:pPr>
        <w:pStyle w:val="Nadpis3"/>
      </w:pPr>
      <w:r>
        <w:t>Olympus Czech Group, s.r.o., člen koncernu</w:t>
      </w:r>
    </w:p>
    <w:p w:rsidR="005A3185" w:rsidRDefault="005A3185">
      <w:pPr>
        <w:pStyle w:val="Zkladntext"/>
        <w:spacing w:before="4"/>
        <w:rPr>
          <w:b/>
          <w:sz w:val="25"/>
        </w:rPr>
      </w:pPr>
    </w:p>
    <w:p w:rsidR="005A3185" w:rsidRDefault="00C964F8">
      <w:pPr>
        <w:pStyle w:val="Zkladntext"/>
        <w:ind w:left="1359"/>
      </w:pPr>
      <w:r>
        <w:t>jako PRODÁVAJÍCÍ</w:t>
      </w: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spacing w:before="3"/>
        <w:rPr>
          <w:sz w:val="19"/>
        </w:rPr>
      </w:pPr>
    </w:p>
    <w:p w:rsidR="005A3185" w:rsidRDefault="00C964F8">
      <w:pPr>
        <w:pStyle w:val="Nadpis3"/>
      </w:pPr>
      <w:r>
        <w:t>Fakultní nemocnice Brno</w:t>
      </w:r>
    </w:p>
    <w:p w:rsidR="005A3185" w:rsidRDefault="005A3185">
      <w:pPr>
        <w:pStyle w:val="Zkladntext"/>
        <w:spacing w:before="7"/>
        <w:rPr>
          <w:b/>
          <w:sz w:val="23"/>
        </w:rPr>
      </w:pPr>
    </w:p>
    <w:p w:rsidR="005A3185" w:rsidRDefault="00C964F8">
      <w:pPr>
        <w:pStyle w:val="Zkladntext"/>
        <w:ind w:left="1359"/>
      </w:pPr>
      <w:r>
        <w:t>jako KUPUJÍCÍ</w:t>
      </w: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5A3185">
      <w:pPr>
        <w:pStyle w:val="Zkladntext"/>
        <w:rPr>
          <w:sz w:val="22"/>
        </w:rPr>
      </w:pPr>
    </w:p>
    <w:p w:rsidR="005A3185" w:rsidRDefault="00C964F8">
      <w:pPr>
        <w:pStyle w:val="Nadpis1"/>
        <w:spacing w:before="130"/>
        <w:ind w:left="1251" w:right="725"/>
      </w:pPr>
      <w:r>
        <w:t>Dohoda o podmínkách poskytnutí odměny za odběr zboží</w:t>
      </w:r>
    </w:p>
    <w:p w:rsidR="005A3185" w:rsidRDefault="00C964F8">
      <w:pPr>
        <w:spacing w:before="290"/>
        <w:ind w:left="1251"/>
        <w:rPr>
          <w:sz w:val="18"/>
        </w:rPr>
      </w:pPr>
      <w:r>
        <w:rPr>
          <w:sz w:val="18"/>
        </w:rPr>
        <w:t>(KS i mimo KS)</w:t>
      </w:r>
    </w:p>
    <w:p w:rsidR="005A3185" w:rsidRDefault="005A3185">
      <w:pPr>
        <w:rPr>
          <w:sz w:val="18"/>
        </w:rPr>
        <w:sectPr w:rsidR="005A3185">
          <w:footerReference w:type="default" r:id="rId7"/>
          <w:type w:val="continuous"/>
          <w:pgSz w:w="11910" w:h="16840"/>
          <w:pgMar w:top="1580" w:right="1120" w:bottom="720" w:left="1300" w:header="708" w:footer="533" w:gutter="0"/>
          <w:pgNumType w:start="1"/>
          <w:cols w:space="708"/>
        </w:sectPr>
      </w:pPr>
    </w:p>
    <w:p w:rsidR="005A3185" w:rsidRDefault="00C964F8">
      <w:pPr>
        <w:pStyle w:val="Nadpis4"/>
        <w:spacing w:before="79"/>
      </w:pPr>
      <w:r>
        <w:lastRenderedPageBreak/>
        <w:t>UZAVŘENÁ MEZI:</w:t>
      </w:r>
    </w:p>
    <w:p w:rsidR="005A3185" w:rsidRDefault="005A3185">
      <w:pPr>
        <w:pStyle w:val="Zkladntext"/>
        <w:rPr>
          <w:b/>
          <w:sz w:val="22"/>
        </w:rPr>
      </w:pPr>
    </w:p>
    <w:p w:rsidR="005A3185" w:rsidRDefault="00C964F8">
      <w:pPr>
        <w:spacing w:before="158"/>
        <w:ind w:left="118"/>
        <w:rPr>
          <w:b/>
          <w:sz w:val="20"/>
        </w:rPr>
      </w:pPr>
      <w:r>
        <w:rPr>
          <w:b/>
          <w:sz w:val="20"/>
        </w:rPr>
        <w:t>Olympus Czech Group, s.r.o., člen koncernu</w:t>
      </w:r>
    </w:p>
    <w:p w:rsidR="005A3185" w:rsidRDefault="00C964F8">
      <w:pPr>
        <w:pStyle w:val="Zkladntext"/>
        <w:spacing w:before="1"/>
        <w:ind w:left="118"/>
      </w:pPr>
      <w:r>
        <w:t>se sídlem Evropská 176/16, 16041 Praha 6</w:t>
      </w:r>
    </w:p>
    <w:p w:rsidR="005A3185" w:rsidRDefault="00C964F8">
      <w:pPr>
        <w:pStyle w:val="Zkladntext"/>
        <w:ind w:left="118" w:right="7755"/>
      </w:pPr>
      <w:r>
        <w:t>IČO: 27068641 DIČ:</w:t>
      </w:r>
      <w:r>
        <w:rPr>
          <w:spacing w:val="-14"/>
        </w:rPr>
        <w:t xml:space="preserve"> </w:t>
      </w:r>
      <w:r>
        <w:t>CZ27068641</w:t>
      </w:r>
    </w:p>
    <w:p w:rsidR="005A3185" w:rsidRDefault="00C964F8">
      <w:pPr>
        <w:pStyle w:val="Zkladntext"/>
        <w:spacing w:line="229" w:lineRule="exact"/>
        <w:ind w:left="118"/>
      </w:pPr>
      <w:r>
        <w:t>zapsaná v obchodním rejstříku u Městského soudu v Praze, oddíl C, vložka 93921</w:t>
      </w:r>
    </w:p>
    <w:p w:rsidR="005A3185" w:rsidRDefault="00C964F8">
      <w:pPr>
        <w:pStyle w:val="Zkladntext"/>
        <w:spacing w:before="1" w:line="480" w:lineRule="auto"/>
        <w:ind w:left="118" w:right="3671"/>
      </w:pPr>
      <w:r>
        <w:t>zastoupená Radkem Šubotníkem a Ing. Ivo Lukešem, prokuristy (dále jen “</w:t>
      </w:r>
      <w:r>
        <w:rPr>
          <w:b/>
        </w:rPr>
        <w:t>Prodávající</w:t>
      </w:r>
      <w:r>
        <w:t>”)</w:t>
      </w:r>
    </w:p>
    <w:p w:rsidR="005A3185" w:rsidRDefault="00C964F8">
      <w:pPr>
        <w:pStyle w:val="Zkladntext"/>
        <w:spacing w:before="2"/>
        <w:ind w:left="118"/>
      </w:pPr>
      <w:r>
        <w:rPr>
          <w:w w:val="99"/>
        </w:rPr>
        <w:t>a</w:t>
      </w:r>
    </w:p>
    <w:p w:rsidR="005A3185" w:rsidRDefault="005A3185">
      <w:pPr>
        <w:pStyle w:val="Zkladntext"/>
        <w:spacing w:before="10"/>
        <w:rPr>
          <w:sz w:val="19"/>
        </w:rPr>
      </w:pPr>
    </w:p>
    <w:p w:rsidR="005A3185" w:rsidRDefault="00C964F8">
      <w:pPr>
        <w:pStyle w:val="Nadpis4"/>
      </w:pPr>
      <w:r>
        <w:t>Fakultní nemocnice Brno</w:t>
      </w:r>
    </w:p>
    <w:p w:rsidR="005A3185" w:rsidRDefault="00C964F8">
      <w:pPr>
        <w:pStyle w:val="Zkladntext"/>
        <w:ind w:left="118" w:right="4738"/>
      </w:pPr>
      <w:r>
        <w:t>se sídlem Jihlavská 340/20, 625 00 Brno - Bohunice IČO: 652 69 705</w:t>
      </w:r>
    </w:p>
    <w:p w:rsidR="005A3185" w:rsidRDefault="00C964F8">
      <w:pPr>
        <w:pStyle w:val="Zkladntext"/>
        <w:spacing w:before="1"/>
        <w:ind w:left="118"/>
      </w:pPr>
      <w:r>
        <w:t>DIČ: CZ 652 69 705</w:t>
      </w:r>
    </w:p>
    <w:p w:rsidR="005A3185" w:rsidRDefault="00C964F8">
      <w:pPr>
        <w:pStyle w:val="Zkladntext"/>
        <w:spacing w:before="1"/>
        <w:ind w:left="118" w:right="1037"/>
      </w:pPr>
      <w:r>
        <w:t>státní příspěvková organizace zřízená rozhodnutím Ministerstva zdravotnictví České republiky zastoupená prof. MUDr. Jaroslavem Štěrbou, Ph.D., ředitelem</w:t>
      </w:r>
    </w:p>
    <w:p w:rsidR="005A3185" w:rsidRDefault="005A3185">
      <w:pPr>
        <w:pStyle w:val="Zkladntext"/>
        <w:spacing w:before="10"/>
        <w:rPr>
          <w:sz w:val="19"/>
        </w:rPr>
      </w:pPr>
    </w:p>
    <w:p w:rsidR="005A3185" w:rsidRDefault="00C964F8">
      <w:pPr>
        <w:ind w:left="118"/>
        <w:rPr>
          <w:sz w:val="20"/>
        </w:rPr>
      </w:pPr>
      <w:r>
        <w:rPr>
          <w:sz w:val="20"/>
        </w:rPr>
        <w:t>(dále jen “</w:t>
      </w:r>
      <w:r>
        <w:rPr>
          <w:b/>
          <w:sz w:val="20"/>
        </w:rPr>
        <w:t>Kupující</w:t>
      </w:r>
      <w:r>
        <w:rPr>
          <w:sz w:val="20"/>
        </w:rPr>
        <w:t>”)</w:t>
      </w:r>
    </w:p>
    <w:p w:rsidR="005A3185" w:rsidRDefault="005A3185">
      <w:pPr>
        <w:pStyle w:val="Zkladntext"/>
        <w:spacing w:before="1"/>
      </w:pPr>
    </w:p>
    <w:p w:rsidR="005A3185" w:rsidRDefault="00C964F8">
      <w:pPr>
        <w:ind w:left="118"/>
        <w:rPr>
          <w:sz w:val="20"/>
        </w:rPr>
      </w:pPr>
      <w:r>
        <w:rPr>
          <w:sz w:val="20"/>
        </w:rPr>
        <w:t>(společně dále jen jako “</w:t>
      </w:r>
      <w:r>
        <w:rPr>
          <w:b/>
          <w:sz w:val="20"/>
        </w:rPr>
        <w:t>Účastníci dohody</w:t>
      </w:r>
      <w:r>
        <w:rPr>
          <w:sz w:val="20"/>
        </w:rPr>
        <w:t>”)</w:t>
      </w:r>
    </w:p>
    <w:p w:rsidR="005A3185" w:rsidRDefault="005A3185">
      <w:pPr>
        <w:pStyle w:val="Zkladntext"/>
        <w:rPr>
          <w:sz w:val="22"/>
        </w:rPr>
      </w:pPr>
    </w:p>
    <w:p w:rsidR="005A3185" w:rsidRDefault="005A3185">
      <w:pPr>
        <w:pStyle w:val="Zkladntext"/>
        <w:spacing w:before="11"/>
        <w:rPr>
          <w:sz w:val="17"/>
        </w:rPr>
      </w:pPr>
    </w:p>
    <w:p w:rsidR="005A3185" w:rsidRDefault="00C964F8">
      <w:pPr>
        <w:pStyle w:val="Zkladntext"/>
        <w:ind w:left="118" w:right="113"/>
      </w:pPr>
      <w:r>
        <w:t>uzavřeli níže uvedeného dne, měsíce a roku dle § 1746 odstavce 2 zákona č. 89/2012 Sb., občanského zákoníku (dále jen “</w:t>
      </w:r>
      <w:r>
        <w:rPr>
          <w:b/>
        </w:rPr>
        <w:t>Občanský zákoník</w:t>
      </w:r>
      <w:r>
        <w:t>”), tuto Dohodu o podmínkách poskytnutí odměny za odběr zboží (dále jen “</w:t>
      </w:r>
      <w:r>
        <w:rPr>
          <w:b/>
        </w:rPr>
        <w:t>Dohoda</w:t>
      </w:r>
      <w:r>
        <w:t>”):</w:t>
      </w:r>
    </w:p>
    <w:p w:rsidR="005A3185" w:rsidRDefault="005A3185">
      <w:pPr>
        <w:pStyle w:val="Zkladntext"/>
        <w:rPr>
          <w:sz w:val="22"/>
        </w:rPr>
      </w:pPr>
    </w:p>
    <w:p w:rsidR="005A3185" w:rsidRDefault="005A3185">
      <w:pPr>
        <w:pStyle w:val="Zkladntext"/>
        <w:rPr>
          <w:sz w:val="18"/>
        </w:rPr>
      </w:pPr>
    </w:p>
    <w:p w:rsidR="005A3185" w:rsidRDefault="00C964F8">
      <w:pPr>
        <w:pStyle w:val="Nadpis4"/>
        <w:numPr>
          <w:ilvl w:val="0"/>
          <w:numId w:val="5"/>
        </w:numPr>
        <w:tabs>
          <w:tab w:val="left" w:pos="4205"/>
          <w:tab w:val="left" w:pos="4206"/>
        </w:tabs>
        <w:ind w:hanging="721"/>
        <w:jc w:val="left"/>
      </w:pPr>
      <w:r>
        <w:t>ÚVODNÍ</w:t>
      </w:r>
      <w:r>
        <w:rPr>
          <w:spacing w:val="-2"/>
        </w:rPr>
        <w:t xml:space="preserve"> </w:t>
      </w:r>
      <w:r>
        <w:t>USTANOVENÍ</w:t>
      </w:r>
    </w:p>
    <w:p w:rsidR="005A3185" w:rsidRDefault="005A3185">
      <w:pPr>
        <w:pStyle w:val="Zkladntext"/>
        <w:spacing w:before="1"/>
        <w:rPr>
          <w:b/>
        </w:rPr>
      </w:pPr>
    </w:p>
    <w:p w:rsidR="005A3185" w:rsidRDefault="00C964F8">
      <w:pPr>
        <w:pStyle w:val="Odstavecseseznamem"/>
        <w:numPr>
          <w:ilvl w:val="1"/>
          <w:numId w:val="4"/>
        </w:numPr>
        <w:tabs>
          <w:tab w:val="left" w:pos="685"/>
        </w:tabs>
        <w:ind w:right="128"/>
        <w:jc w:val="both"/>
        <w:rPr>
          <w:sz w:val="20"/>
        </w:rPr>
      </w:pPr>
      <w:r>
        <w:rPr>
          <w:sz w:val="20"/>
        </w:rPr>
        <w:t>Prodávající a kupující shodně prohlašují, že mezi sebou uzavřeli Smlouvu o zřízení a provozu konsignačního skladu, jejímž předmětem je stanovení rámcových podmínek pro dodávky zboží a jeho odběr z konsignačního skladu provozovaného v sídle Kupujícího (dále jen “</w:t>
      </w:r>
      <w:r>
        <w:rPr>
          <w:b/>
          <w:sz w:val="20"/>
        </w:rPr>
        <w:t>Smlouva o konsignačním skladu</w:t>
      </w:r>
      <w:r>
        <w:rPr>
          <w:sz w:val="20"/>
        </w:rPr>
        <w:t>”).Ve Smlouvě o konsignačním skladu jsou dohodnuty podmínky pro odběr zboží Kupujícím od Prodávajícího včetně stanovení fakturační ceny zboží. Prodej zboží prostřednictvím konsignačního skladu se realizuje k okamžiku vyskladnění zboží z konsignačního skladu. Prodej touto formu umožňuje vyskladnění a tedy nákup zboží flexibilně v objemu dle skutečné potřeby Kupujícího, která je proměnlivá v čase a dopředu není</w:t>
      </w:r>
      <w:r>
        <w:rPr>
          <w:spacing w:val="-14"/>
          <w:sz w:val="20"/>
        </w:rPr>
        <w:t xml:space="preserve"> </w:t>
      </w:r>
      <w:r>
        <w:rPr>
          <w:sz w:val="20"/>
        </w:rPr>
        <w:t>známa.</w:t>
      </w:r>
    </w:p>
    <w:p w:rsidR="005A3185" w:rsidRDefault="00C964F8">
      <w:pPr>
        <w:pStyle w:val="Odstavecseseznamem"/>
        <w:numPr>
          <w:ilvl w:val="1"/>
          <w:numId w:val="4"/>
        </w:numPr>
        <w:tabs>
          <w:tab w:val="left" w:pos="686"/>
        </w:tabs>
        <w:spacing w:before="121"/>
        <w:ind w:right="124"/>
        <w:jc w:val="both"/>
        <w:rPr>
          <w:sz w:val="20"/>
        </w:rPr>
      </w:pPr>
      <w:r>
        <w:rPr>
          <w:sz w:val="20"/>
        </w:rPr>
        <w:t>Kupující</w:t>
      </w:r>
      <w:r>
        <w:rPr>
          <w:spacing w:val="-11"/>
          <w:sz w:val="20"/>
        </w:rPr>
        <w:t xml:space="preserve"> </w:t>
      </w:r>
      <w:r>
        <w:rPr>
          <w:sz w:val="20"/>
        </w:rPr>
        <w:t>a</w:t>
      </w:r>
      <w:r>
        <w:rPr>
          <w:spacing w:val="-12"/>
          <w:sz w:val="20"/>
        </w:rPr>
        <w:t xml:space="preserve"> </w:t>
      </w:r>
      <w:r>
        <w:rPr>
          <w:sz w:val="20"/>
        </w:rPr>
        <w:t>Prodávající</w:t>
      </w:r>
      <w:r>
        <w:rPr>
          <w:spacing w:val="-11"/>
          <w:sz w:val="20"/>
        </w:rPr>
        <w:t xml:space="preserve"> </w:t>
      </w:r>
      <w:r>
        <w:rPr>
          <w:sz w:val="20"/>
        </w:rPr>
        <w:t>konstatují,</w:t>
      </w:r>
      <w:r>
        <w:rPr>
          <w:spacing w:val="-11"/>
          <w:sz w:val="20"/>
        </w:rPr>
        <w:t xml:space="preserve"> </w:t>
      </w:r>
      <w:r>
        <w:rPr>
          <w:sz w:val="20"/>
        </w:rPr>
        <w:t>že</w:t>
      </w:r>
      <w:r>
        <w:rPr>
          <w:spacing w:val="-12"/>
          <w:sz w:val="20"/>
        </w:rPr>
        <w:t xml:space="preserve"> </w:t>
      </w:r>
      <w:r>
        <w:rPr>
          <w:sz w:val="20"/>
        </w:rPr>
        <w:t>Kupující</w:t>
      </w:r>
      <w:r>
        <w:rPr>
          <w:spacing w:val="-11"/>
          <w:sz w:val="20"/>
        </w:rPr>
        <w:t xml:space="preserve"> </w:t>
      </w:r>
      <w:r>
        <w:rPr>
          <w:sz w:val="20"/>
        </w:rPr>
        <w:t>má</w:t>
      </w:r>
      <w:r>
        <w:rPr>
          <w:spacing w:val="-11"/>
          <w:sz w:val="20"/>
        </w:rPr>
        <w:t xml:space="preserve"> </w:t>
      </w:r>
      <w:r>
        <w:rPr>
          <w:sz w:val="20"/>
        </w:rPr>
        <w:t>zájem</w:t>
      </w:r>
      <w:r>
        <w:rPr>
          <w:spacing w:val="-9"/>
          <w:sz w:val="20"/>
        </w:rPr>
        <w:t xml:space="preserve"> </w:t>
      </w:r>
      <w:r>
        <w:rPr>
          <w:sz w:val="20"/>
        </w:rPr>
        <w:t>nakupovat</w:t>
      </w:r>
      <w:r>
        <w:rPr>
          <w:spacing w:val="-11"/>
          <w:sz w:val="20"/>
        </w:rPr>
        <w:t xml:space="preserve"> </w:t>
      </w:r>
      <w:r>
        <w:rPr>
          <w:sz w:val="20"/>
        </w:rPr>
        <w:t>od</w:t>
      </w:r>
      <w:r>
        <w:rPr>
          <w:spacing w:val="-12"/>
          <w:sz w:val="20"/>
        </w:rPr>
        <w:t xml:space="preserve"> </w:t>
      </w:r>
      <w:r>
        <w:rPr>
          <w:sz w:val="20"/>
        </w:rPr>
        <w:t>Prodávajícího</w:t>
      </w:r>
      <w:r>
        <w:rPr>
          <w:spacing w:val="-12"/>
          <w:sz w:val="20"/>
        </w:rPr>
        <w:t xml:space="preserve"> </w:t>
      </w:r>
      <w:r>
        <w:rPr>
          <w:sz w:val="20"/>
        </w:rPr>
        <w:t>zboží</w:t>
      </w:r>
      <w:r>
        <w:rPr>
          <w:spacing w:val="-9"/>
          <w:sz w:val="20"/>
        </w:rPr>
        <w:t xml:space="preserve"> </w:t>
      </w:r>
      <w:r>
        <w:rPr>
          <w:sz w:val="20"/>
        </w:rPr>
        <w:t xml:space="preserve">uvedené v </w:t>
      </w:r>
      <w:r>
        <w:rPr>
          <w:b/>
          <w:sz w:val="20"/>
        </w:rPr>
        <w:t xml:space="preserve">Příloze č.2 </w:t>
      </w:r>
      <w:r>
        <w:rPr>
          <w:sz w:val="20"/>
        </w:rPr>
        <w:t>této Dohody i mimo konsignační sklad. Tyto nákupy realizuje Kupující dílčími objednávkami.</w:t>
      </w:r>
      <w:r>
        <w:rPr>
          <w:spacing w:val="-7"/>
          <w:sz w:val="20"/>
        </w:rPr>
        <w:t xml:space="preserve"> </w:t>
      </w:r>
      <w:r>
        <w:rPr>
          <w:sz w:val="20"/>
        </w:rPr>
        <w:t>Kupující</w:t>
      </w:r>
      <w:r>
        <w:rPr>
          <w:spacing w:val="-9"/>
          <w:sz w:val="20"/>
        </w:rPr>
        <w:t xml:space="preserve"> </w:t>
      </w:r>
      <w:r>
        <w:rPr>
          <w:sz w:val="20"/>
        </w:rPr>
        <w:t>je</w:t>
      </w:r>
      <w:r>
        <w:rPr>
          <w:spacing w:val="-9"/>
          <w:sz w:val="20"/>
        </w:rPr>
        <w:t xml:space="preserve"> </w:t>
      </w:r>
      <w:r>
        <w:rPr>
          <w:sz w:val="20"/>
        </w:rPr>
        <w:t>povinen</w:t>
      </w:r>
      <w:r>
        <w:rPr>
          <w:spacing w:val="38"/>
          <w:sz w:val="20"/>
        </w:rPr>
        <w:t xml:space="preserve"> </w:t>
      </w:r>
      <w:r>
        <w:rPr>
          <w:sz w:val="20"/>
        </w:rPr>
        <w:t>při</w:t>
      </w:r>
      <w:r>
        <w:rPr>
          <w:spacing w:val="-10"/>
          <w:sz w:val="20"/>
        </w:rPr>
        <w:t xml:space="preserve"> </w:t>
      </w:r>
      <w:r>
        <w:rPr>
          <w:sz w:val="20"/>
        </w:rPr>
        <w:t>dílčích</w:t>
      </w:r>
      <w:r>
        <w:rPr>
          <w:spacing w:val="-9"/>
          <w:sz w:val="20"/>
        </w:rPr>
        <w:t xml:space="preserve"> </w:t>
      </w:r>
      <w:r>
        <w:rPr>
          <w:sz w:val="20"/>
        </w:rPr>
        <w:t>objednávkách</w:t>
      </w:r>
      <w:r>
        <w:rPr>
          <w:spacing w:val="-9"/>
          <w:sz w:val="20"/>
        </w:rPr>
        <w:t xml:space="preserve"> </w:t>
      </w:r>
      <w:r>
        <w:rPr>
          <w:sz w:val="20"/>
        </w:rPr>
        <w:t>respektovat</w:t>
      </w:r>
      <w:r>
        <w:rPr>
          <w:spacing w:val="-9"/>
          <w:sz w:val="20"/>
        </w:rPr>
        <w:t xml:space="preserve"> </w:t>
      </w:r>
      <w:r>
        <w:rPr>
          <w:sz w:val="20"/>
        </w:rPr>
        <w:t>pravidla</w:t>
      </w:r>
      <w:r>
        <w:rPr>
          <w:spacing w:val="-9"/>
          <w:sz w:val="20"/>
        </w:rPr>
        <w:t xml:space="preserve"> </w:t>
      </w:r>
      <w:r>
        <w:rPr>
          <w:sz w:val="20"/>
        </w:rPr>
        <w:t>a</w:t>
      </w:r>
      <w:r>
        <w:rPr>
          <w:spacing w:val="-8"/>
          <w:sz w:val="20"/>
        </w:rPr>
        <w:t xml:space="preserve"> </w:t>
      </w:r>
      <w:r>
        <w:rPr>
          <w:sz w:val="20"/>
        </w:rPr>
        <w:t>limity</w:t>
      </w:r>
      <w:r>
        <w:rPr>
          <w:spacing w:val="-7"/>
          <w:sz w:val="20"/>
        </w:rPr>
        <w:t xml:space="preserve"> </w:t>
      </w:r>
      <w:r>
        <w:rPr>
          <w:sz w:val="20"/>
        </w:rPr>
        <w:t>upravující veřejné zakázky.Kupující s ohledem na interní procesy a na v čase proměnlivé provozní protřeby nemůže činit nákupy jednorázově, ale pouze průběžně dle skutečné provozní potřeby. Prodávající ve svých interních systémech nemá možnost při obdržení dílčí objednávky v tentýž okamžik vyhodnotit jaký je součet dříve objednaného zboží. Toto je možno při zachování efektivity využití pracovních zdrojů pouze zpětně po uplynutí určitého období manuálním sloučením dat o dosud uskutečněných nákupech v</w:t>
      </w:r>
      <w:r>
        <w:rPr>
          <w:spacing w:val="-2"/>
          <w:sz w:val="20"/>
        </w:rPr>
        <w:t xml:space="preserve"> </w:t>
      </w:r>
      <w:r>
        <w:rPr>
          <w:sz w:val="20"/>
        </w:rPr>
        <w:t>systémech.</w:t>
      </w:r>
    </w:p>
    <w:p w:rsidR="005A3185" w:rsidRDefault="00C964F8">
      <w:pPr>
        <w:pStyle w:val="Odstavecseseznamem"/>
        <w:numPr>
          <w:ilvl w:val="1"/>
          <w:numId w:val="4"/>
        </w:numPr>
        <w:tabs>
          <w:tab w:val="left" w:pos="685"/>
        </w:tabs>
        <w:spacing w:before="120"/>
        <w:ind w:right="127"/>
        <w:jc w:val="both"/>
        <w:rPr>
          <w:sz w:val="20"/>
        </w:rPr>
      </w:pPr>
      <w:r>
        <w:rPr>
          <w:sz w:val="20"/>
        </w:rPr>
        <w:t>Jelikož není možno v momentě dílčí objednávky stanovit celkový objem nakoupeného zboží a vyčíslit aplikovatelný množstevní bonus, jsou touto Dohodou dopředu sjednávány aplikovatelné výše množstevních finančních bonusů, které se v případě v budoucnu nakumulovaného objemu nakoupeného zboží</w:t>
      </w:r>
      <w:r>
        <w:rPr>
          <w:spacing w:val="-3"/>
          <w:sz w:val="20"/>
        </w:rPr>
        <w:t xml:space="preserve"> </w:t>
      </w:r>
      <w:r>
        <w:rPr>
          <w:sz w:val="20"/>
        </w:rPr>
        <w:t>aplikují.</w:t>
      </w:r>
    </w:p>
    <w:p w:rsidR="005A3185" w:rsidRDefault="005A3185">
      <w:pPr>
        <w:jc w:val="both"/>
        <w:rPr>
          <w:sz w:val="20"/>
        </w:rPr>
        <w:sectPr w:rsidR="005A3185">
          <w:pgSz w:w="11910" w:h="16840"/>
          <w:pgMar w:top="1380" w:right="1120" w:bottom="800" w:left="1300" w:header="0" w:footer="533" w:gutter="0"/>
          <w:cols w:space="708"/>
        </w:sectPr>
      </w:pPr>
    </w:p>
    <w:p w:rsidR="005A3185" w:rsidRDefault="00C964F8">
      <w:pPr>
        <w:pStyle w:val="Nadpis4"/>
        <w:numPr>
          <w:ilvl w:val="0"/>
          <w:numId w:val="5"/>
        </w:numPr>
        <w:tabs>
          <w:tab w:val="left" w:pos="4323"/>
          <w:tab w:val="left" w:pos="4324"/>
        </w:tabs>
        <w:spacing w:before="79"/>
        <w:ind w:left="4323" w:hanging="721"/>
        <w:jc w:val="left"/>
      </w:pPr>
      <w:r>
        <w:lastRenderedPageBreak/>
        <w:t>PŘEDMĚT</w:t>
      </w:r>
      <w:r>
        <w:rPr>
          <w:spacing w:val="-1"/>
        </w:rPr>
        <w:t xml:space="preserve"> </w:t>
      </w:r>
      <w:r>
        <w:t>DOHODY</w:t>
      </w:r>
    </w:p>
    <w:p w:rsidR="005A3185" w:rsidRDefault="005A3185">
      <w:pPr>
        <w:pStyle w:val="Zkladntext"/>
        <w:spacing w:before="10"/>
        <w:rPr>
          <w:b/>
          <w:sz w:val="19"/>
        </w:rPr>
      </w:pPr>
    </w:p>
    <w:p w:rsidR="005A3185" w:rsidRDefault="00C964F8">
      <w:pPr>
        <w:pStyle w:val="Odstavecseseznamem"/>
        <w:numPr>
          <w:ilvl w:val="1"/>
          <w:numId w:val="3"/>
        </w:numPr>
        <w:tabs>
          <w:tab w:val="left" w:pos="685"/>
        </w:tabs>
        <w:ind w:right="125"/>
        <w:jc w:val="both"/>
        <w:rPr>
          <w:sz w:val="20"/>
        </w:rPr>
      </w:pPr>
      <w:r>
        <w:rPr>
          <w:sz w:val="20"/>
        </w:rPr>
        <w:t>Předmětem této Dohody je stanovení výše, způsobu výpočtu a podmínek pro vznik nároku Kupujícího na odměnu, která mu bude poskytovaná prodávajícím za odběr zboží koupeného dle Smlouvy o konsignačním skladu nebo dle dílčích objednávek prodejem mimo konsignační sklad (dále také jen “</w:t>
      </w:r>
      <w:r>
        <w:rPr>
          <w:b/>
          <w:sz w:val="20"/>
        </w:rPr>
        <w:t>finanční</w:t>
      </w:r>
      <w:r>
        <w:rPr>
          <w:b/>
          <w:spacing w:val="-1"/>
          <w:sz w:val="20"/>
        </w:rPr>
        <w:t xml:space="preserve"> </w:t>
      </w:r>
      <w:r>
        <w:rPr>
          <w:b/>
          <w:sz w:val="20"/>
        </w:rPr>
        <w:t>bonus</w:t>
      </w:r>
      <w:r>
        <w:rPr>
          <w:sz w:val="20"/>
        </w:rPr>
        <w:t>”).</w:t>
      </w:r>
    </w:p>
    <w:p w:rsidR="005A3185" w:rsidRDefault="00C964F8">
      <w:pPr>
        <w:pStyle w:val="Odstavecseseznamem"/>
        <w:numPr>
          <w:ilvl w:val="1"/>
          <w:numId w:val="3"/>
        </w:numPr>
        <w:tabs>
          <w:tab w:val="left" w:pos="686"/>
        </w:tabs>
        <w:spacing w:before="122"/>
        <w:ind w:left="685" w:right="125"/>
        <w:jc w:val="both"/>
        <w:rPr>
          <w:sz w:val="20"/>
        </w:rPr>
      </w:pPr>
      <w:r>
        <w:rPr>
          <w:sz w:val="20"/>
        </w:rPr>
        <w:t>Finanční</w:t>
      </w:r>
      <w:r>
        <w:rPr>
          <w:spacing w:val="-6"/>
          <w:sz w:val="20"/>
        </w:rPr>
        <w:t xml:space="preserve"> </w:t>
      </w:r>
      <w:r>
        <w:rPr>
          <w:sz w:val="20"/>
        </w:rPr>
        <w:t>bonus</w:t>
      </w:r>
      <w:r>
        <w:rPr>
          <w:spacing w:val="-5"/>
          <w:sz w:val="20"/>
        </w:rPr>
        <w:t xml:space="preserve"> </w:t>
      </w:r>
      <w:r>
        <w:rPr>
          <w:sz w:val="20"/>
        </w:rPr>
        <w:t>náleží</w:t>
      </w:r>
      <w:r>
        <w:rPr>
          <w:spacing w:val="-5"/>
          <w:sz w:val="20"/>
        </w:rPr>
        <w:t xml:space="preserve"> </w:t>
      </w:r>
      <w:r>
        <w:rPr>
          <w:sz w:val="20"/>
        </w:rPr>
        <w:t>Kupujícímu</w:t>
      </w:r>
      <w:r>
        <w:rPr>
          <w:spacing w:val="-6"/>
          <w:sz w:val="20"/>
        </w:rPr>
        <w:t xml:space="preserve"> </w:t>
      </w:r>
      <w:r>
        <w:rPr>
          <w:sz w:val="20"/>
        </w:rPr>
        <w:t>z</w:t>
      </w:r>
      <w:r>
        <w:rPr>
          <w:spacing w:val="-5"/>
          <w:sz w:val="20"/>
        </w:rPr>
        <w:t xml:space="preserve"> </w:t>
      </w:r>
      <w:r>
        <w:rPr>
          <w:sz w:val="20"/>
        </w:rPr>
        <w:t>celkového</w:t>
      </w:r>
      <w:r>
        <w:rPr>
          <w:spacing w:val="-7"/>
          <w:sz w:val="20"/>
        </w:rPr>
        <w:t xml:space="preserve"> </w:t>
      </w:r>
      <w:r>
        <w:rPr>
          <w:sz w:val="20"/>
        </w:rPr>
        <w:t>součtu</w:t>
      </w:r>
      <w:r>
        <w:rPr>
          <w:spacing w:val="-4"/>
          <w:sz w:val="20"/>
        </w:rPr>
        <w:t xml:space="preserve"> </w:t>
      </w:r>
      <w:r>
        <w:rPr>
          <w:sz w:val="20"/>
        </w:rPr>
        <w:t>kupních</w:t>
      </w:r>
      <w:r>
        <w:rPr>
          <w:spacing w:val="-7"/>
          <w:sz w:val="20"/>
        </w:rPr>
        <w:t xml:space="preserve"> </w:t>
      </w:r>
      <w:r>
        <w:rPr>
          <w:sz w:val="20"/>
        </w:rPr>
        <w:t>cen</w:t>
      </w:r>
      <w:r>
        <w:rPr>
          <w:spacing w:val="-4"/>
          <w:sz w:val="20"/>
        </w:rPr>
        <w:t xml:space="preserve"> </w:t>
      </w:r>
      <w:r>
        <w:rPr>
          <w:sz w:val="20"/>
        </w:rPr>
        <w:t>odebraného</w:t>
      </w:r>
      <w:r>
        <w:rPr>
          <w:spacing w:val="-7"/>
          <w:sz w:val="20"/>
        </w:rPr>
        <w:t xml:space="preserve"> </w:t>
      </w:r>
      <w:r>
        <w:rPr>
          <w:sz w:val="20"/>
        </w:rPr>
        <w:t>zboží</w:t>
      </w:r>
      <w:r>
        <w:rPr>
          <w:spacing w:val="-5"/>
          <w:sz w:val="20"/>
        </w:rPr>
        <w:t xml:space="preserve"> </w:t>
      </w:r>
      <w:r>
        <w:rPr>
          <w:sz w:val="20"/>
        </w:rPr>
        <w:t>dle</w:t>
      </w:r>
      <w:r>
        <w:rPr>
          <w:spacing w:val="-7"/>
          <w:sz w:val="20"/>
        </w:rPr>
        <w:t xml:space="preserve"> </w:t>
      </w:r>
      <w:r>
        <w:rPr>
          <w:sz w:val="20"/>
        </w:rPr>
        <w:t>Smlouvy o konsignačním skladu a dle dílčích objednávek pro prodej zboží uvedeného v Příloze č. 2 této Dohody mimo konsignační sklad v Kč bez DPH za hodnocené období popsané v Příloze č. 1 této Dohody. Problematika DPH bude řešena dle platné právní úpravy vztahující se k</w:t>
      </w:r>
      <w:r>
        <w:rPr>
          <w:spacing w:val="-16"/>
          <w:sz w:val="20"/>
        </w:rPr>
        <w:t xml:space="preserve"> </w:t>
      </w:r>
      <w:r>
        <w:rPr>
          <w:sz w:val="20"/>
        </w:rPr>
        <w:t>DPH.</w:t>
      </w:r>
    </w:p>
    <w:p w:rsidR="00C964F8" w:rsidRDefault="00C964F8">
      <w:pPr>
        <w:pStyle w:val="Odstavecseseznamem"/>
        <w:numPr>
          <w:ilvl w:val="1"/>
          <w:numId w:val="3"/>
        </w:numPr>
        <w:tabs>
          <w:tab w:val="left" w:pos="686"/>
        </w:tabs>
        <w:spacing w:before="122"/>
        <w:ind w:left="685" w:right="125"/>
        <w:jc w:val="both"/>
        <w:rPr>
          <w:sz w:val="20"/>
        </w:rPr>
      </w:pPr>
      <w:r>
        <w:rPr>
          <w:sz w:val="20"/>
        </w:rPr>
        <w:t>Účastníci dohody</w:t>
      </w:r>
      <w:r w:rsidRPr="00E359FE">
        <w:rPr>
          <w:sz w:val="20"/>
        </w:rPr>
        <w:t xml:space="preserve"> dále prohlašují, že účelem této </w:t>
      </w:r>
      <w:r>
        <w:rPr>
          <w:sz w:val="20"/>
        </w:rPr>
        <w:t>dohody</w:t>
      </w:r>
      <w:r w:rsidRPr="00E359FE">
        <w:rPr>
          <w:sz w:val="20"/>
        </w:rPr>
        <w:t xml:space="preserve"> není reklama Výrobků, ani poskytnutí daru či sponzorského příspěvku Zdravotnickému zařízení ani pobídk</w:t>
      </w:r>
      <w:r>
        <w:rPr>
          <w:sz w:val="20"/>
        </w:rPr>
        <w:t>a</w:t>
      </w:r>
      <w:r w:rsidRPr="00E359FE">
        <w:rPr>
          <w:sz w:val="20"/>
        </w:rPr>
        <w:t xml:space="preserve"> či návod na neoprávněné čerpání prostředků z veřejného zdravotního pojištění, nýbrž pouze poskytnutí </w:t>
      </w:r>
      <w:r>
        <w:rPr>
          <w:sz w:val="20"/>
        </w:rPr>
        <w:t>B</w:t>
      </w:r>
      <w:r w:rsidRPr="00E359FE">
        <w:rPr>
          <w:sz w:val="20"/>
        </w:rPr>
        <w:t>onusu, který zohledňuje ekonomick</w:t>
      </w:r>
      <w:r>
        <w:rPr>
          <w:sz w:val="20"/>
        </w:rPr>
        <w:t xml:space="preserve">é přínosy </w:t>
      </w:r>
      <w:r w:rsidRPr="00E359FE">
        <w:rPr>
          <w:sz w:val="20"/>
        </w:rPr>
        <w:t xml:space="preserve">na straně </w:t>
      </w:r>
      <w:r>
        <w:rPr>
          <w:sz w:val="20"/>
        </w:rPr>
        <w:t>Prodávajícího</w:t>
      </w:r>
      <w:r w:rsidRPr="00E359FE">
        <w:rPr>
          <w:sz w:val="20"/>
        </w:rPr>
        <w:t xml:space="preserve"> danou množstvím Výrobků </w:t>
      </w:r>
      <w:r>
        <w:rPr>
          <w:sz w:val="20"/>
        </w:rPr>
        <w:t>Kupujícím</w:t>
      </w:r>
      <w:r w:rsidRPr="00E359FE">
        <w:rPr>
          <w:sz w:val="20"/>
        </w:rPr>
        <w:t xml:space="preserve"> odebraných</w:t>
      </w:r>
      <w:r>
        <w:rPr>
          <w:sz w:val="20"/>
        </w:rPr>
        <w:t>.</w:t>
      </w:r>
    </w:p>
    <w:p w:rsidR="005A3185" w:rsidRDefault="00C964F8">
      <w:pPr>
        <w:pStyle w:val="Odstavecseseznamem"/>
        <w:numPr>
          <w:ilvl w:val="1"/>
          <w:numId w:val="3"/>
        </w:numPr>
        <w:tabs>
          <w:tab w:val="left" w:pos="685"/>
          <w:tab w:val="left" w:pos="686"/>
        </w:tabs>
        <w:spacing w:before="120"/>
        <w:ind w:left="685" w:hanging="568"/>
        <w:rPr>
          <w:sz w:val="20"/>
        </w:rPr>
      </w:pPr>
      <w:r>
        <w:rPr>
          <w:sz w:val="20"/>
        </w:rPr>
        <w:t>Účastníci Dohody stanovili délku hodnoceného období společně na 11 měsíců po dobu trvání</w:t>
      </w:r>
      <w:r>
        <w:rPr>
          <w:spacing w:val="-7"/>
          <w:sz w:val="20"/>
        </w:rPr>
        <w:t xml:space="preserve"> </w:t>
      </w:r>
      <w:r>
        <w:rPr>
          <w:sz w:val="20"/>
        </w:rPr>
        <w:t>této</w:t>
      </w:r>
    </w:p>
    <w:p w:rsidR="005A3185" w:rsidRDefault="00C964F8">
      <w:pPr>
        <w:pStyle w:val="Zkladntext"/>
        <w:ind w:left="685"/>
      </w:pPr>
      <w:r>
        <w:t>Dohody.</w:t>
      </w:r>
    </w:p>
    <w:p w:rsidR="005A3185" w:rsidRDefault="00C964F8">
      <w:pPr>
        <w:pStyle w:val="Odstavecseseznamem"/>
        <w:numPr>
          <w:ilvl w:val="1"/>
          <w:numId w:val="3"/>
        </w:numPr>
        <w:tabs>
          <w:tab w:val="left" w:pos="686"/>
        </w:tabs>
        <w:spacing w:before="121"/>
        <w:ind w:left="685" w:right="130"/>
        <w:jc w:val="both"/>
        <w:rPr>
          <w:sz w:val="20"/>
        </w:rPr>
      </w:pPr>
      <w:r>
        <w:rPr>
          <w:sz w:val="20"/>
        </w:rPr>
        <w:t>Prodávající je povinen ve lhůtě deseti (10) kalendářních dnů po uplynutí hodnoceného období písemně oznámit Kupujícímu údaje související s výší finančního</w:t>
      </w:r>
      <w:r>
        <w:rPr>
          <w:spacing w:val="-12"/>
          <w:sz w:val="20"/>
        </w:rPr>
        <w:t xml:space="preserve"> </w:t>
      </w:r>
      <w:r>
        <w:rPr>
          <w:sz w:val="20"/>
        </w:rPr>
        <w:t>bonusu.</w:t>
      </w:r>
    </w:p>
    <w:p w:rsidR="005A3185" w:rsidRDefault="00C964F8">
      <w:pPr>
        <w:pStyle w:val="Odstavecseseznamem"/>
        <w:numPr>
          <w:ilvl w:val="1"/>
          <w:numId w:val="3"/>
        </w:numPr>
        <w:tabs>
          <w:tab w:val="left" w:pos="686"/>
        </w:tabs>
        <w:spacing w:before="118"/>
        <w:ind w:left="685" w:right="124"/>
        <w:jc w:val="both"/>
        <w:rPr>
          <w:sz w:val="20"/>
        </w:rPr>
      </w:pPr>
      <w:r>
        <w:rPr>
          <w:sz w:val="20"/>
        </w:rPr>
        <w:t>Po potvrzení správnosti oznámené výše finančního bonusu ze strany Kupujícího je Prodávající povinen</w:t>
      </w:r>
      <w:r>
        <w:rPr>
          <w:spacing w:val="-8"/>
          <w:sz w:val="20"/>
        </w:rPr>
        <w:t xml:space="preserve"> </w:t>
      </w:r>
      <w:r>
        <w:rPr>
          <w:sz w:val="20"/>
        </w:rPr>
        <w:t>vystavit</w:t>
      </w:r>
      <w:r>
        <w:rPr>
          <w:spacing w:val="-7"/>
          <w:sz w:val="20"/>
        </w:rPr>
        <w:t xml:space="preserve"> </w:t>
      </w:r>
      <w:r>
        <w:rPr>
          <w:sz w:val="20"/>
        </w:rPr>
        <w:t>nejpozději</w:t>
      </w:r>
      <w:r>
        <w:rPr>
          <w:spacing w:val="-7"/>
          <w:sz w:val="20"/>
        </w:rPr>
        <w:t xml:space="preserve"> </w:t>
      </w:r>
      <w:r>
        <w:rPr>
          <w:sz w:val="20"/>
        </w:rPr>
        <w:t>do</w:t>
      </w:r>
      <w:r>
        <w:rPr>
          <w:spacing w:val="-7"/>
          <w:sz w:val="20"/>
        </w:rPr>
        <w:t xml:space="preserve"> </w:t>
      </w:r>
      <w:r>
        <w:rPr>
          <w:sz w:val="20"/>
        </w:rPr>
        <w:t>deseti</w:t>
      </w:r>
      <w:r>
        <w:rPr>
          <w:spacing w:val="-8"/>
          <w:sz w:val="20"/>
        </w:rPr>
        <w:t xml:space="preserve"> </w:t>
      </w:r>
      <w:r>
        <w:rPr>
          <w:sz w:val="20"/>
        </w:rPr>
        <w:t>(10)</w:t>
      </w:r>
      <w:r>
        <w:rPr>
          <w:spacing w:val="-6"/>
          <w:sz w:val="20"/>
        </w:rPr>
        <w:t xml:space="preserve"> </w:t>
      </w:r>
      <w:r>
        <w:rPr>
          <w:sz w:val="20"/>
        </w:rPr>
        <w:t>kalendářních</w:t>
      </w:r>
      <w:r>
        <w:rPr>
          <w:spacing w:val="-6"/>
          <w:sz w:val="20"/>
        </w:rPr>
        <w:t xml:space="preserve"> </w:t>
      </w:r>
      <w:r>
        <w:rPr>
          <w:sz w:val="20"/>
        </w:rPr>
        <w:t>dnů</w:t>
      </w:r>
      <w:r>
        <w:rPr>
          <w:spacing w:val="-8"/>
          <w:sz w:val="20"/>
        </w:rPr>
        <w:t xml:space="preserve"> </w:t>
      </w:r>
      <w:r>
        <w:rPr>
          <w:sz w:val="20"/>
        </w:rPr>
        <w:t>příslušný</w:t>
      </w:r>
      <w:r>
        <w:rPr>
          <w:spacing w:val="-4"/>
          <w:sz w:val="20"/>
        </w:rPr>
        <w:t xml:space="preserve"> </w:t>
      </w:r>
      <w:r>
        <w:rPr>
          <w:sz w:val="20"/>
        </w:rPr>
        <w:t>daňový</w:t>
      </w:r>
      <w:r>
        <w:rPr>
          <w:spacing w:val="-6"/>
          <w:sz w:val="20"/>
        </w:rPr>
        <w:t xml:space="preserve"> </w:t>
      </w:r>
      <w:r>
        <w:rPr>
          <w:sz w:val="20"/>
        </w:rPr>
        <w:t>doklad</w:t>
      </w:r>
      <w:r>
        <w:rPr>
          <w:spacing w:val="-8"/>
          <w:sz w:val="20"/>
        </w:rPr>
        <w:t xml:space="preserve"> </w:t>
      </w:r>
      <w:r>
        <w:rPr>
          <w:sz w:val="20"/>
        </w:rPr>
        <w:t>s</w:t>
      </w:r>
      <w:r>
        <w:rPr>
          <w:spacing w:val="-6"/>
          <w:sz w:val="20"/>
        </w:rPr>
        <w:t xml:space="preserve"> </w:t>
      </w:r>
      <w:r>
        <w:rPr>
          <w:sz w:val="20"/>
        </w:rPr>
        <w:t>náležitostmi dle</w:t>
      </w:r>
      <w:r>
        <w:rPr>
          <w:spacing w:val="-14"/>
          <w:sz w:val="20"/>
        </w:rPr>
        <w:t xml:space="preserve"> </w:t>
      </w:r>
      <w:r>
        <w:rPr>
          <w:sz w:val="20"/>
        </w:rPr>
        <w:t>platné</w:t>
      </w:r>
      <w:r>
        <w:rPr>
          <w:spacing w:val="-14"/>
          <w:sz w:val="20"/>
        </w:rPr>
        <w:t xml:space="preserve"> </w:t>
      </w:r>
      <w:r>
        <w:rPr>
          <w:sz w:val="20"/>
        </w:rPr>
        <w:t>legislativy</w:t>
      </w:r>
      <w:r>
        <w:rPr>
          <w:spacing w:val="-11"/>
          <w:sz w:val="20"/>
        </w:rPr>
        <w:t xml:space="preserve"> </w:t>
      </w:r>
      <w:r>
        <w:rPr>
          <w:sz w:val="20"/>
        </w:rPr>
        <w:t>daně</w:t>
      </w:r>
      <w:r>
        <w:rPr>
          <w:spacing w:val="-16"/>
          <w:sz w:val="20"/>
        </w:rPr>
        <w:t xml:space="preserve"> </w:t>
      </w:r>
      <w:r>
        <w:rPr>
          <w:sz w:val="20"/>
        </w:rPr>
        <w:t>z</w:t>
      </w:r>
      <w:r>
        <w:rPr>
          <w:spacing w:val="-11"/>
          <w:sz w:val="20"/>
        </w:rPr>
        <w:t xml:space="preserve"> </w:t>
      </w:r>
      <w:r>
        <w:rPr>
          <w:sz w:val="20"/>
        </w:rPr>
        <w:t>přidané</w:t>
      </w:r>
      <w:r>
        <w:rPr>
          <w:spacing w:val="-14"/>
          <w:sz w:val="20"/>
        </w:rPr>
        <w:t xml:space="preserve"> </w:t>
      </w:r>
      <w:r>
        <w:rPr>
          <w:sz w:val="20"/>
        </w:rPr>
        <w:t>hodnoty</w:t>
      </w:r>
      <w:r>
        <w:rPr>
          <w:spacing w:val="-12"/>
          <w:sz w:val="20"/>
        </w:rPr>
        <w:t xml:space="preserve"> </w:t>
      </w:r>
      <w:r>
        <w:rPr>
          <w:sz w:val="20"/>
        </w:rPr>
        <w:t>se</w:t>
      </w:r>
      <w:r>
        <w:rPr>
          <w:spacing w:val="-15"/>
          <w:sz w:val="20"/>
        </w:rPr>
        <w:t xml:space="preserve"> </w:t>
      </w:r>
      <w:r>
        <w:rPr>
          <w:sz w:val="20"/>
        </w:rPr>
        <w:t>splatností</w:t>
      </w:r>
      <w:r>
        <w:rPr>
          <w:spacing w:val="-15"/>
          <w:sz w:val="20"/>
        </w:rPr>
        <w:t xml:space="preserve"> </w:t>
      </w:r>
      <w:r>
        <w:rPr>
          <w:sz w:val="20"/>
        </w:rPr>
        <w:t>90</w:t>
      </w:r>
      <w:r>
        <w:rPr>
          <w:spacing w:val="-14"/>
          <w:sz w:val="20"/>
        </w:rPr>
        <w:t xml:space="preserve"> </w:t>
      </w:r>
      <w:r>
        <w:rPr>
          <w:sz w:val="20"/>
        </w:rPr>
        <w:t>dnů</w:t>
      </w:r>
      <w:r>
        <w:rPr>
          <w:spacing w:val="-14"/>
          <w:sz w:val="20"/>
        </w:rPr>
        <w:t xml:space="preserve"> </w:t>
      </w:r>
      <w:r>
        <w:rPr>
          <w:sz w:val="20"/>
        </w:rPr>
        <w:t>ode</w:t>
      </w:r>
      <w:r>
        <w:rPr>
          <w:spacing w:val="-13"/>
          <w:sz w:val="20"/>
        </w:rPr>
        <w:t xml:space="preserve"> </w:t>
      </w:r>
      <w:r>
        <w:rPr>
          <w:sz w:val="20"/>
        </w:rPr>
        <w:t>dne</w:t>
      </w:r>
      <w:r>
        <w:rPr>
          <w:spacing w:val="-14"/>
          <w:sz w:val="20"/>
        </w:rPr>
        <w:t xml:space="preserve"> </w:t>
      </w:r>
      <w:r>
        <w:rPr>
          <w:sz w:val="20"/>
        </w:rPr>
        <w:t>jejich</w:t>
      </w:r>
      <w:r>
        <w:rPr>
          <w:spacing w:val="-15"/>
          <w:sz w:val="20"/>
        </w:rPr>
        <w:t xml:space="preserve"> </w:t>
      </w:r>
      <w:r>
        <w:rPr>
          <w:sz w:val="20"/>
        </w:rPr>
        <w:t>vystavení.</w:t>
      </w:r>
      <w:r>
        <w:rPr>
          <w:spacing w:val="-16"/>
          <w:sz w:val="20"/>
        </w:rPr>
        <w:t xml:space="preserve"> </w:t>
      </w:r>
      <w:r>
        <w:rPr>
          <w:sz w:val="20"/>
        </w:rPr>
        <w:t>Opravný daňový doklad musí přesně specifikovat původní uskutečněná zdanitelná plnění a důvody opravy. Na opravném daňovém dokladu musí být uveden rozdíl mezi opraveným a původním základem daně a rozdíl mezi opravenou a původní</w:t>
      </w:r>
      <w:r>
        <w:rPr>
          <w:spacing w:val="-7"/>
          <w:sz w:val="20"/>
        </w:rPr>
        <w:t xml:space="preserve"> </w:t>
      </w:r>
      <w:r>
        <w:rPr>
          <w:sz w:val="20"/>
        </w:rPr>
        <w:t>daní.</w:t>
      </w:r>
    </w:p>
    <w:p w:rsidR="005A3185" w:rsidRDefault="00C964F8">
      <w:pPr>
        <w:pStyle w:val="Odstavecseseznamem"/>
        <w:numPr>
          <w:ilvl w:val="1"/>
          <w:numId w:val="3"/>
        </w:numPr>
        <w:tabs>
          <w:tab w:val="left" w:pos="686"/>
        </w:tabs>
        <w:spacing w:before="121"/>
        <w:ind w:left="685" w:right="126"/>
        <w:jc w:val="both"/>
        <w:rPr>
          <w:sz w:val="20"/>
        </w:rPr>
      </w:pPr>
      <w:r>
        <w:rPr>
          <w:sz w:val="20"/>
        </w:rPr>
        <w:t>Prodávající je povinen uhradit finanční bonus ve lhůtě uvedené ve vystavených daňových dokladech. Prodávající je oprávněn nárok na zaplacení finančního bonusu započíst vůči neuhrazeným fakturám Prodávajícího pouze na základě písemné dohody Účastníků</w:t>
      </w:r>
      <w:r>
        <w:rPr>
          <w:spacing w:val="-19"/>
          <w:sz w:val="20"/>
        </w:rPr>
        <w:t xml:space="preserve"> </w:t>
      </w:r>
      <w:r>
        <w:rPr>
          <w:sz w:val="20"/>
        </w:rPr>
        <w:t>dohody.</w:t>
      </w:r>
    </w:p>
    <w:p w:rsidR="005A3185" w:rsidRDefault="00C964F8">
      <w:pPr>
        <w:pStyle w:val="Odstavecseseznamem"/>
        <w:numPr>
          <w:ilvl w:val="1"/>
          <w:numId w:val="3"/>
        </w:numPr>
        <w:tabs>
          <w:tab w:val="left" w:pos="686"/>
        </w:tabs>
        <w:spacing w:before="121"/>
        <w:ind w:left="685" w:right="128"/>
        <w:jc w:val="both"/>
        <w:rPr>
          <w:sz w:val="20"/>
        </w:rPr>
      </w:pPr>
      <w:r>
        <w:rPr>
          <w:sz w:val="20"/>
        </w:rPr>
        <w:t>V případě, že tato Dohoda bude jakýmkoliv způsobem ukončena v průběhu hodnoceného období, má Kupující nárok na poměrnou část finančního bonusu počítaného dle skutečné doby trvání Dohody.</w:t>
      </w:r>
    </w:p>
    <w:p w:rsidR="005A3185" w:rsidRDefault="005A3185">
      <w:pPr>
        <w:pStyle w:val="Zkladntext"/>
        <w:rPr>
          <w:sz w:val="22"/>
        </w:rPr>
      </w:pPr>
    </w:p>
    <w:p w:rsidR="005A3185" w:rsidRDefault="005A3185">
      <w:pPr>
        <w:pStyle w:val="Zkladntext"/>
        <w:spacing w:before="5"/>
        <w:rPr>
          <w:sz w:val="28"/>
        </w:rPr>
      </w:pPr>
    </w:p>
    <w:p w:rsidR="005A3185" w:rsidRDefault="00C964F8">
      <w:pPr>
        <w:pStyle w:val="Nadpis4"/>
        <w:numPr>
          <w:ilvl w:val="0"/>
          <w:numId w:val="5"/>
        </w:numPr>
        <w:tabs>
          <w:tab w:val="left" w:pos="3973"/>
          <w:tab w:val="left" w:pos="3974"/>
        </w:tabs>
        <w:ind w:left="3973" w:hanging="721"/>
        <w:jc w:val="left"/>
      </w:pPr>
      <w:r>
        <w:t>ZÁVĚREČNÁ</w:t>
      </w:r>
      <w:r>
        <w:rPr>
          <w:spacing w:val="-2"/>
        </w:rPr>
        <w:t xml:space="preserve"> </w:t>
      </w:r>
      <w:r>
        <w:t>USTANOVENÍ</w:t>
      </w:r>
    </w:p>
    <w:p w:rsidR="005A3185" w:rsidRDefault="005A3185">
      <w:pPr>
        <w:pStyle w:val="Zkladntext"/>
        <w:spacing w:before="10"/>
        <w:rPr>
          <w:b/>
          <w:sz w:val="19"/>
        </w:rPr>
      </w:pPr>
    </w:p>
    <w:p w:rsidR="005A3185" w:rsidRDefault="00C964F8">
      <w:pPr>
        <w:pStyle w:val="Odstavecseseznamem"/>
        <w:numPr>
          <w:ilvl w:val="1"/>
          <w:numId w:val="2"/>
        </w:numPr>
        <w:tabs>
          <w:tab w:val="left" w:pos="686"/>
        </w:tabs>
        <w:ind w:right="125"/>
        <w:jc w:val="both"/>
        <w:rPr>
          <w:sz w:val="20"/>
        </w:rPr>
      </w:pPr>
      <w:r>
        <w:rPr>
          <w:sz w:val="20"/>
        </w:rPr>
        <w:t>Tato</w:t>
      </w:r>
      <w:r>
        <w:rPr>
          <w:spacing w:val="-16"/>
          <w:sz w:val="20"/>
        </w:rPr>
        <w:t xml:space="preserve"> </w:t>
      </w:r>
      <w:r>
        <w:rPr>
          <w:sz w:val="20"/>
        </w:rPr>
        <w:t>Dohoda</w:t>
      </w:r>
      <w:r>
        <w:rPr>
          <w:spacing w:val="27"/>
          <w:sz w:val="20"/>
        </w:rPr>
        <w:t xml:space="preserve"> </w:t>
      </w:r>
      <w:r>
        <w:rPr>
          <w:sz w:val="20"/>
        </w:rPr>
        <w:t>je</w:t>
      </w:r>
      <w:r>
        <w:rPr>
          <w:spacing w:val="-15"/>
          <w:sz w:val="20"/>
        </w:rPr>
        <w:t xml:space="preserve"> </w:t>
      </w:r>
      <w:r>
        <w:rPr>
          <w:sz w:val="20"/>
        </w:rPr>
        <w:t>uzavřena</w:t>
      </w:r>
      <w:r>
        <w:rPr>
          <w:spacing w:val="-15"/>
          <w:sz w:val="20"/>
        </w:rPr>
        <w:t xml:space="preserve"> </w:t>
      </w:r>
      <w:r>
        <w:rPr>
          <w:sz w:val="20"/>
        </w:rPr>
        <w:t>na</w:t>
      </w:r>
      <w:r>
        <w:rPr>
          <w:spacing w:val="-16"/>
          <w:sz w:val="20"/>
        </w:rPr>
        <w:t xml:space="preserve"> </w:t>
      </w:r>
      <w:r>
        <w:rPr>
          <w:sz w:val="20"/>
        </w:rPr>
        <w:t>dobu</w:t>
      </w:r>
      <w:r>
        <w:rPr>
          <w:spacing w:val="-15"/>
          <w:sz w:val="20"/>
        </w:rPr>
        <w:t xml:space="preserve"> </w:t>
      </w:r>
      <w:r>
        <w:rPr>
          <w:sz w:val="20"/>
        </w:rPr>
        <w:t>určitou</w:t>
      </w:r>
      <w:r>
        <w:rPr>
          <w:spacing w:val="-15"/>
          <w:sz w:val="20"/>
        </w:rPr>
        <w:t xml:space="preserve"> </w:t>
      </w:r>
      <w:r>
        <w:rPr>
          <w:sz w:val="20"/>
        </w:rPr>
        <w:t>od</w:t>
      </w:r>
      <w:r>
        <w:rPr>
          <w:spacing w:val="-15"/>
          <w:sz w:val="20"/>
        </w:rPr>
        <w:t xml:space="preserve"> </w:t>
      </w:r>
      <w:r>
        <w:rPr>
          <w:sz w:val="20"/>
        </w:rPr>
        <w:t>1.</w:t>
      </w:r>
      <w:r>
        <w:rPr>
          <w:spacing w:val="-13"/>
          <w:sz w:val="20"/>
        </w:rPr>
        <w:t xml:space="preserve"> </w:t>
      </w:r>
      <w:r>
        <w:rPr>
          <w:sz w:val="20"/>
        </w:rPr>
        <w:t>2.</w:t>
      </w:r>
      <w:r>
        <w:rPr>
          <w:spacing w:val="-15"/>
          <w:sz w:val="20"/>
        </w:rPr>
        <w:t xml:space="preserve"> </w:t>
      </w:r>
      <w:r>
        <w:rPr>
          <w:sz w:val="20"/>
        </w:rPr>
        <w:t>2021</w:t>
      </w:r>
      <w:r>
        <w:rPr>
          <w:spacing w:val="-13"/>
          <w:sz w:val="20"/>
        </w:rPr>
        <w:t xml:space="preserve"> </w:t>
      </w:r>
      <w:r>
        <w:rPr>
          <w:sz w:val="20"/>
        </w:rPr>
        <w:t>do</w:t>
      </w:r>
      <w:r>
        <w:rPr>
          <w:spacing w:val="-15"/>
          <w:sz w:val="20"/>
        </w:rPr>
        <w:t xml:space="preserve"> </w:t>
      </w:r>
      <w:r>
        <w:rPr>
          <w:sz w:val="20"/>
        </w:rPr>
        <w:t>31.</w:t>
      </w:r>
      <w:r>
        <w:rPr>
          <w:spacing w:val="-16"/>
          <w:sz w:val="20"/>
        </w:rPr>
        <w:t xml:space="preserve"> </w:t>
      </w:r>
      <w:r>
        <w:rPr>
          <w:sz w:val="20"/>
        </w:rPr>
        <w:t>12.</w:t>
      </w:r>
      <w:r>
        <w:rPr>
          <w:spacing w:val="-15"/>
          <w:sz w:val="20"/>
        </w:rPr>
        <w:t xml:space="preserve"> </w:t>
      </w:r>
      <w:r>
        <w:rPr>
          <w:sz w:val="20"/>
        </w:rPr>
        <w:t>2021.</w:t>
      </w:r>
      <w:r>
        <w:rPr>
          <w:spacing w:val="-12"/>
          <w:sz w:val="20"/>
        </w:rPr>
        <w:t xml:space="preserve"> </w:t>
      </w:r>
      <w:r>
        <w:rPr>
          <w:sz w:val="20"/>
        </w:rPr>
        <w:t>Každý</w:t>
      </w:r>
      <w:r>
        <w:rPr>
          <w:spacing w:val="-14"/>
          <w:sz w:val="20"/>
        </w:rPr>
        <w:t xml:space="preserve"> </w:t>
      </w:r>
      <w:r>
        <w:rPr>
          <w:sz w:val="20"/>
        </w:rPr>
        <w:t>z</w:t>
      </w:r>
      <w:r>
        <w:rPr>
          <w:spacing w:val="-14"/>
          <w:sz w:val="20"/>
        </w:rPr>
        <w:t xml:space="preserve"> </w:t>
      </w:r>
      <w:r>
        <w:rPr>
          <w:sz w:val="20"/>
        </w:rPr>
        <w:t>Účastníků</w:t>
      </w:r>
      <w:r>
        <w:rPr>
          <w:spacing w:val="-15"/>
          <w:sz w:val="20"/>
        </w:rPr>
        <w:t xml:space="preserve"> </w:t>
      </w:r>
      <w:r>
        <w:rPr>
          <w:sz w:val="20"/>
        </w:rPr>
        <w:t>Dohody má právo tuto Dohodu vypovědět písemnou výpovědí i bez udání důvodu, a to s výpovědní dobou 1 měsíc. Výpovědní doba začíná běžet prvního dne kalendářního měsíce následujícího po měsíci, ve kterém byla vypovídané straně výpověď</w:t>
      </w:r>
      <w:r>
        <w:rPr>
          <w:spacing w:val="-4"/>
          <w:sz w:val="20"/>
        </w:rPr>
        <w:t xml:space="preserve"> </w:t>
      </w:r>
      <w:r>
        <w:rPr>
          <w:sz w:val="20"/>
        </w:rPr>
        <w:t>doručena.</w:t>
      </w:r>
    </w:p>
    <w:p w:rsidR="005A3185" w:rsidRDefault="00C964F8">
      <w:pPr>
        <w:pStyle w:val="Odstavecseseznamem"/>
        <w:numPr>
          <w:ilvl w:val="1"/>
          <w:numId w:val="2"/>
        </w:numPr>
        <w:tabs>
          <w:tab w:val="left" w:pos="685"/>
          <w:tab w:val="left" w:pos="686"/>
        </w:tabs>
        <w:spacing w:before="122"/>
        <w:ind w:hanging="568"/>
        <w:rPr>
          <w:sz w:val="20"/>
        </w:rPr>
      </w:pPr>
      <w:r>
        <w:rPr>
          <w:sz w:val="20"/>
        </w:rPr>
        <w:t>Veškeré</w:t>
      </w:r>
      <w:r>
        <w:rPr>
          <w:spacing w:val="12"/>
          <w:sz w:val="20"/>
        </w:rPr>
        <w:t xml:space="preserve"> </w:t>
      </w:r>
      <w:r>
        <w:rPr>
          <w:sz w:val="20"/>
        </w:rPr>
        <w:t>změny</w:t>
      </w:r>
      <w:r>
        <w:rPr>
          <w:spacing w:val="15"/>
          <w:sz w:val="20"/>
        </w:rPr>
        <w:t xml:space="preserve"> </w:t>
      </w:r>
      <w:r>
        <w:rPr>
          <w:sz w:val="20"/>
        </w:rPr>
        <w:t>a</w:t>
      </w:r>
      <w:r>
        <w:rPr>
          <w:spacing w:val="12"/>
          <w:sz w:val="20"/>
        </w:rPr>
        <w:t xml:space="preserve"> </w:t>
      </w:r>
      <w:r>
        <w:rPr>
          <w:sz w:val="20"/>
        </w:rPr>
        <w:t>dodatky</w:t>
      </w:r>
      <w:r>
        <w:rPr>
          <w:spacing w:val="15"/>
          <w:sz w:val="20"/>
        </w:rPr>
        <w:t xml:space="preserve"> </w:t>
      </w:r>
      <w:r>
        <w:rPr>
          <w:sz w:val="20"/>
        </w:rPr>
        <w:t>této</w:t>
      </w:r>
      <w:r>
        <w:rPr>
          <w:spacing w:val="12"/>
          <w:sz w:val="20"/>
        </w:rPr>
        <w:t xml:space="preserve"> </w:t>
      </w:r>
      <w:r>
        <w:rPr>
          <w:sz w:val="20"/>
        </w:rPr>
        <w:t>Dohody</w:t>
      </w:r>
      <w:r>
        <w:rPr>
          <w:spacing w:val="15"/>
          <w:sz w:val="20"/>
        </w:rPr>
        <w:t xml:space="preserve"> </w:t>
      </w:r>
      <w:r>
        <w:rPr>
          <w:sz w:val="20"/>
        </w:rPr>
        <w:t>musí</w:t>
      </w:r>
      <w:r>
        <w:rPr>
          <w:spacing w:val="13"/>
          <w:sz w:val="20"/>
        </w:rPr>
        <w:t xml:space="preserve"> </w:t>
      </w:r>
      <w:r>
        <w:rPr>
          <w:sz w:val="20"/>
        </w:rPr>
        <w:t>být</w:t>
      </w:r>
      <w:r>
        <w:rPr>
          <w:spacing w:val="14"/>
          <w:sz w:val="20"/>
        </w:rPr>
        <w:t xml:space="preserve"> </w:t>
      </w:r>
      <w:r>
        <w:rPr>
          <w:sz w:val="20"/>
        </w:rPr>
        <w:t>v</w:t>
      </w:r>
      <w:r>
        <w:rPr>
          <w:spacing w:val="14"/>
          <w:sz w:val="20"/>
        </w:rPr>
        <w:t xml:space="preserve"> </w:t>
      </w:r>
      <w:r>
        <w:rPr>
          <w:sz w:val="20"/>
        </w:rPr>
        <w:t>písemné</w:t>
      </w:r>
      <w:r>
        <w:rPr>
          <w:spacing w:val="16"/>
          <w:sz w:val="20"/>
        </w:rPr>
        <w:t xml:space="preserve"> </w:t>
      </w:r>
      <w:r>
        <w:rPr>
          <w:sz w:val="20"/>
        </w:rPr>
        <w:t>podobě</w:t>
      </w:r>
      <w:r>
        <w:rPr>
          <w:spacing w:val="12"/>
          <w:sz w:val="20"/>
        </w:rPr>
        <w:t xml:space="preserve"> </w:t>
      </w:r>
      <w:r>
        <w:rPr>
          <w:sz w:val="20"/>
        </w:rPr>
        <w:t>a</w:t>
      </w:r>
      <w:r>
        <w:rPr>
          <w:spacing w:val="13"/>
          <w:sz w:val="20"/>
        </w:rPr>
        <w:t xml:space="preserve"> </w:t>
      </w:r>
      <w:r>
        <w:rPr>
          <w:sz w:val="20"/>
        </w:rPr>
        <w:t>na</w:t>
      </w:r>
      <w:r>
        <w:rPr>
          <w:spacing w:val="12"/>
          <w:sz w:val="20"/>
        </w:rPr>
        <w:t xml:space="preserve"> </w:t>
      </w:r>
      <w:r>
        <w:rPr>
          <w:sz w:val="20"/>
        </w:rPr>
        <w:t>téže</w:t>
      </w:r>
      <w:r>
        <w:rPr>
          <w:spacing w:val="16"/>
          <w:sz w:val="20"/>
        </w:rPr>
        <w:t xml:space="preserve"> </w:t>
      </w:r>
      <w:r>
        <w:rPr>
          <w:sz w:val="20"/>
        </w:rPr>
        <w:t>listině</w:t>
      </w:r>
      <w:r>
        <w:rPr>
          <w:spacing w:val="17"/>
          <w:sz w:val="20"/>
        </w:rPr>
        <w:t xml:space="preserve"> </w:t>
      </w:r>
      <w:r>
        <w:rPr>
          <w:sz w:val="20"/>
        </w:rPr>
        <w:t>podepsány</w:t>
      </w:r>
    </w:p>
    <w:p w:rsidR="005A3185" w:rsidRDefault="00C964F8">
      <w:pPr>
        <w:pStyle w:val="Zkladntext"/>
        <w:spacing w:before="1"/>
        <w:ind w:left="685"/>
      </w:pPr>
      <w:r>
        <w:t>všemi Účastníky dohody. Jinou změnu této Dohody Účastníci dohody výslovně vyloučili.</w:t>
      </w:r>
    </w:p>
    <w:p w:rsidR="005A3185" w:rsidRDefault="00C964F8">
      <w:pPr>
        <w:pStyle w:val="Odstavecseseznamem"/>
        <w:numPr>
          <w:ilvl w:val="1"/>
          <w:numId w:val="2"/>
        </w:numPr>
        <w:tabs>
          <w:tab w:val="left" w:pos="686"/>
        </w:tabs>
        <w:spacing w:before="118"/>
        <w:ind w:right="127"/>
        <w:jc w:val="both"/>
        <w:rPr>
          <w:sz w:val="20"/>
        </w:rPr>
      </w:pPr>
      <w:r>
        <w:rPr>
          <w:sz w:val="20"/>
        </w:rPr>
        <w:t>V právních poměrech touto Dohodou neupravených se tato Dohoda řídí právními předpisy České republiky, zejména Občanským</w:t>
      </w:r>
      <w:r>
        <w:rPr>
          <w:spacing w:val="-4"/>
          <w:sz w:val="20"/>
        </w:rPr>
        <w:t xml:space="preserve"> </w:t>
      </w:r>
      <w:r>
        <w:rPr>
          <w:sz w:val="20"/>
        </w:rPr>
        <w:t>zákoníkem.</w:t>
      </w:r>
    </w:p>
    <w:p w:rsidR="005A3185" w:rsidRDefault="00C964F8">
      <w:pPr>
        <w:pStyle w:val="Odstavecseseznamem"/>
        <w:numPr>
          <w:ilvl w:val="1"/>
          <w:numId w:val="2"/>
        </w:numPr>
        <w:tabs>
          <w:tab w:val="left" w:pos="686"/>
        </w:tabs>
        <w:spacing w:before="121"/>
        <w:ind w:right="125"/>
        <w:jc w:val="both"/>
        <w:rPr>
          <w:sz w:val="20"/>
        </w:rPr>
      </w:pPr>
      <w:r>
        <w:rPr>
          <w:sz w:val="20"/>
        </w:rPr>
        <w:t>Pokud se jakékoliv ustanovení této Dohody později ukáže nebo bude určeno jako neplatné, neúčinné</w:t>
      </w:r>
      <w:r>
        <w:rPr>
          <w:spacing w:val="-14"/>
          <w:sz w:val="20"/>
        </w:rPr>
        <w:t xml:space="preserve"> </w:t>
      </w:r>
      <w:r>
        <w:rPr>
          <w:sz w:val="20"/>
        </w:rPr>
        <w:t>nebo</w:t>
      </w:r>
      <w:r>
        <w:rPr>
          <w:spacing w:val="-14"/>
          <w:sz w:val="20"/>
        </w:rPr>
        <w:t xml:space="preserve"> </w:t>
      </w:r>
      <w:r>
        <w:rPr>
          <w:sz w:val="20"/>
        </w:rPr>
        <w:t>nevynutitelné,</w:t>
      </w:r>
      <w:r>
        <w:rPr>
          <w:spacing w:val="-15"/>
          <w:sz w:val="20"/>
        </w:rPr>
        <w:t xml:space="preserve"> </w:t>
      </w:r>
      <w:r>
        <w:rPr>
          <w:sz w:val="20"/>
        </w:rPr>
        <w:t>pak</w:t>
      </w:r>
      <w:r>
        <w:rPr>
          <w:spacing w:val="-13"/>
          <w:sz w:val="20"/>
        </w:rPr>
        <w:t xml:space="preserve"> </w:t>
      </w:r>
      <w:r>
        <w:rPr>
          <w:sz w:val="20"/>
        </w:rPr>
        <w:t>taková</w:t>
      </w:r>
      <w:r>
        <w:rPr>
          <w:spacing w:val="-15"/>
          <w:sz w:val="20"/>
        </w:rPr>
        <w:t xml:space="preserve"> </w:t>
      </w:r>
      <w:r>
        <w:rPr>
          <w:sz w:val="20"/>
        </w:rPr>
        <w:t>neplatnost,</w:t>
      </w:r>
      <w:r>
        <w:rPr>
          <w:spacing w:val="-12"/>
          <w:sz w:val="20"/>
        </w:rPr>
        <w:t xml:space="preserve"> </w:t>
      </w:r>
      <w:r>
        <w:rPr>
          <w:sz w:val="20"/>
        </w:rPr>
        <w:t>neúčinnost</w:t>
      </w:r>
      <w:r>
        <w:rPr>
          <w:spacing w:val="-15"/>
          <w:sz w:val="20"/>
        </w:rPr>
        <w:t xml:space="preserve"> </w:t>
      </w:r>
      <w:r>
        <w:rPr>
          <w:sz w:val="20"/>
        </w:rPr>
        <w:t>nebo</w:t>
      </w:r>
      <w:r>
        <w:rPr>
          <w:spacing w:val="-13"/>
          <w:sz w:val="20"/>
        </w:rPr>
        <w:t xml:space="preserve"> </w:t>
      </w:r>
      <w:r>
        <w:rPr>
          <w:sz w:val="20"/>
        </w:rPr>
        <w:t>nevynutitelnost</w:t>
      </w:r>
      <w:r>
        <w:rPr>
          <w:spacing w:val="-15"/>
          <w:sz w:val="20"/>
        </w:rPr>
        <w:t xml:space="preserve"> </w:t>
      </w:r>
      <w:r>
        <w:rPr>
          <w:sz w:val="20"/>
        </w:rPr>
        <w:t>nezpůsobuje neplatnost, neúčinnost nebo nevynutitelnost Dohody jako celku. V takovém případě se Účastníci Dohody zavazují bez zbytečného prodlení nahradit po vzájemné dohodě neplatné, neúčinné nebo nevynutitelné</w:t>
      </w:r>
      <w:r>
        <w:rPr>
          <w:spacing w:val="-13"/>
          <w:sz w:val="20"/>
        </w:rPr>
        <w:t xml:space="preserve"> </w:t>
      </w:r>
      <w:r>
        <w:rPr>
          <w:sz w:val="20"/>
        </w:rPr>
        <w:t>ustanovení</w:t>
      </w:r>
      <w:r>
        <w:rPr>
          <w:spacing w:val="-12"/>
          <w:sz w:val="20"/>
        </w:rPr>
        <w:t xml:space="preserve"> </w:t>
      </w:r>
      <w:r>
        <w:rPr>
          <w:sz w:val="20"/>
        </w:rPr>
        <w:t>Dohody</w:t>
      </w:r>
      <w:r>
        <w:rPr>
          <w:spacing w:val="-12"/>
          <w:sz w:val="20"/>
        </w:rPr>
        <w:t xml:space="preserve"> </w:t>
      </w:r>
      <w:r>
        <w:rPr>
          <w:sz w:val="20"/>
        </w:rPr>
        <w:t>novým</w:t>
      </w:r>
      <w:r>
        <w:rPr>
          <w:spacing w:val="-12"/>
          <w:sz w:val="20"/>
        </w:rPr>
        <w:t xml:space="preserve"> </w:t>
      </w:r>
      <w:r>
        <w:rPr>
          <w:sz w:val="20"/>
        </w:rPr>
        <w:t>ustanovením,</w:t>
      </w:r>
      <w:r>
        <w:rPr>
          <w:spacing w:val="-10"/>
          <w:sz w:val="20"/>
        </w:rPr>
        <w:t xml:space="preserve"> </w:t>
      </w:r>
      <w:r>
        <w:rPr>
          <w:sz w:val="20"/>
        </w:rPr>
        <w:t>jež</w:t>
      </w:r>
      <w:r>
        <w:rPr>
          <w:spacing w:val="-11"/>
          <w:sz w:val="20"/>
        </w:rPr>
        <w:t xml:space="preserve"> </w:t>
      </w:r>
      <w:r>
        <w:rPr>
          <w:sz w:val="20"/>
        </w:rPr>
        <w:t>nejblíže,</w:t>
      </w:r>
      <w:r>
        <w:rPr>
          <w:spacing w:val="-12"/>
          <w:sz w:val="20"/>
        </w:rPr>
        <w:t xml:space="preserve"> </w:t>
      </w:r>
      <w:r>
        <w:rPr>
          <w:sz w:val="20"/>
        </w:rPr>
        <w:t>v</w:t>
      </w:r>
      <w:r>
        <w:rPr>
          <w:spacing w:val="-11"/>
          <w:sz w:val="20"/>
        </w:rPr>
        <w:t xml:space="preserve"> </w:t>
      </w:r>
      <w:r>
        <w:rPr>
          <w:sz w:val="20"/>
        </w:rPr>
        <w:t>rozsahu</w:t>
      </w:r>
      <w:r>
        <w:rPr>
          <w:spacing w:val="-10"/>
          <w:sz w:val="20"/>
        </w:rPr>
        <w:t xml:space="preserve"> </w:t>
      </w:r>
      <w:r>
        <w:rPr>
          <w:sz w:val="20"/>
        </w:rPr>
        <w:t>povoleném</w:t>
      </w:r>
      <w:r>
        <w:rPr>
          <w:spacing w:val="-10"/>
          <w:sz w:val="20"/>
        </w:rPr>
        <w:t xml:space="preserve"> </w:t>
      </w:r>
      <w:r>
        <w:rPr>
          <w:sz w:val="20"/>
        </w:rPr>
        <w:t>právními předpisy České republiky, odpovídá úmyslu Účastníků dohody v době uzavření této</w:t>
      </w:r>
      <w:r>
        <w:rPr>
          <w:spacing w:val="-23"/>
          <w:sz w:val="20"/>
        </w:rPr>
        <w:t xml:space="preserve"> </w:t>
      </w:r>
      <w:r>
        <w:rPr>
          <w:sz w:val="20"/>
        </w:rPr>
        <w:t>Dohody.</w:t>
      </w:r>
    </w:p>
    <w:p w:rsidR="005A3185" w:rsidRDefault="00C964F8">
      <w:pPr>
        <w:pStyle w:val="Odstavecseseznamem"/>
        <w:numPr>
          <w:ilvl w:val="1"/>
          <w:numId w:val="2"/>
        </w:numPr>
        <w:tabs>
          <w:tab w:val="left" w:pos="686"/>
        </w:tabs>
        <w:spacing w:before="120"/>
        <w:ind w:right="129"/>
        <w:jc w:val="both"/>
        <w:rPr>
          <w:sz w:val="20"/>
        </w:rPr>
      </w:pPr>
      <w:r>
        <w:rPr>
          <w:sz w:val="20"/>
        </w:rPr>
        <w:t>Veškeré</w:t>
      </w:r>
      <w:r>
        <w:rPr>
          <w:spacing w:val="-17"/>
          <w:sz w:val="20"/>
        </w:rPr>
        <w:t xml:space="preserve"> </w:t>
      </w:r>
      <w:r>
        <w:rPr>
          <w:sz w:val="20"/>
        </w:rPr>
        <w:t>spory</w:t>
      </w:r>
      <w:r>
        <w:rPr>
          <w:spacing w:val="-15"/>
          <w:sz w:val="20"/>
        </w:rPr>
        <w:t xml:space="preserve"> </w:t>
      </w:r>
      <w:r>
        <w:rPr>
          <w:sz w:val="20"/>
        </w:rPr>
        <w:t>vzniklé</w:t>
      </w:r>
      <w:r>
        <w:rPr>
          <w:spacing w:val="-16"/>
          <w:sz w:val="20"/>
        </w:rPr>
        <w:t xml:space="preserve"> </w:t>
      </w:r>
      <w:r>
        <w:rPr>
          <w:sz w:val="20"/>
        </w:rPr>
        <w:t>z</w:t>
      </w:r>
      <w:r>
        <w:rPr>
          <w:spacing w:val="-15"/>
          <w:sz w:val="20"/>
        </w:rPr>
        <w:t xml:space="preserve"> </w:t>
      </w:r>
      <w:r>
        <w:rPr>
          <w:sz w:val="20"/>
        </w:rPr>
        <w:t>této</w:t>
      </w:r>
      <w:r>
        <w:rPr>
          <w:spacing w:val="-15"/>
          <w:sz w:val="20"/>
        </w:rPr>
        <w:t xml:space="preserve"> </w:t>
      </w:r>
      <w:r>
        <w:rPr>
          <w:sz w:val="20"/>
        </w:rPr>
        <w:t>Dohody</w:t>
      </w:r>
      <w:r>
        <w:rPr>
          <w:spacing w:val="-15"/>
          <w:sz w:val="20"/>
        </w:rPr>
        <w:t xml:space="preserve"> </w:t>
      </w:r>
      <w:r>
        <w:rPr>
          <w:sz w:val="20"/>
        </w:rPr>
        <w:t>či</w:t>
      </w:r>
      <w:r>
        <w:rPr>
          <w:spacing w:val="-17"/>
          <w:sz w:val="20"/>
        </w:rPr>
        <w:t xml:space="preserve"> </w:t>
      </w:r>
      <w:r>
        <w:rPr>
          <w:sz w:val="20"/>
        </w:rPr>
        <w:t>z</w:t>
      </w:r>
      <w:r>
        <w:rPr>
          <w:spacing w:val="-16"/>
          <w:sz w:val="20"/>
        </w:rPr>
        <w:t xml:space="preserve"> </w:t>
      </w:r>
      <w:r>
        <w:rPr>
          <w:sz w:val="20"/>
        </w:rPr>
        <w:t>právních</w:t>
      </w:r>
      <w:r>
        <w:rPr>
          <w:spacing w:val="-16"/>
          <w:sz w:val="20"/>
        </w:rPr>
        <w:t xml:space="preserve"> </w:t>
      </w:r>
      <w:r>
        <w:rPr>
          <w:sz w:val="20"/>
        </w:rPr>
        <w:t>vztahů</w:t>
      </w:r>
      <w:r>
        <w:rPr>
          <w:spacing w:val="-16"/>
          <w:sz w:val="20"/>
        </w:rPr>
        <w:t xml:space="preserve"> </w:t>
      </w:r>
      <w:r>
        <w:rPr>
          <w:sz w:val="20"/>
        </w:rPr>
        <w:t>s</w:t>
      </w:r>
      <w:r>
        <w:rPr>
          <w:spacing w:val="-15"/>
          <w:sz w:val="20"/>
        </w:rPr>
        <w:t xml:space="preserve"> </w:t>
      </w:r>
      <w:r>
        <w:rPr>
          <w:sz w:val="20"/>
        </w:rPr>
        <w:t>ní</w:t>
      </w:r>
      <w:r>
        <w:rPr>
          <w:spacing w:val="-17"/>
          <w:sz w:val="20"/>
        </w:rPr>
        <w:t xml:space="preserve"> </w:t>
      </w:r>
      <w:r>
        <w:rPr>
          <w:sz w:val="20"/>
        </w:rPr>
        <w:t>souvisejících</w:t>
      </w:r>
      <w:r>
        <w:rPr>
          <w:spacing w:val="-16"/>
          <w:sz w:val="20"/>
        </w:rPr>
        <w:t xml:space="preserve"> </w:t>
      </w:r>
      <w:r>
        <w:rPr>
          <w:sz w:val="20"/>
        </w:rPr>
        <w:t>budou</w:t>
      </w:r>
      <w:r>
        <w:rPr>
          <w:spacing w:val="-16"/>
          <w:sz w:val="20"/>
        </w:rPr>
        <w:t xml:space="preserve"> </w:t>
      </w:r>
      <w:r>
        <w:rPr>
          <w:sz w:val="20"/>
        </w:rPr>
        <w:t>Účastníci</w:t>
      </w:r>
      <w:r>
        <w:rPr>
          <w:spacing w:val="-17"/>
          <w:sz w:val="20"/>
        </w:rPr>
        <w:t xml:space="preserve"> </w:t>
      </w:r>
      <w:r>
        <w:rPr>
          <w:sz w:val="20"/>
        </w:rPr>
        <w:t>Dohody řešit dohodou. V případě, že nebude možné spor urovnat dohodou, bude takový spor rozhodovat na návrh jednoho z Účastníků dohody věcně a místně příslušný soud v České</w:t>
      </w:r>
      <w:r>
        <w:rPr>
          <w:spacing w:val="-17"/>
          <w:sz w:val="20"/>
        </w:rPr>
        <w:t xml:space="preserve"> </w:t>
      </w:r>
      <w:r>
        <w:rPr>
          <w:sz w:val="20"/>
        </w:rPr>
        <w:t>republice.</w:t>
      </w:r>
    </w:p>
    <w:p w:rsidR="005A3185" w:rsidRDefault="00C964F8">
      <w:pPr>
        <w:pStyle w:val="Odstavecseseznamem"/>
        <w:numPr>
          <w:ilvl w:val="1"/>
          <w:numId w:val="2"/>
        </w:numPr>
        <w:tabs>
          <w:tab w:val="left" w:pos="686"/>
        </w:tabs>
        <w:spacing w:before="119"/>
        <w:ind w:right="124"/>
        <w:jc w:val="both"/>
        <w:rPr>
          <w:sz w:val="20"/>
        </w:rPr>
      </w:pPr>
      <w:r>
        <w:rPr>
          <w:sz w:val="20"/>
        </w:rPr>
        <w:t>Prodávající není oprávněn bez předchozího písemného souhlasu Kupujícího postoupit, převést, měnit, zastavit či jinak zatížit ani jakkoli jinak disponovat s touto Dohodou, její částí nebo jednotlivými právy či pohledávkami z ní vyplývajícími, či ujednat s třetí osobou převzetí povinností či dluhů vyplývajících z této Dohody, a to po dobu trvání této</w:t>
      </w:r>
      <w:r>
        <w:rPr>
          <w:spacing w:val="-14"/>
          <w:sz w:val="20"/>
        </w:rPr>
        <w:t xml:space="preserve"> </w:t>
      </w:r>
      <w:r>
        <w:rPr>
          <w:sz w:val="20"/>
        </w:rPr>
        <w:t>Dohody.</w:t>
      </w:r>
    </w:p>
    <w:p w:rsidR="005A3185" w:rsidRDefault="00C964F8" w:rsidP="00C964F8">
      <w:pPr>
        <w:pStyle w:val="Odstavecseseznamem"/>
        <w:numPr>
          <w:ilvl w:val="1"/>
          <w:numId w:val="2"/>
        </w:numPr>
        <w:tabs>
          <w:tab w:val="left" w:pos="685"/>
          <w:tab w:val="left" w:pos="686"/>
        </w:tabs>
        <w:spacing w:before="122"/>
        <w:ind w:hanging="568"/>
        <w:jc w:val="both"/>
        <w:rPr>
          <w:sz w:val="20"/>
        </w:rPr>
      </w:pPr>
      <w:r>
        <w:rPr>
          <w:sz w:val="20"/>
        </w:rPr>
        <w:t>Prodávající</w:t>
      </w:r>
      <w:r>
        <w:rPr>
          <w:spacing w:val="-8"/>
          <w:sz w:val="20"/>
        </w:rPr>
        <w:t xml:space="preserve"> </w:t>
      </w:r>
      <w:r>
        <w:rPr>
          <w:sz w:val="20"/>
        </w:rPr>
        <w:t>byl</w:t>
      </w:r>
      <w:r>
        <w:rPr>
          <w:spacing w:val="-11"/>
          <w:sz w:val="20"/>
        </w:rPr>
        <w:t xml:space="preserve"> </w:t>
      </w:r>
      <w:r>
        <w:rPr>
          <w:sz w:val="20"/>
        </w:rPr>
        <w:t>seznámen</w:t>
      </w:r>
      <w:r>
        <w:rPr>
          <w:spacing w:val="-10"/>
          <w:sz w:val="20"/>
        </w:rPr>
        <w:t xml:space="preserve"> </w:t>
      </w:r>
      <w:r>
        <w:rPr>
          <w:sz w:val="20"/>
        </w:rPr>
        <w:t>se</w:t>
      </w:r>
      <w:r>
        <w:rPr>
          <w:spacing w:val="-11"/>
          <w:sz w:val="20"/>
        </w:rPr>
        <w:t xml:space="preserve"> </w:t>
      </w:r>
      <w:r>
        <w:rPr>
          <w:sz w:val="20"/>
        </w:rPr>
        <w:t>skutečností,</w:t>
      </w:r>
      <w:r>
        <w:rPr>
          <w:spacing w:val="-7"/>
          <w:sz w:val="20"/>
        </w:rPr>
        <w:t xml:space="preserve"> </w:t>
      </w:r>
      <w:r>
        <w:rPr>
          <w:sz w:val="20"/>
        </w:rPr>
        <w:t>že</w:t>
      </w:r>
      <w:r>
        <w:rPr>
          <w:spacing w:val="-11"/>
          <w:sz w:val="20"/>
        </w:rPr>
        <w:t xml:space="preserve"> </w:t>
      </w:r>
      <w:r>
        <w:rPr>
          <w:sz w:val="20"/>
        </w:rPr>
        <w:t>tato</w:t>
      </w:r>
      <w:r>
        <w:rPr>
          <w:spacing w:val="-8"/>
          <w:sz w:val="20"/>
        </w:rPr>
        <w:t xml:space="preserve"> </w:t>
      </w:r>
      <w:r>
        <w:rPr>
          <w:sz w:val="20"/>
        </w:rPr>
        <w:t>Dohoda</w:t>
      </w:r>
      <w:r>
        <w:rPr>
          <w:spacing w:val="-10"/>
          <w:sz w:val="20"/>
        </w:rPr>
        <w:t xml:space="preserve"> </w:t>
      </w:r>
      <w:r>
        <w:rPr>
          <w:sz w:val="20"/>
        </w:rPr>
        <w:t>bude</w:t>
      </w:r>
      <w:r>
        <w:rPr>
          <w:spacing w:val="-8"/>
          <w:sz w:val="20"/>
        </w:rPr>
        <w:t xml:space="preserve"> </w:t>
      </w:r>
      <w:r>
        <w:rPr>
          <w:sz w:val="20"/>
        </w:rPr>
        <w:t>zveřejněna</w:t>
      </w:r>
      <w:r>
        <w:rPr>
          <w:spacing w:val="-10"/>
          <w:sz w:val="20"/>
        </w:rPr>
        <w:t xml:space="preserve"> </w:t>
      </w:r>
      <w:r>
        <w:rPr>
          <w:sz w:val="20"/>
        </w:rPr>
        <w:t>v</w:t>
      </w:r>
      <w:r>
        <w:rPr>
          <w:spacing w:val="-9"/>
          <w:sz w:val="20"/>
        </w:rPr>
        <w:t xml:space="preserve"> </w:t>
      </w:r>
      <w:r>
        <w:rPr>
          <w:sz w:val="20"/>
        </w:rPr>
        <w:t>souladu</w:t>
      </w:r>
      <w:r>
        <w:rPr>
          <w:spacing w:val="-10"/>
          <w:sz w:val="20"/>
        </w:rPr>
        <w:t xml:space="preserve"> </w:t>
      </w:r>
      <w:r>
        <w:rPr>
          <w:sz w:val="20"/>
        </w:rPr>
        <w:t>s</w:t>
      </w:r>
      <w:r>
        <w:rPr>
          <w:spacing w:val="-9"/>
          <w:sz w:val="20"/>
        </w:rPr>
        <w:t xml:space="preserve"> </w:t>
      </w:r>
      <w:r>
        <w:rPr>
          <w:sz w:val="20"/>
        </w:rPr>
        <w:t>příslušnými</w:t>
      </w:r>
    </w:p>
    <w:p w:rsidR="00C964F8" w:rsidRDefault="00C964F8" w:rsidP="00C964F8">
      <w:pPr>
        <w:pStyle w:val="Zkladntext"/>
        <w:ind w:left="117"/>
        <w:jc w:val="both"/>
      </w:pPr>
      <w:r>
        <w:t>právními předpisy.</w:t>
      </w:r>
    </w:p>
    <w:p w:rsidR="00C964F8" w:rsidRDefault="00C964F8" w:rsidP="00C964F8">
      <w:pPr>
        <w:pStyle w:val="Odstavecseseznamem"/>
        <w:numPr>
          <w:ilvl w:val="1"/>
          <w:numId w:val="2"/>
        </w:numPr>
        <w:tabs>
          <w:tab w:val="left" w:pos="685"/>
        </w:tabs>
        <w:spacing w:before="79"/>
        <w:ind w:left="684" w:right="127"/>
        <w:jc w:val="both"/>
        <w:rPr>
          <w:sz w:val="20"/>
        </w:rPr>
      </w:pPr>
      <w:r>
        <w:rPr>
          <w:sz w:val="20"/>
        </w:rPr>
        <w:t>Prodávající tímto uděluje souhlas s uveřejněním této Dohody del zákona č. 340/2015 Sb. o zvláštních podmínkách účinnosti některých smluv, uveřejňování těchto smluv a o registru smluv (dále</w:t>
      </w:r>
      <w:r>
        <w:rPr>
          <w:spacing w:val="-7"/>
          <w:sz w:val="20"/>
        </w:rPr>
        <w:t xml:space="preserve"> </w:t>
      </w:r>
      <w:r>
        <w:rPr>
          <w:sz w:val="20"/>
        </w:rPr>
        <w:t>jen</w:t>
      </w:r>
      <w:r>
        <w:rPr>
          <w:spacing w:val="-6"/>
          <w:sz w:val="20"/>
        </w:rPr>
        <w:t xml:space="preserve"> </w:t>
      </w:r>
      <w:r>
        <w:rPr>
          <w:sz w:val="20"/>
        </w:rPr>
        <w:t>“Zákon</w:t>
      </w:r>
      <w:r>
        <w:rPr>
          <w:spacing w:val="-7"/>
          <w:sz w:val="20"/>
        </w:rPr>
        <w:t xml:space="preserve"> </w:t>
      </w:r>
      <w:r>
        <w:rPr>
          <w:sz w:val="20"/>
        </w:rPr>
        <w:t>o</w:t>
      </w:r>
      <w:r>
        <w:rPr>
          <w:spacing w:val="-6"/>
          <w:sz w:val="20"/>
        </w:rPr>
        <w:t xml:space="preserve"> </w:t>
      </w:r>
      <w:r>
        <w:rPr>
          <w:sz w:val="20"/>
        </w:rPr>
        <w:t>registru</w:t>
      </w:r>
      <w:r>
        <w:rPr>
          <w:spacing w:val="-4"/>
          <w:sz w:val="20"/>
        </w:rPr>
        <w:t xml:space="preserve"> </w:t>
      </w:r>
      <w:r>
        <w:rPr>
          <w:sz w:val="20"/>
        </w:rPr>
        <w:t>smluv”),</w:t>
      </w:r>
      <w:r>
        <w:rPr>
          <w:spacing w:val="-5"/>
          <w:sz w:val="20"/>
        </w:rPr>
        <w:t xml:space="preserve"> </w:t>
      </w:r>
      <w:r>
        <w:rPr>
          <w:sz w:val="20"/>
        </w:rPr>
        <w:t>a</w:t>
      </w:r>
      <w:r>
        <w:rPr>
          <w:spacing w:val="-6"/>
          <w:sz w:val="20"/>
        </w:rPr>
        <w:t xml:space="preserve"> </w:t>
      </w:r>
      <w:r>
        <w:rPr>
          <w:sz w:val="20"/>
        </w:rPr>
        <w:t>zákona</w:t>
      </w:r>
      <w:r>
        <w:rPr>
          <w:spacing w:val="-7"/>
          <w:sz w:val="20"/>
        </w:rPr>
        <w:t xml:space="preserve"> </w:t>
      </w:r>
      <w:r>
        <w:rPr>
          <w:sz w:val="20"/>
        </w:rPr>
        <w:t>č.</w:t>
      </w:r>
      <w:r>
        <w:rPr>
          <w:spacing w:val="-3"/>
          <w:sz w:val="20"/>
        </w:rPr>
        <w:t xml:space="preserve"> </w:t>
      </w:r>
      <w:r>
        <w:rPr>
          <w:sz w:val="20"/>
        </w:rPr>
        <w:t>106/1999</w:t>
      </w:r>
      <w:r>
        <w:rPr>
          <w:spacing w:val="-7"/>
          <w:sz w:val="20"/>
        </w:rPr>
        <w:t xml:space="preserve"> </w:t>
      </w:r>
      <w:r>
        <w:rPr>
          <w:sz w:val="20"/>
        </w:rPr>
        <w:t>Sb.</w:t>
      </w:r>
      <w:r>
        <w:rPr>
          <w:spacing w:val="-5"/>
          <w:sz w:val="20"/>
        </w:rPr>
        <w:t xml:space="preserve"> </w:t>
      </w:r>
      <w:r>
        <w:rPr>
          <w:sz w:val="20"/>
        </w:rPr>
        <w:t>o</w:t>
      </w:r>
      <w:r>
        <w:rPr>
          <w:spacing w:val="-4"/>
          <w:sz w:val="20"/>
        </w:rPr>
        <w:t xml:space="preserve"> </w:t>
      </w:r>
      <w:r>
        <w:rPr>
          <w:sz w:val="20"/>
        </w:rPr>
        <w:t>svobodném</w:t>
      </w:r>
      <w:r>
        <w:rPr>
          <w:spacing w:val="-7"/>
          <w:sz w:val="20"/>
        </w:rPr>
        <w:t xml:space="preserve"> </w:t>
      </w:r>
      <w:r>
        <w:rPr>
          <w:sz w:val="20"/>
        </w:rPr>
        <w:t>přístupu</w:t>
      </w:r>
      <w:r>
        <w:rPr>
          <w:spacing w:val="-6"/>
          <w:sz w:val="20"/>
        </w:rPr>
        <w:t xml:space="preserve"> </w:t>
      </w:r>
      <w:r>
        <w:rPr>
          <w:sz w:val="20"/>
        </w:rPr>
        <w:t>k</w:t>
      </w:r>
      <w:r>
        <w:rPr>
          <w:spacing w:val="-5"/>
          <w:sz w:val="20"/>
        </w:rPr>
        <w:t xml:space="preserve"> </w:t>
      </w:r>
      <w:r>
        <w:rPr>
          <w:sz w:val="20"/>
        </w:rPr>
        <w:t>informacím.</w:t>
      </w:r>
    </w:p>
    <w:p w:rsidR="00C964F8" w:rsidRDefault="00C964F8" w:rsidP="00C964F8">
      <w:pPr>
        <w:pStyle w:val="Odstavecseseznamem"/>
        <w:numPr>
          <w:ilvl w:val="1"/>
          <w:numId w:val="2"/>
        </w:numPr>
        <w:tabs>
          <w:tab w:val="left" w:pos="684"/>
          <w:tab w:val="left" w:pos="685"/>
        </w:tabs>
        <w:spacing w:before="119"/>
        <w:ind w:left="684"/>
        <w:rPr>
          <w:sz w:val="20"/>
        </w:rPr>
      </w:pPr>
      <w:r>
        <w:rPr>
          <w:sz w:val="20"/>
        </w:rPr>
        <w:t>Účastníci</w:t>
      </w:r>
      <w:r>
        <w:rPr>
          <w:spacing w:val="-11"/>
          <w:sz w:val="20"/>
        </w:rPr>
        <w:t xml:space="preserve"> </w:t>
      </w:r>
      <w:r>
        <w:rPr>
          <w:sz w:val="20"/>
        </w:rPr>
        <w:t>dohody</w:t>
      </w:r>
      <w:r>
        <w:rPr>
          <w:spacing w:val="-9"/>
          <w:sz w:val="20"/>
        </w:rPr>
        <w:t xml:space="preserve"> </w:t>
      </w:r>
      <w:r>
        <w:rPr>
          <w:sz w:val="20"/>
        </w:rPr>
        <w:t>se</w:t>
      </w:r>
      <w:r>
        <w:rPr>
          <w:spacing w:val="-11"/>
          <w:sz w:val="20"/>
        </w:rPr>
        <w:t xml:space="preserve"> </w:t>
      </w:r>
      <w:r>
        <w:rPr>
          <w:sz w:val="20"/>
        </w:rPr>
        <w:t>dohodli,</w:t>
      </w:r>
      <w:r>
        <w:rPr>
          <w:spacing w:val="-10"/>
          <w:sz w:val="20"/>
        </w:rPr>
        <w:t xml:space="preserve"> </w:t>
      </w:r>
      <w:r>
        <w:rPr>
          <w:sz w:val="20"/>
        </w:rPr>
        <w:t>že</w:t>
      </w:r>
      <w:r>
        <w:rPr>
          <w:spacing w:val="-11"/>
          <w:sz w:val="20"/>
        </w:rPr>
        <w:t xml:space="preserve"> </w:t>
      </w:r>
      <w:r>
        <w:rPr>
          <w:sz w:val="20"/>
        </w:rPr>
        <w:t>Kupující</w:t>
      </w:r>
      <w:r>
        <w:rPr>
          <w:spacing w:val="-10"/>
          <w:sz w:val="20"/>
        </w:rPr>
        <w:t xml:space="preserve"> </w:t>
      </w:r>
      <w:r>
        <w:rPr>
          <w:sz w:val="20"/>
        </w:rPr>
        <w:t>uveřejní</w:t>
      </w:r>
      <w:r>
        <w:rPr>
          <w:spacing w:val="-10"/>
          <w:sz w:val="20"/>
        </w:rPr>
        <w:t xml:space="preserve"> </w:t>
      </w:r>
      <w:r>
        <w:rPr>
          <w:sz w:val="20"/>
        </w:rPr>
        <w:t>Dohodu</w:t>
      </w:r>
      <w:r>
        <w:rPr>
          <w:spacing w:val="-11"/>
          <w:sz w:val="20"/>
        </w:rPr>
        <w:t xml:space="preserve"> </w:t>
      </w:r>
      <w:r>
        <w:rPr>
          <w:sz w:val="20"/>
        </w:rPr>
        <w:t>v</w:t>
      </w:r>
      <w:r>
        <w:rPr>
          <w:spacing w:val="-9"/>
          <w:sz w:val="20"/>
        </w:rPr>
        <w:t xml:space="preserve"> </w:t>
      </w:r>
      <w:r>
        <w:rPr>
          <w:sz w:val="20"/>
        </w:rPr>
        <w:t>Registru</w:t>
      </w:r>
      <w:r>
        <w:rPr>
          <w:spacing w:val="-11"/>
          <w:sz w:val="20"/>
        </w:rPr>
        <w:t xml:space="preserve"> </w:t>
      </w:r>
      <w:r>
        <w:rPr>
          <w:sz w:val="20"/>
        </w:rPr>
        <w:t>smluv</w:t>
      </w:r>
      <w:r>
        <w:rPr>
          <w:spacing w:val="-8"/>
          <w:sz w:val="20"/>
        </w:rPr>
        <w:t xml:space="preserve"> </w:t>
      </w:r>
      <w:r>
        <w:rPr>
          <w:sz w:val="20"/>
        </w:rPr>
        <w:t>ve</w:t>
      </w:r>
      <w:r>
        <w:rPr>
          <w:spacing w:val="-11"/>
          <w:sz w:val="20"/>
        </w:rPr>
        <w:t xml:space="preserve"> </w:t>
      </w:r>
      <w:r>
        <w:rPr>
          <w:sz w:val="20"/>
        </w:rPr>
        <w:t>lhůtě</w:t>
      </w:r>
      <w:r>
        <w:rPr>
          <w:spacing w:val="-11"/>
          <w:sz w:val="20"/>
        </w:rPr>
        <w:t xml:space="preserve"> </w:t>
      </w:r>
      <w:r>
        <w:rPr>
          <w:sz w:val="20"/>
        </w:rPr>
        <w:t>dané</w:t>
      </w:r>
      <w:r>
        <w:rPr>
          <w:spacing w:val="-11"/>
          <w:sz w:val="20"/>
        </w:rPr>
        <w:t xml:space="preserve"> </w:t>
      </w:r>
      <w:r>
        <w:rPr>
          <w:sz w:val="20"/>
        </w:rPr>
        <w:t>zákonem</w:t>
      </w:r>
    </w:p>
    <w:p w:rsidR="00C964F8" w:rsidRDefault="00C964F8" w:rsidP="00C964F8">
      <w:pPr>
        <w:pStyle w:val="Zkladntext"/>
        <w:spacing w:before="1"/>
        <w:ind w:left="684"/>
      </w:pPr>
      <w:r>
        <w:t>o registru smluv, a o tomto Prodávajícího ke dni uveřejnění informuje.</w:t>
      </w:r>
    </w:p>
    <w:p w:rsidR="00C964F8" w:rsidRDefault="00C964F8" w:rsidP="00C964F8">
      <w:pPr>
        <w:pStyle w:val="Odstavecseseznamem"/>
        <w:numPr>
          <w:ilvl w:val="1"/>
          <w:numId w:val="2"/>
        </w:numPr>
        <w:tabs>
          <w:tab w:val="left" w:pos="685"/>
        </w:tabs>
        <w:spacing w:before="120"/>
        <w:ind w:left="684"/>
        <w:rPr>
          <w:sz w:val="20"/>
        </w:rPr>
      </w:pPr>
      <w:r>
        <w:rPr>
          <w:sz w:val="20"/>
        </w:rPr>
        <w:t>Účastníci dohody souhlasí s uveřejněním svých osobních</w:t>
      </w:r>
      <w:r>
        <w:rPr>
          <w:spacing w:val="-4"/>
          <w:sz w:val="20"/>
        </w:rPr>
        <w:t xml:space="preserve"> </w:t>
      </w:r>
      <w:r>
        <w:rPr>
          <w:sz w:val="20"/>
        </w:rPr>
        <w:t>údajů.</w:t>
      </w:r>
    </w:p>
    <w:p w:rsidR="00C964F8" w:rsidRDefault="00C964F8" w:rsidP="00C964F8">
      <w:pPr>
        <w:pStyle w:val="Odstavecseseznamem"/>
        <w:numPr>
          <w:ilvl w:val="1"/>
          <w:numId w:val="2"/>
        </w:numPr>
        <w:tabs>
          <w:tab w:val="left" w:pos="685"/>
        </w:tabs>
        <w:spacing w:before="121"/>
        <w:rPr>
          <w:sz w:val="20"/>
        </w:rPr>
      </w:pPr>
      <w:r>
        <w:rPr>
          <w:sz w:val="20"/>
        </w:rPr>
        <w:t>Dohoda nabývá účinnosti nejdříve dnem uveřejnění v registru smluv v souladu s ustanovením §</w:t>
      </w:r>
      <w:r>
        <w:rPr>
          <w:spacing w:val="24"/>
          <w:sz w:val="20"/>
        </w:rPr>
        <w:t xml:space="preserve"> </w:t>
      </w:r>
      <w:r>
        <w:rPr>
          <w:sz w:val="20"/>
        </w:rPr>
        <w:t>6</w:t>
      </w:r>
    </w:p>
    <w:p w:rsidR="00C964F8" w:rsidRDefault="00C964F8" w:rsidP="00C964F8">
      <w:pPr>
        <w:pStyle w:val="Zkladntext"/>
        <w:ind w:left="684"/>
      </w:pPr>
      <w:r>
        <w:t>odst.1 Zákona o registru smluv.</w:t>
      </w:r>
    </w:p>
    <w:p w:rsidR="00C964F8" w:rsidRDefault="00C964F8" w:rsidP="00C964F8">
      <w:pPr>
        <w:pStyle w:val="Zkladntext"/>
        <w:ind w:left="684"/>
      </w:pPr>
    </w:p>
    <w:p w:rsidR="00C964F8" w:rsidRPr="001E7F2A" w:rsidRDefault="00C964F8" w:rsidP="00C964F8">
      <w:pPr>
        <w:pStyle w:val="Zkladntext"/>
        <w:ind w:left="684"/>
      </w:pPr>
      <w:r>
        <w:t>Účastníci dohody</w:t>
      </w:r>
      <w:r w:rsidRPr="001E7F2A">
        <w:t xml:space="preserve"> se výslovně dohodly, že ujednání této </w:t>
      </w:r>
      <w:r>
        <w:t>Dohody</w:t>
      </w:r>
      <w:r w:rsidRPr="001E7F2A">
        <w:t xml:space="preserve"> se použijí i na právní poměry vzniklé mezi </w:t>
      </w:r>
      <w:r>
        <w:t>účastníky dohody od 1. 2</w:t>
      </w:r>
      <w:r w:rsidRPr="001E7F2A">
        <w:t xml:space="preserve">. 2021 do okamžiku nabytí účinnosti této </w:t>
      </w:r>
      <w:r>
        <w:t>Dohody</w:t>
      </w:r>
      <w:r w:rsidRPr="001E7F2A">
        <w:t xml:space="preserve"> dle registru smluv.</w:t>
      </w:r>
    </w:p>
    <w:p w:rsidR="00C964F8" w:rsidRDefault="00C964F8" w:rsidP="00C964F8">
      <w:pPr>
        <w:pStyle w:val="Zkladntext"/>
        <w:ind w:left="684"/>
      </w:pPr>
    </w:p>
    <w:p w:rsidR="00C964F8" w:rsidRDefault="00C964F8" w:rsidP="00C964F8">
      <w:pPr>
        <w:pStyle w:val="Odstavecseseznamem"/>
        <w:numPr>
          <w:ilvl w:val="1"/>
          <w:numId w:val="2"/>
        </w:numPr>
        <w:tabs>
          <w:tab w:val="left" w:pos="686"/>
        </w:tabs>
        <w:spacing w:before="118"/>
        <w:ind w:right="126"/>
        <w:jc w:val="both"/>
        <w:rPr>
          <w:sz w:val="20"/>
        </w:rPr>
      </w:pPr>
      <w:r>
        <w:rPr>
          <w:sz w:val="20"/>
        </w:rPr>
        <w:t>Účastníci dohody jsou povinni označit údaje v Dohodě, které jsou chráněny zvláštními zákony a nemohou být poskytnuty, a to žlutou barvou zvýraznění textu či přímo ve zvláštním ustanovení Dohody</w:t>
      </w:r>
      <w:r>
        <w:rPr>
          <w:spacing w:val="-12"/>
          <w:sz w:val="20"/>
        </w:rPr>
        <w:t xml:space="preserve"> </w:t>
      </w:r>
      <w:r>
        <w:rPr>
          <w:sz w:val="20"/>
        </w:rPr>
        <w:t>je</w:t>
      </w:r>
      <w:r>
        <w:rPr>
          <w:spacing w:val="-14"/>
          <w:sz w:val="20"/>
        </w:rPr>
        <w:t xml:space="preserve"> </w:t>
      </w:r>
      <w:r>
        <w:rPr>
          <w:sz w:val="20"/>
        </w:rPr>
        <w:t>označit</w:t>
      </w:r>
      <w:r>
        <w:rPr>
          <w:spacing w:val="-11"/>
          <w:sz w:val="20"/>
        </w:rPr>
        <w:t xml:space="preserve"> </w:t>
      </w:r>
      <w:r>
        <w:rPr>
          <w:sz w:val="20"/>
        </w:rPr>
        <w:t>např.</w:t>
      </w:r>
      <w:r>
        <w:rPr>
          <w:spacing w:val="-11"/>
          <w:sz w:val="20"/>
        </w:rPr>
        <w:t xml:space="preserve"> </w:t>
      </w:r>
      <w:r>
        <w:rPr>
          <w:sz w:val="20"/>
        </w:rPr>
        <w:t>jako</w:t>
      </w:r>
      <w:r>
        <w:rPr>
          <w:spacing w:val="-13"/>
          <w:sz w:val="20"/>
        </w:rPr>
        <w:t xml:space="preserve"> </w:t>
      </w:r>
      <w:r>
        <w:rPr>
          <w:sz w:val="20"/>
        </w:rPr>
        <w:t>obchodní</w:t>
      </w:r>
      <w:r>
        <w:rPr>
          <w:spacing w:val="-14"/>
          <w:sz w:val="20"/>
        </w:rPr>
        <w:t xml:space="preserve"> </w:t>
      </w:r>
      <w:r>
        <w:rPr>
          <w:sz w:val="20"/>
        </w:rPr>
        <w:t>tajemství</w:t>
      </w:r>
      <w:r>
        <w:rPr>
          <w:spacing w:val="-13"/>
          <w:sz w:val="20"/>
        </w:rPr>
        <w:t xml:space="preserve"> </w:t>
      </w:r>
      <w:r>
        <w:rPr>
          <w:sz w:val="20"/>
        </w:rPr>
        <w:t>nebo</w:t>
      </w:r>
      <w:r>
        <w:rPr>
          <w:spacing w:val="-11"/>
          <w:sz w:val="20"/>
        </w:rPr>
        <w:t xml:space="preserve"> </w:t>
      </w:r>
      <w:r>
        <w:rPr>
          <w:sz w:val="20"/>
        </w:rPr>
        <w:t>jinou</w:t>
      </w:r>
      <w:r>
        <w:rPr>
          <w:spacing w:val="-12"/>
          <w:sz w:val="20"/>
        </w:rPr>
        <w:t xml:space="preserve"> </w:t>
      </w:r>
      <w:r>
        <w:rPr>
          <w:sz w:val="20"/>
        </w:rPr>
        <w:t>utajovanou</w:t>
      </w:r>
      <w:r>
        <w:rPr>
          <w:spacing w:val="-11"/>
          <w:sz w:val="20"/>
        </w:rPr>
        <w:t xml:space="preserve"> </w:t>
      </w:r>
      <w:r>
        <w:rPr>
          <w:sz w:val="20"/>
        </w:rPr>
        <w:t>skutečnost</w:t>
      </w:r>
      <w:r>
        <w:rPr>
          <w:spacing w:val="-11"/>
          <w:sz w:val="20"/>
        </w:rPr>
        <w:t xml:space="preserve"> </w:t>
      </w:r>
      <w:r>
        <w:rPr>
          <w:sz w:val="20"/>
        </w:rPr>
        <w:t>podle</w:t>
      </w:r>
      <w:r>
        <w:rPr>
          <w:spacing w:val="-13"/>
          <w:sz w:val="20"/>
        </w:rPr>
        <w:t xml:space="preserve"> </w:t>
      </w:r>
      <w:r>
        <w:rPr>
          <w:sz w:val="20"/>
        </w:rPr>
        <w:t>zvláštního zákona.</w:t>
      </w:r>
    </w:p>
    <w:p w:rsidR="00C964F8" w:rsidRDefault="00C964F8" w:rsidP="00C964F8">
      <w:pPr>
        <w:pStyle w:val="Odstavecseseznamem"/>
        <w:numPr>
          <w:ilvl w:val="1"/>
          <w:numId w:val="2"/>
        </w:numPr>
        <w:tabs>
          <w:tab w:val="left" w:pos="686"/>
        </w:tabs>
        <w:spacing w:before="122"/>
        <w:ind w:hanging="568"/>
        <w:rPr>
          <w:sz w:val="20"/>
        </w:rPr>
      </w:pPr>
      <w:r>
        <w:rPr>
          <w:sz w:val="20"/>
        </w:rPr>
        <w:t>Tato</w:t>
      </w:r>
      <w:r>
        <w:rPr>
          <w:spacing w:val="3"/>
          <w:sz w:val="20"/>
        </w:rPr>
        <w:t xml:space="preserve"> </w:t>
      </w:r>
      <w:r>
        <w:rPr>
          <w:sz w:val="20"/>
        </w:rPr>
        <w:t>Dohoda</w:t>
      </w:r>
      <w:r>
        <w:rPr>
          <w:spacing w:val="4"/>
          <w:sz w:val="20"/>
        </w:rPr>
        <w:t xml:space="preserve"> </w:t>
      </w:r>
      <w:r>
        <w:rPr>
          <w:sz w:val="20"/>
        </w:rPr>
        <w:t>byla</w:t>
      </w:r>
      <w:r>
        <w:rPr>
          <w:spacing w:val="4"/>
          <w:sz w:val="20"/>
        </w:rPr>
        <w:t xml:space="preserve"> </w:t>
      </w:r>
      <w:r>
        <w:rPr>
          <w:sz w:val="20"/>
        </w:rPr>
        <w:t>sepsána</w:t>
      </w:r>
      <w:r>
        <w:rPr>
          <w:spacing w:val="6"/>
          <w:sz w:val="20"/>
        </w:rPr>
        <w:t xml:space="preserve"> </w:t>
      </w:r>
      <w:r>
        <w:rPr>
          <w:sz w:val="20"/>
        </w:rPr>
        <w:t>ve</w:t>
      </w:r>
      <w:r>
        <w:rPr>
          <w:spacing w:val="4"/>
          <w:sz w:val="20"/>
        </w:rPr>
        <w:t xml:space="preserve"> </w:t>
      </w:r>
      <w:r>
        <w:rPr>
          <w:sz w:val="20"/>
        </w:rPr>
        <w:t>dvou</w:t>
      </w:r>
      <w:r>
        <w:rPr>
          <w:spacing w:val="3"/>
          <w:sz w:val="20"/>
        </w:rPr>
        <w:t xml:space="preserve"> </w:t>
      </w:r>
      <w:r>
        <w:rPr>
          <w:sz w:val="20"/>
        </w:rPr>
        <w:t>vyhotoveních</w:t>
      </w:r>
      <w:r>
        <w:rPr>
          <w:spacing w:val="6"/>
          <w:sz w:val="20"/>
        </w:rPr>
        <w:t xml:space="preserve"> </w:t>
      </w:r>
      <w:r>
        <w:rPr>
          <w:sz w:val="20"/>
        </w:rPr>
        <w:t>s</w:t>
      </w:r>
      <w:r>
        <w:rPr>
          <w:spacing w:val="6"/>
          <w:sz w:val="20"/>
        </w:rPr>
        <w:t xml:space="preserve"> </w:t>
      </w:r>
      <w:r>
        <w:rPr>
          <w:sz w:val="20"/>
        </w:rPr>
        <w:t>platností</w:t>
      </w:r>
      <w:r>
        <w:rPr>
          <w:spacing w:val="7"/>
          <w:sz w:val="20"/>
        </w:rPr>
        <w:t xml:space="preserve"> </w:t>
      </w:r>
      <w:r>
        <w:rPr>
          <w:sz w:val="20"/>
        </w:rPr>
        <w:t>originálu,</w:t>
      </w:r>
      <w:r>
        <w:rPr>
          <w:spacing w:val="3"/>
          <w:sz w:val="20"/>
        </w:rPr>
        <w:t xml:space="preserve"> </w:t>
      </w:r>
      <w:r>
        <w:rPr>
          <w:sz w:val="20"/>
        </w:rPr>
        <w:t>z</w:t>
      </w:r>
      <w:r>
        <w:rPr>
          <w:spacing w:val="6"/>
          <w:sz w:val="20"/>
        </w:rPr>
        <w:t xml:space="preserve"> </w:t>
      </w:r>
      <w:r>
        <w:rPr>
          <w:sz w:val="20"/>
        </w:rPr>
        <w:t>nichž</w:t>
      </w:r>
      <w:r>
        <w:rPr>
          <w:spacing w:val="7"/>
          <w:sz w:val="20"/>
        </w:rPr>
        <w:t xml:space="preserve"> </w:t>
      </w:r>
      <w:r>
        <w:rPr>
          <w:sz w:val="20"/>
        </w:rPr>
        <w:t>každý</w:t>
      </w:r>
      <w:r>
        <w:rPr>
          <w:spacing w:val="6"/>
          <w:sz w:val="20"/>
        </w:rPr>
        <w:t xml:space="preserve"> </w:t>
      </w:r>
      <w:r>
        <w:rPr>
          <w:sz w:val="20"/>
        </w:rPr>
        <w:t>z</w:t>
      </w:r>
      <w:r>
        <w:rPr>
          <w:spacing w:val="5"/>
          <w:sz w:val="20"/>
        </w:rPr>
        <w:t xml:space="preserve"> </w:t>
      </w:r>
      <w:r>
        <w:rPr>
          <w:sz w:val="20"/>
        </w:rPr>
        <w:t>Účastníků</w:t>
      </w:r>
    </w:p>
    <w:p w:rsidR="00C964F8" w:rsidRDefault="00C964F8" w:rsidP="00C964F8">
      <w:pPr>
        <w:pStyle w:val="Zkladntext"/>
        <w:spacing w:before="1"/>
        <w:ind w:left="685"/>
      </w:pPr>
      <w:r>
        <w:t>dohody obdrží po jednom.</w:t>
      </w:r>
    </w:p>
    <w:p w:rsidR="00C964F8" w:rsidRDefault="00C964F8" w:rsidP="00C964F8">
      <w:pPr>
        <w:pStyle w:val="Odstavecseseznamem"/>
        <w:numPr>
          <w:ilvl w:val="1"/>
          <w:numId w:val="2"/>
        </w:numPr>
        <w:tabs>
          <w:tab w:val="left" w:pos="686"/>
        </w:tabs>
        <w:spacing w:before="118"/>
        <w:ind w:right="129"/>
        <w:jc w:val="both"/>
        <w:rPr>
          <w:sz w:val="20"/>
        </w:rPr>
      </w:pPr>
      <w:r>
        <w:rPr>
          <w:sz w:val="20"/>
        </w:rPr>
        <w:t>Účastníci</w:t>
      </w:r>
      <w:r>
        <w:rPr>
          <w:spacing w:val="-12"/>
          <w:sz w:val="20"/>
        </w:rPr>
        <w:t xml:space="preserve"> </w:t>
      </w:r>
      <w:r>
        <w:rPr>
          <w:sz w:val="20"/>
        </w:rPr>
        <w:t>dohody</w:t>
      </w:r>
      <w:r>
        <w:rPr>
          <w:spacing w:val="-10"/>
          <w:sz w:val="20"/>
        </w:rPr>
        <w:t xml:space="preserve"> </w:t>
      </w:r>
      <w:r>
        <w:rPr>
          <w:sz w:val="20"/>
        </w:rPr>
        <w:t>prohlašují,</w:t>
      </w:r>
      <w:r>
        <w:rPr>
          <w:spacing w:val="-11"/>
          <w:sz w:val="20"/>
        </w:rPr>
        <w:t xml:space="preserve"> </w:t>
      </w:r>
      <w:r>
        <w:rPr>
          <w:sz w:val="20"/>
        </w:rPr>
        <w:t>že</w:t>
      </w:r>
      <w:r>
        <w:rPr>
          <w:spacing w:val="-11"/>
          <w:sz w:val="20"/>
        </w:rPr>
        <w:t xml:space="preserve"> </w:t>
      </w:r>
      <w:r>
        <w:rPr>
          <w:sz w:val="20"/>
        </w:rPr>
        <w:t>Dohodu</w:t>
      </w:r>
      <w:r>
        <w:rPr>
          <w:spacing w:val="-12"/>
          <w:sz w:val="20"/>
        </w:rPr>
        <w:t xml:space="preserve"> </w:t>
      </w:r>
      <w:r>
        <w:rPr>
          <w:sz w:val="20"/>
        </w:rPr>
        <w:t>řádně</w:t>
      </w:r>
      <w:r>
        <w:rPr>
          <w:spacing w:val="-11"/>
          <w:sz w:val="20"/>
        </w:rPr>
        <w:t xml:space="preserve"> </w:t>
      </w:r>
      <w:r>
        <w:rPr>
          <w:sz w:val="20"/>
        </w:rPr>
        <w:t>přečetli,</w:t>
      </w:r>
      <w:r>
        <w:rPr>
          <w:spacing w:val="-9"/>
          <w:sz w:val="20"/>
        </w:rPr>
        <w:t xml:space="preserve"> </w:t>
      </w:r>
      <w:r>
        <w:rPr>
          <w:sz w:val="20"/>
        </w:rPr>
        <w:t>s</w:t>
      </w:r>
      <w:r>
        <w:rPr>
          <w:spacing w:val="-10"/>
          <w:sz w:val="20"/>
        </w:rPr>
        <w:t xml:space="preserve"> </w:t>
      </w:r>
      <w:r>
        <w:rPr>
          <w:sz w:val="20"/>
        </w:rPr>
        <w:t>celým</w:t>
      </w:r>
      <w:r>
        <w:rPr>
          <w:spacing w:val="-11"/>
          <w:sz w:val="20"/>
        </w:rPr>
        <w:t xml:space="preserve"> </w:t>
      </w:r>
      <w:r>
        <w:rPr>
          <w:sz w:val="20"/>
        </w:rPr>
        <w:t>jejím</w:t>
      </w:r>
      <w:r>
        <w:rPr>
          <w:spacing w:val="-10"/>
          <w:sz w:val="20"/>
        </w:rPr>
        <w:t xml:space="preserve"> </w:t>
      </w:r>
      <w:r>
        <w:rPr>
          <w:sz w:val="20"/>
        </w:rPr>
        <w:t>obsahem</w:t>
      </w:r>
      <w:r>
        <w:rPr>
          <w:spacing w:val="-11"/>
          <w:sz w:val="20"/>
        </w:rPr>
        <w:t xml:space="preserve"> </w:t>
      </w:r>
      <w:r>
        <w:rPr>
          <w:sz w:val="20"/>
        </w:rPr>
        <w:t>souhlasí</w:t>
      </w:r>
      <w:r>
        <w:rPr>
          <w:spacing w:val="-11"/>
          <w:sz w:val="20"/>
        </w:rPr>
        <w:t xml:space="preserve"> </w:t>
      </w:r>
      <w:r>
        <w:rPr>
          <w:sz w:val="20"/>
        </w:rPr>
        <w:t>a</w:t>
      </w:r>
      <w:r>
        <w:rPr>
          <w:spacing w:val="-8"/>
          <w:sz w:val="20"/>
        </w:rPr>
        <w:t xml:space="preserve"> </w:t>
      </w:r>
      <w:r>
        <w:rPr>
          <w:sz w:val="20"/>
        </w:rPr>
        <w:t>na</w:t>
      </w:r>
      <w:r>
        <w:rPr>
          <w:spacing w:val="-12"/>
          <w:sz w:val="20"/>
        </w:rPr>
        <w:t xml:space="preserve"> </w:t>
      </w:r>
      <w:r>
        <w:rPr>
          <w:sz w:val="20"/>
        </w:rPr>
        <w:t>důkaz toho, že se jedná o projev jejich svobodné a vážné vůle, který není činěn v tísni ani za nápadně nevýhodných podmínek, připojují své</w:t>
      </w:r>
      <w:r>
        <w:rPr>
          <w:spacing w:val="-3"/>
          <w:sz w:val="20"/>
        </w:rPr>
        <w:t xml:space="preserve"> </w:t>
      </w:r>
      <w:r>
        <w:rPr>
          <w:sz w:val="20"/>
        </w:rPr>
        <w:t>podpisy.</w:t>
      </w:r>
    </w:p>
    <w:p w:rsidR="00C964F8" w:rsidRDefault="00C964F8" w:rsidP="00C964F8">
      <w:pPr>
        <w:pStyle w:val="Zkladntext"/>
        <w:rPr>
          <w:sz w:val="22"/>
        </w:rPr>
      </w:pPr>
    </w:p>
    <w:p w:rsidR="00C964F8" w:rsidRDefault="00C964F8" w:rsidP="00C964F8">
      <w:pPr>
        <w:pStyle w:val="Zkladntext"/>
        <w:spacing w:before="7"/>
        <w:rPr>
          <w:sz w:val="28"/>
        </w:rPr>
      </w:pPr>
    </w:p>
    <w:p w:rsidR="00C964F8" w:rsidRDefault="00C964F8" w:rsidP="00C964F8">
      <w:pPr>
        <w:pStyle w:val="Nadpis4"/>
        <w:tabs>
          <w:tab w:val="left" w:pos="5159"/>
        </w:tabs>
        <w:ind w:left="119"/>
      </w:pPr>
      <w:r>
        <w:t>Za</w:t>
      </w:r>
      <w:r>
        <w:rPr>
          <w:spacing w:val="-4"/>
        </w:rPr>
        <w:t xml:space="preserve"> </w:t>
      </w:r>
      <w:r>
        <w:t>Prodávajícího</w:t>
      </w:r>
      <w:r>
        <w:tab/>
        <w:t>Za</w:t>
      </w:r>
      <w:r>
        <w:rPr>
          <w:spacing w:val="-2"/>
        </w:rPr>
        <w:t xml:space="preserve"> </w:t>
      </w:r>
      <w:r>
        <w:t>Kupujícího</w:t>
      </w:r>
    </w:p>
    <w:p w:rsidR="00C964F8" w:rsidRDefault="00C964F8" w:rsidP="00C964F8">
      <w:pPr>
        <w:pStyle w:val="Zkladntext"/>
        <w:tabs>
          <w:tab w:val="left" w:pos="5158"/>
        </w:tabs>
        <w:spacing w:before="178"/>
        <w:ind w:left="119"/>
      </w:pPr>
      <w:r>
        <w:t>V</w:t>
      </w:r>
      <w:r>
        <w:rPr>
          <w:spacing w:val="-3"/>
        </w:rPr>
        <w:t xml:space="preserve"> </w:t>
      </w:r>
      <w:r>
        <w:t>Praze dne</w:t>
      </w:r>
      <w:r w:rsidR="00364550">
        <w:t xml:space="preserve"> 25. 3. 2021</w:t>
      </w:r>
      <w:r>
        <w:tab/>
        <w:t>V Brně</w:t>
      </w:r>
      <w:r>
        <w:rPr>
          <w:spacing w:val="-4"/>
        </w:rPr>
        <w:t xml:space="preserve"> </w:t>
      </w:r>
      <w:r>
        <w:t>dne</w:t>
      </w:r>
      <w:r w:rsidR="00364550">
        <w:t xml:space="preserve"> 29. 3. 2021</w:t>
      </w:r>
    </w:p>
    <w:p w:rsidR="00C964F8" w:rsidRDefault="00C964F8" w:rsidP="00C964F8">
      <w:pPr>
        <w:pStyle w:val="Zkladntext"/>
      </w:pPr>
    </w:p>
    <w:p w:rsidR="00C964F8" w:rsidRDefault="00C964F8" w:rsidP="00C964F8">
      <w:pPr>
        <w:pStyle w:val="Zkladntext"/>
      </w:pPr>
    </w:p>
    <w:p w:rsidR="00C964F8" w:rsidRDefault="00C964F8" w:rsidP="00C964F8">
      <w:pPr>
        <w:pStyle w:val="Zkladntext"/>
      </w:pPr>
    </w:p>
    <w:p w:rsidR="00C964F8" w:rsidRDefault="00C964F8" w:rsidP="00C964F8">
      <w:pPr>
        <w:pStyle w:val="Zkladntext"/>
        <w:spacing w:before="4"/>
        <w:rPr>
          <w:sz w:val="18"/>
        </w:rPr>
      </w:pPr>
    </w:p>
    <w:p w:rsidR="00C964F8" w:rsidRDefault="00C964F8" w:rsidP="00C964F8">
      <w:pPr>
        <w:pStyle w:val="Zkladntext"/>
        <w:tabs>
          <w:tab w:val="left" w:pos="2451"/>
          <w:tab w:val="left" w:pos="3231"/>
          <w:tab w:val="left" w:pos="5159"/>
          <w:tab w:val="left" w:pos="7491"/>
          <w:tab w:val="left" w:pos="8381"/>
        </w:tabs>
        <w:spacing w:before="93"/>
        <w:ind w:left="119"/>
      </w:pPr>
      <w:r>
        <w:rPr>
          <w:w w:val="99"/>
          <w:u w:val="single"/>
        </w:rPr>
        <w:t xml:space="preserve"> </w:t>
      </w:r>
      <w:r>
        <w:rPr>
          <w:u w:val="single"/>
        </w:rPr>
        <w:tab/>
      </w:r>
      <w:r>
        <w:t>_</w:t>
      </w:r>
      <w:r>
        <w:rPr>
          <w:u w:val="single"/>
        </w:rPr>
        <w:t xml:space="preserve"> </w:t>
      </w:r>
      <w:r>
        <w:rPr>
          <w:u w:val="single"/>
        </w:rPr>
        <w:tab/>
      </w:r>
      <w:r>
        <w:tab/>
      </w:r>
      <w:r>
        <w:rPr>
          <w:u w:val="single"/>
        </w:rPr>
        <w:t xml:space="preserve"> </w:t>
      </w:r>
      <w:r>
        <w:rPr>
          <w:u w:val="single"/>
        </w:rPr>
        <w:tab/>
      </w:r>
      <w:r>
        <w:t>_</w:t>
      </w:r>
      <w:r>
        <w:rPr>
          <w:u w:val="single"/>
        </w:rPr>
        <w:t xml:space="preserve"> </w:t>
      </w:r>
      <w:r>
        <w:rPr>
          <w:u w:val="single"/>
        </w:rPr>
        <w:tab/>
      </w:r>
    </w:p>
    <w:p w:rsidR="00C964F8" w:rsidRDefault="00C964F8" w:rsidP="00C964F8">
      <w:pPr>
        <w:tabs>
          <w:tab w:val="left" w:pos="5159"/>
        </w:tabs>
        <w:spacing w:before="178" w:line="256" w:lineRule="auto"/>
        <w:ind w:left="119" w:right="582"/>
        <w:rPr>
          <w:i/>
          <w:sz w:val="20"/>
        </w:rPr>
      </w:pPr>
      <w:r>
        <w:rPr>
          <w:i/>
          <w:sz w:val="20"/>
        </w:rPr>
        <w:t>Radek Šubotník</w:t>
      </w:r>
      <w:r>
        <w:rPr>
          <w:i/>
          <w:spacing w:val="-39"/>
          <w:sz w:val="20"/>
        </w:rPr>
        <w:t xml:space="preserve"> </w:t>
      </w:r>
      <w:r>
        <w:rPr>
          <w:i/>
          <w:sz w:val="20"/>
        </w:rPr>
        <w:t>,</w:t>
      </w:r>
      <w:r>
        <w:rPr>
          <w:i/>
          <w:spacing w:val="-5"/>
          <w:sz w:val="20"/>
        </w:rPr>
        <w:t xml:space="preserve"> </w:t>
      </w:r>
      <w:r>
        <w:rPr>
          <w:i/>
          <w:sz w:val="20"/>
        </w:rPr>
        <w:t>prokurista</w:t>
      </w:r>
      <w:r>
        <w:rPr>
          <w:i/>
          <w:sz w:val="20"/>
        </w:rPr>
        <w:tab/>
        <w:t>prof. MUDr. Jaroslav Štěrba, Ph.D., ředitel Olympus Czech Group s.r.o.,</w:t>
      </w:r>
      <w:r>
        <w:rPr>
          <w:i/>
          <w:spacing w:val="-10"/>
          <w:sz w:val="20"/>
        </w:rPr>
        <w:t xml:space="preserve"> </w:t>
      </w:r>
      <w:r>
        <w:rPr>
          <w:i/>
          <w:sz w:val="20"/>
        </w:rPr>
        <w:t>člen</w:t>
      </w:r>
      <w:r>
        <w:rPr>
          <w:i/>
          <w:spacing w:val="-3"/>
          <w:sz w:val="20"/>
        </w:rPr>
        <w:t xml:space="preserve"> </w:t>
      </w:r>
      <w:r>
        <w:rPr>
          <w:i/>
          <w:sz w:val="20"/>
        </w:rPr>
        <w:t>koncernu</w:t>
      </w:r>
      <w:r>
        <w:rPr>
          <w:i/>
          <w:sz w:val="20"/>
        </w:rPr>
        <w:tab/>
        <w:t>Fakultní nemocnice</w:t>
      </w:r>
      <w:r>
        <w:rPr>
          <w:i/>
          <w:spacing w:val="-1"/>
          <w:sz w:val="20"/>
        </w:rPr>
        <w:t xml:space="preserve"> </w:t>
      </w:r>
      <w:r>
        <w:rPr>
          <w:i/>
          <w:sz w:val="20"/>
        </w:rPr>
        <w:t>Brno</w:t>
      </w:r>
    </w:p>
    <w:p w:rsidR="00C964F8" w:rsidRDefault="00C964F8" w:rsidP="00C964F8">
      <w:pPr>
        <w:pStyle w:val="Zkladntext"/>
        <w:rPr>
          <w:i/>
        </w:rPr>
      </w:pPr>
    </w:p>
    <w:p w:rsidR="00C964F8" w:rsidRDefault="00C964F8" w:rsidP="00C964F8">
      <w:pPr>
        <w:pStyle w:val="Zkladntext"/>
        <w:rPr>
          <w:i/>
        </w:rPr>
      </w:pPr>
    </w:p>
    <w:p w:rsidR="00C964F8" w:rsidRDefault="00C964F8" w:rsidP="00C964F8">
      <w:pPr>
        <w:pStyle w:val="Zkladntext"/>
        <w:rPr>
          <w:i/>
        </w:rPr>
      </w:pPr>
    </w:p>
    <w:p w:rsidR="00C964F8" w:rsidRDefault="00C964F8" w:rsidP="00C964F8">
      <w:pPr>
        <w:pStyle w:val="Zkladntext"/>
        <w:rPr>
          <w:i/>
        </w:rPr>
      </w:pPr>
    </w:p>
    <w:p w:rsidR="00C964F8" w:rsidRDefault="00C964F8" w:rsidP="00C964F8">
      <w:pPr>
        <w:pStyle w:val="Zkladntext"/>
        <w:spacing w:before="9"/>
        <w:rPr>
          <w:i/>
          <w:sz w:val="18"/>
        </w:rPr>
      </w:pPr>
    </w:p>
    <w:p w:rsidR="00C964F8" w:rsidRDefault="00C964F8" w:rsidP="00C964F8">
      <w:pPr>
        <w:pStyle w:val="Zkladntext"/>
        <w:tabs>
          <w:tab w:val="left" w:pos="2451"/>
          <w:tab w:val="left" w:pos="3230"/>
        </w:tabs>
        <w:spacing w:before="93"/>
        <w:ind w:left="118"/>
      </w:pPr>
      <w:r>
        <w:rPr>
          <w:w w:val="99"/>
          <w:u w:val="single"/>
        </w:rPr>
        <w:t xml:space="preserve"> </w:t>
      </w:r>
      <w:r>
        <w:rPr>
          <w:u w:val="single"/>
        </w:rPr>
        <w:tab/>
      </w:r>
      <w:r>
        <w:t>_</w:t>
      </w:r>
      <w:r>
        <w:rPr>
          <w:u w:val="single"/>
        </w:rPr>
        <w:t xml:space="preserve"> </w:t>
      </w:r>
      <w:r>
        <w:rPr>
          <w:u w:val="single"/>
        </w:rPr>
        <w:tab/>
      </w:r>
    </w:p>
    <w:p w:rsidR="00C964F8" w:rsidRDefault="00C964F8" w:rsidP="00C964F8">
      <w:pPr>
        <w:spacing w:before="178"/>
        <w:ind w:left="118"/>
        <w:rPr>
          <w:i/>
          <w:sz w:val="20"/>
        </w:rPr>
      </w:pPr>
      <w:r>
        <w:rPr>
          <w:i/>
          <w:sz w:val="20"/>
        </w:rPr>
        <w:t>Ing. Ivo Lukeš, prokurista</w:t>
      </w:r>
    </w:p>
    <w:p w:rsidR="00C964F8" w:rsidRPr="00C964F8" w:rsidRDefault="00C964F8" w:rsidP="00C964F8">
      <w:pPr>
        <w:spacing w:before="17"/>
        <w:ind w:left="118"/>
        <w:rPr>
          <w:i/>
          <w:sz w:val="20"/>
        </w:rPr>
        <w:sectPr w:rsidR="00C964F8" w:rsidRPr="00C964F8">
          <w:pgSz w:w="11910" w:h="16840"/>
          <w:pgMar w:top="1320" w:right="1120" w:bottom="800" w:left="1300" w:header="0" w:footer="533" w:gutter="0"/>
          <w:cols w:space="708"/>
        </w:sectPr>
      </w:pPr>
      <w:r>
        <w:rPr>
          <w:i/>
          <w:sz w:val="20"/>
        </w:rPr>
        <w:t>Olympus Czech Group s.r.o., člen koncernu</w:t>
      </w:r>
    </w:p>
    <w:p w:rsidR="005A3185" w:rsidRDefault="005A3185">
      <w:pPr>
        <w:rPr>
          <w:sz w:val="20"/>
        </w:rPr>
        <w:sectPr w:rsidR="005A3185">
          <w:pgSz w:w="11910" w:h="16840"/>
          <w:pgMar w:top="1320" w:right="1120" w:bottom="800" w:left="1300" w:header="0" w:footer="533" w:gutter="0"/>
          <w:cols w:space="708"/>
        </w:sectPr>
      </w:pPr>
    </w:p>
    <w:p w:rsidR="00CB0EB3" w:rsidRDefault="00CB0EB3" w:rsidP="00FD16C0">
      <w:pPr>
        <w:pStyle w:val="Nadpis1"/>
        <w:spacing w:before="69"/>
        <w:ind w:left="0"/>
      </w:pPr>
      <w:bookmarkStart w:id="0" w:name="_GoBack"/>
      <w:bookmarkEnd w:id="0"/>
    </w:p>
    <w:sectPr w:rsidR="00CB0EB3" w:rsidSect="00FD16C0">
      <w:pgSz w:w="11910" w:h="16840"/>
      <w:pgMar w:top="1560" w:right="1120" w:bottom="800" w:left="1300" w:header="0"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B3" w:rsidRDefault="00C964F8">
      <w:r>
        <w:separator/>
      </w:r>
    </w:p>
  </w:endnote>
  <w:endnote w:type="continuationSeparator" w:id="0">
    <w:p w:rsidR="00CB0EB3" w:rsidRDefault="00C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85" w:rsidRDefault="00FD16C0">
    <w:pPr>
      <w:pStyle w:val="Zkladntext"/>
      <w:spacing w:line="14" w:lineRule="auto"/>
      <w:rPr>
        <w:sz w:val="12"/>
      </w:rPr>
    </w:pPr>
    <w:r>
      <w:pict>
        <v:shapetype id="_x0000_t202" coordsize="21600,21600" o:spt="202" path="m,l,21600r21600,l21600,xe">
          <v:stroke joinstyle="miter"/>
          <v:path gradientshapeok="t" o:connecttype="rect"/>
        </v:shapetype>
        <v:shape id="_x0000_s1025" type="#_x0000_t202" style="position:absolute;margin-left:279.3pt;margin-top:800.3pt;width:45.25pt;height:11pt;z-index:-251658752;mso-position-horizontal-relative:page;mso-position-vertical-relative:page" filled="f" stroked="f">
          <v:textbox inset="0,0,0,0">
            <w:txbxContent>
              <w:p w:rsidR="005A3185" w:rsidRDefault="00C964F8">
                <w:pPr>
                  <w:spacing w:before="15"/>
                  <w:ind w:left="20"/>
                  <w:rPr>
                    <w:sz w:val="16"/>
                  </w:rPr>
                </w:pPr>
                <w:r>
                  <w:rPr>
                    <w:sz w:val="16"/>
                  </w:rPr>
                  <w:t xml:space="preserve">Strana </w:t>
                </w:r>
                <w:r>
                  <w:fldChar w:fldCharType="begin"/>
                </w:r>
                <w:r>
                  <w:rPr>
                    <w:sz w:val="16"/>
                  </w:rPr>
                  <w:instrText xml:space="preserve"> PAGE </w:instrText>
                </w:r>
                <w:r>
                  <w:fldChar w:fldCharType="separate"/>
                </w:r>
                <w:r w:rsidR="00FD16C0">
                  <w:rPr>
                    <w:noProof/>
                    <w:sz w:val="16"/>
                  </w:rPr>
                  <w:t>6</w:t>
                </w:r>
                <w:r>
                  <w:fldChar w:fldCharType="end"/>
                </w:r>
                <w:r>
                  <w:rPr>
                    <w:sz w:val="16"/>
                  </w:rPr>
                  <w:t xml:space="preserve"> z 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B3" w:rsidRDefault="00C964F8">
      <w:r>
        <w:separator/>
      </w:r>
    </w:p>
  </w:footnote>
  <w:footnote w:type="continuationSeparator" w:id="0">
    <w:p w:rsidR="00CB0EB3" w:rsidRDefault="00C9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CE"/>
    <w:multiLevelType w:val="multilevel"/>
    <w:tmpl w:val="912CE22A"/>
    <w:lvl w:ilvl="0">
      <w:start w:val="3"/>
      <w:numFmt w:val="decimal"/>
      <w:lvlText w:val="%1"/>
      <w:lvlJc w:val="left"/>
      <w:pPr>
        <w:ind w:left="685" w:hanging="567"/>
        <w:jc w:val="left"/>
      </w:pPr>
      <w:rPr>
        <w:rFonts w:hint="default"/>
      </w:rPr>
    </w:lvl>
    <w:lvl w:ilvl="1">
      <w:start w:val="1"/>
      <w:numFmt w:val="decimal"/>
      <w:lvlText w:val="%1.%2"/>
      <w:lvlJc w:val="left"/>
      <w:pPr>
        <w:ind w:left="685" w:hanging="567"/>
        <w:jc w:val="left"/>
      </w:pPr>
      <w:rPr>
        <w:rFonts w:ascii="Arial" w:eastAsia="Arial" w:hAnsi="Arial" w:cs="Arial" w:hint="default"/>
        <w:b/>
        <w:bCs/>
        <w:spacing w:val="-1"/>
        <w:w w:val="99"/>
        <w:sz w:val="20"/>
        <w:szCs w:val="20"/>
      </w:rPr>
    </w:lvl>
    <w:lvl w:ilvl="2">
      <w:numFmt w:val="bullet"/>
      <w:lvlText w:val="•"/>
      <w:lvlJc w:val="left"/>
      <w:pPr>
        <w:ind w:left="2441" w:hanging="567"/>
      </w:pPr>
      <w:rPr>
        <w:rFonts w:hint="default"/>
      </w:rPr>
    </w:lvl>
    <w:lvl w:ilvl="3">
      <w:numFmt w:val="bullet"/>
      <w:lvlText w:val="•"/>
      <w:lvlJc w:val="left"/>
      <w:pPr>
        <w:ind w:left="3321" w:hanging="567"/>
      </w:pPr>
      <w:rPr>
        <w:rFonts w:hint="default"/>
      </w:rPr>
    </w:lvl>
    <w:lvl w:ilvl="4">
      <w:numFmt w:val="bullet"/>
      <w:lvlText w:val="•"/>
      <w:lvlJc w:val="left"/>
      <w:pPr>
        <w:ind w:left="4202" w:hanging="567"/>
      </w:pPr>
      <w:rPr>
        <w:rFonts w:hint="default"/>
      </w:rPr>
    </w:lvl>
    <w:lvl w:ilvl="5">
      <w:numFmt w:val="bullet"/>
      <w:lvlText w:val="•"/>
      <w:lvlJc w:val="left"/>
      <w:pPr>
        <w:ind w:left="5083" w:hanging="567"/>
      </w:pPr>
      <w:rPr>
        <w:rFonts w:hint="default"/>
      </w:rPr>
    </w:lvl>
    <w:lvl w:ilvl="6">
      <w:numFmt w:val="bullet"/>
      <w:lvlText w:val="•"/>
      <w:lvlJc w:val="left"/>
      <w:pPr>
        <w:ind w:left="5963" w:hanging="567"/>
      </w:pPr>
      <w:rPr>
        <w:rFonts w:hint="default"/>
      </w:rPr>
    </w:lvl>
    <w:lvl w:ilvl="7">
      <w:numFmt w:val="bullet"/>
      <w:lvlText w:val="•"/>
      <w:lvlJc w:val="left"/>
      <w:pPr>
        <w:ind w:left="6844" w:hanging="567"/>
      </w:pPr>
      <w:rPr>
        <w:rFonts w:hint="default"/>
      </w:rPr>
    </w:lvl>
    <w:lvl w:ilvl="8">
      <w:numFmt w:val="bullet"/>
      <w:lvlText w:val="•"/>
      <w:lvlJc w:val="left"/>
      <w:pPr>
        <w:ind w:left="7725" w:hanging="567"/>
      </w:pPr>
      <w:rPr>
        <w:rFonts w:hint="default"/>
      </w:rPr>
    </w:lvl>
  </w:abstractNum>
  <w:abstractNum w:abstractNumId="1" w15:restartNumberingAfterBreak="0">
    <w:nsid w:val="08C057FC"/>
    <w:multiLevelType w:val="hybridMultilevel"/>
    <w:tmpl w:val="2A706B14"/>
    <w:lvl w:ilvl="0" w:tplc="7FA8E6EA">
      <w:start w:val="1"/>
      <w:numFmt w:val="upperRoman"/>
      <w:lvlText w:val="%1."/>
      <w:lvlJc w:val="left"/>
      <w:pPr>
        <w:ind w:left="4205" w:hanging="720"/>
        <w:jc w:val="right"/>
      </w:pPr>
      <w:rPr>
        <w:rFonts w:ascii="Arial" w:eastAsia="Arial" w:hAnsi="Arial" w:cs="Arial" w:hint="default"/>
        <w:b/>
        <w:bCs/>
        <w:spacing w:val="-1"/>
        <w:w w:val="99"/>
        <w:sz w:val="20"/>
        <w:szCs w:val="20"/>
      </w:rPr>
    </w:lvl>
    <w:lvl w:ilvl="1" w:tplc="3C107E4E">
      <w:numFmt w:val="bullet"/>
      <w:lvlText w:val="•"/>
      <w:lvlJc w:val="left"/>
      <w:pPr>
        <w:ind w:left="4728" w:hanging="720"/>
      </w:pPr>
      <w:rPr>
        <w:rFonts w:hint="default"/>
      </w:rPr>
    </w:lvl>
    <w:lvl w:ilvl="2" w:tplc="E19C9DBC">
      <w:numFmt w:val="bullet"/>
      <w:lvlText w:val="•"/>
      <w:lvlJc w:val="left"/>
      <w:pPr>
        <w:ind w:left="5257" w:hanging="720"/>
      </w:pPr>
      <w:rPr>
        <w:rFonts w:hint="default"/>
      </w:rPr>
    </w:lvl>
    <w:lvl w:ilvl="3" w:tplc="A1166B16">
      <w:numFmt w:val="bullet"/>
      <w:lvlText w:val="•"/>
      <w:lvlJc w:val="left"/>
      <w:pPr>
        <w:ind w:left="5785" w:hanging="720"/>
      </w:pPr>
      <w:rPr>
        <w:rFonts w:hint="default"/>
      </w:rPr>
    </w:lvl>
    <w:lvl w:ilvl="4" w:tplc="92789746">
      <w:numFmt w:val="bullet"/>
      <w:lvlText w:val="•"/>
      <w:lvlJc w:val="left"/>
      <w:pPr>
        <w:ind w:left="6314" w:hanging="720"/>
      </w:pPr>
      <w:rPr>
        <w:rFonts w:hint="default"/>
      </w:rPr>
    </w:lvl>
    <w:lvl w:ilvl="5" w:tplc="028C2556">
      <w:numFmt w:val="bullet"/>
      <w:lvlText w:val="•"/>
      <w:lvlJc w:val="left"/>
      <w:pPr>
        <w:ind w:left="6843" w:hanging="720"/>
      </w:pPr>
      <w:rPr>
        <w:rFonts w:hint="default"/>
      </w:rPr>
    </w:lvl>
    <w:lvl w:ilvl="6" w:tplc="9EFE038C">
      <w:numFmt w:val="bullet"/>
      <w:lvlText w:val="•"/>
      <w:lvlJc w:val="left"/>
      <w:pPr>
        <w:ind w:left="7371" w:hanging="720"/>
      </w:pPr>
      <w:rPr>
        <w:rFonts w:hint="default"/>
      </w:rPr>
    </w:lvl>
    <w:lvl w:ilvl="7" w:tplc="7926062C">
      <w:numFmt w:val="bullet"/>
      <w:lvlText w:val="•"/>
      <w:lvlJc w:val="left"/>
      <w:pPr>
        <w:ind w:left="7900" w:hanging="720"/>
      </w:pPr>
      <w:rPr>
        <w:rFonts w:hint="default"/>
      </w:rPr>
    </w:lvl>
    <w:lvl w:ilvl="8" w:tplc="446E9578">
      <w:numFmt w:val="bullet"/>
      <w:lvlText w:val="•"/>
      <w:lvlJc w:val="left"/>
      <w:pPr>
        <w:ind w:left="8429" w:hanging="720"/>
      </w:pPr>
      <w:rPr>
        <w:rFonts w:hint="default"/>
      </w:rPr>
    </w:lvl>
  </w:abstractNum>
  <w:abstractNum w:abstractNumId="2" w15:restartNumberingAfterBreak="0">
    <w:nsid w:val="1C5F2579"/>
    <w:multiLevelType w:val="hybridMultilevel"/>
    <w:tmpl w:val="B8AAEAB0"/>
    <w:lvl w:ilvl="0" w:tplc="E9702F1A">
      <w:numFmt w:val="bullet"/>
      <w:lvlText w:val=""/>
      <w:lvlJc w:val="left"/>
      <w:pPr>
        <w:ind w:left="477" w:hanging="360"/>
      </w:pPr>
      <w:rPr>
        <w:rFonts w:ascii="Symbol" w:eastAsia="Symbol" w:hAnsi="Symbol" w:cs="Symbol" w:hint="default"/>
        <w:w w:val="99"/>
        <w:sz w:val="20"/>
        <w:szCs w:val="20"/>
      </w:rPr>
    </w:lvl>
    <w:lvl w:ilvl="1" w:tplc="482C2336">
      <w:numFmt w:val="bullet"/>
      <w:lvlText w:val="•"/>
      <w:lvlJc w:val="left"/>
      <w:pPr>
        <w:ind w:left="1380" w:hanging="360"/>
      </w:pPr>
      <w:rPr>
        <w:rFonts w:hint="default"/>
      </w:rPr>
    </w:lvl>
    <w:lvl w:ilvl="2" w:tplc="1E46B19E">
      <w:numFmt w:val="bullet"/>
      <w:lvlText w:val="•"/>
      <w:lvlJc w:val="left"/>
      <w:pPr>
        <w:ind w:left="2281" w:hanging="360"/>
      </w:pPr>
      <w:rPr>
        <w:rFonts w:hint="default"/>
      </w:rPr>
    </w:lvl>
    <w:lvl w:ilvl="3" w:tplc="8424D15C">
      <w:numFmt w:val="bullet"/>
      <w:lvlText w:val="•"/>
      <w:lvlJc w:val="left"/>
      <w:pPr>
        <w:ind w:left="3181" w:hanging="360"/>
      </w:pPr>
      <w:rPr>
        <w:rFonts w:hint="default"/>
      </w:rPr>
    </w:lvl>
    <w:lvl w:ilvl="4" w:tplc="424E259E">
      <w:numFmt w:val="bullet"/>
      <w:lvlText w:val="•"/>
      <w:lvlJc w:val="left"/>
      <w:pPr>
        <w:ind w:left="4082" w:hanging="360"/>
      </w:pPr>
      <w:rPr>
        <w:rFonts w:hint="default"/>
      </w:rPr>
    </w:lvl>
    <w:lvl w:ilvl="5" w:tplc="97DA1ED0">
      <w:numFmt w:val="bullet"/>
      <w:lvlText w:val="•"/>
      <w:lvlJc w:val="left"/>
      <w:pPr>
        <w:ind w:left="4983" w:hanging="360"/>
      </w:pPr>
      <w:rPr>
        <w:rFonts w:hint="default"/>
      </w:rPr>
    </w:lvl>
    <w:lvl w:ilvl="6" w:tplc="750023CE">
      <w:numFmt w:val="bullet"/>
      <w:lvlText w:val="•"/>
      <w:lvlJc w:val="left"/>
      <w:pPr>
        <w:ind w:left="5883" w:hanging="360"/>
      </w:pPr>
      <w:rPr>
        <w:rFonts w:hint="default"/>
      </w:rPr>
    </w:lvl>
    <w:lvl w:ilvl="7" w:tplc="16180BCA">
      <w:numFmt w:val="bullet"/>
      <w:lvlText w:val="•"/>
      <w:lvlJc w:val="left"/>
      <w:pPr>
        <w:ind w:left="6784" w:hanging="360"/>
      </w:pPr>
      <w:rPr>
        <w:rFonts w:hint="default"/>
      </w:rPr>
    </w:lvl>
    <w:lvl w:ilvl="8" w:tplc="A4945930">
      <w:numFmt w:val="bullet"/>
      <w:lvlText w:val="•"/>
      <w:lvlJc w:val="left"/>
      <w:pPr>
        <w:ind w:left="7685" w:hanging="360"/>
      </w:pPr>
      <w:rPr>
        <w:rFonts w:hint="default"/>
      </w:rPr>
    </w:lvl>
  </w:abstractNum>
  <w:abstractNum w:abstractNumId="3" w15:restartNumberingAfterBreak="0">
    <w:nsid w:val="2F230051"/>
    <w:multiLevelType w:val="multilevel"/>
    <w:tmpl w:val="FC946DF4"/>
    <w:lvl w:ilvl="0">
      <w:start w:val="1"/>
      <w:numFmt w:val="decimal"/>
      <w:lvlText w:val="%1"/>
      <w:lvlJc w:val="left"/>
      <w:pPr>
        <w:ind w:left="684" w:hanging="567"/>
        <w:jc w:val="left"/>
      </w:pPr>
      <w:rPr>
        <w:rFonts w:hint="default"/>
      </w:rPr>
    </w:lvl>
    <w:lvl w:ilvl="1">
      <w:start w:val="1"/>
      <w:numFmt w:val="decimal"/>
      <w:lvlText w:val="%1.%2"/>
      <w:lvlJc w:val="left"/>
      <w:pPr>
        <w:ind w:left="684" w:hanging="567"/>
        <w:jc w:val="left"/>
      </w:pPr>
      <w:rPr>
        <w:rFonts w:ascii="Arial" w:eastAsia="Arial" w:hAnsi="Arial" w:cs="Arial" w:hint="default"/>
        <w:b/>
        <w:bCs/>
        <w:spacing w:val="-1"/>
        <w:w w:val="99"/>
        <w:sz w:val="20"/>
        <w:szCs w:val="20"/>
      </w:rPr>
    </w:lvl>
    <w:lvl w:ilvl="2">
      <w:numFmt w:val="bullet"/>
      <w:lvlText w:val="•"/>
      <w:lvlJc w:val="left"/>
      <w:pPr>
        <w:ind w:left="2441" w:hanging="567"/>
      </w:pPr>
      <w:rPr>
        <w:rFonts w:hint="default"/>
      </w:rPr>
    </w:lvl>
    <w:lvl w:ilvl="3">
      <w:numFmt w:val="bullet"/>
      <w:lvlText w:val="•"/>
      <w:lvlJc w:val="left"/>
      <w:pPr>
        <w:ind w:left="3321" w:hanging="567"/>
      </w:pPr>
      <w:rPr>
        <w:rFonts w:hint="default"/>
      </w:rPr>
    </w:lvl>
    <w:lvl w:ilvl="4">
      <w:numFmt w:val="bullet"/>
      <w:lvlText w:val="•"/>
      <w:lvlJc w:val="left"/>
      <w:pPr>
        <w:ind w:left="4202" w:hanging="567"/>
      </w:pPr>
      <w:rPr>
        <w:rFonts w:hint="default"/>
      </w:rPr>
    </w:lvl>
    <w:lvl w:ilvl="5">
      <w:numFmt w:val="bullet"/>
      <w:lvlText w:val="•"/>
      <w:lvlJc w:val="left"/>
      <w:pPr>
        <w:ind w:left="5083" w:hanging="567"/>
      </w:pPr>
      <w:rPr>
        <w:rFonts w:hint="default"/>
      </w:rPr>
    </w:lvl>
    <w:lvl w:ilvl="6">
      <w:numFmt w:val="bullet"/>
      <w:lvlText w:val="•"/>
      <w:lvlJc w:val="left"/>
      <w:pPr>
        <w:ind w:left="5963" w:hanging="567"/>
      </w:pPr>
      <w:rPr>
        <w:rFonts w:hint="default"/>
      </w:rPr>
    </w:lvl>
    <w:lvl w:ilvl="7">
      <w:numFmt w:val="bullet"/>
      <w:lvlText w:val="•"/>
      <w:lvlJc w:val="left"/>
      <w:pPr>
        <w:ind w:left="6844" w:hanging="567"/>
      </w:pPr>
      <w:rPr>
        <w:rFonts w:hint="default"/>
      </w:rPr>
    </w:lvl>
    <w:lvl w:ilvl="8">
      <w:numFmt w:val="bullet"/>
      <w:lvlText w:val="•"/>
      <w:lvlJc w:val="left"/>
      <w:pPr>
        <w:ind w:left="7725" w:hanging="567"/>
      </w:pPr>
      <w:rPr>
        <w:rFonts w:hint="default"/>
      </w:rPr>
    </w:lvl>
  </w:abstractNum>
  <w:abstractNum w:abstractNumId="4" w15:restartNumberingAfterBreak="0">
    <w:nsid w:val="58017653"/>
    <w:multiLevelType w:val="multilevel"/>
    <w:tmpl w:val="B560C168"/>
    <w:lvl w:ilvl="0">
      <w:start w:val="2"/>
      <w:numFmt w:val="decimal"/>
      <w:lvlText w:val="%1"/>
      <w:lvlJc w:val="left"/>
      <w:pPr>
        <w:ind w:left="684" w:hanging="567"/>
        <w:jc w:val="left"/>
      </w:pPr>
      <w:rPr>
        <w:rFonts w:hint="default"/>
      </w:rPr>
    </w:lvl>
    <w:lvl w:ilvl="1">
      <w:start w:val="1"/>
      <w:numFmt w:val="decimal"/>
      <w:lvlText w:val="%1.%2"/>
      <w:lvlJc w:val="left"/>
      <w:pPr>
        <w:ind w:left="684" w:hanging="567"/>
        <w:jc w:val="left"/>
      </w:pPr>
      <w:rPr>
        <w:rFonts w:ascii="Arial" w:eastAsia="Arial" w:hAnsi="Arial" w:cs="Arial" w:hint="default"/>
        <w:b/>
        <w:bCs/>
        <w:spacing w:val="-1"/>
        <w:w w:val="99"/>
        <w:sz w:val="20"/>
        <w:szCs w:val="20"/>
      </w:rPr>
    </w:lvl>
    <w:lvl w:ilvl="2">
      <w:numFmt w:val="bullet"/>
      <w:lvlText w:val="•"/>
      <w:lvlJc w:val="left"/>
      <w:pPr>
        <w:ind w:left="2441" w:hanging="567"/>
      </w:pPr>
      <w:rPr>
        <w:rFonts w:hint="default"/>
      </w:rPr>
    </w:lvl>
    <w:lvl w:ilvl="3">
      <w:numFmt w:val="bullet"/>
      <w:lvlText w:val="•"/>
      <w:lvlJc w:val="left"/>
      <w:pPr>
        <w:ind w:left="3321" w:hanging="567"/>
      </w:pPr>
      <w:rPr>
        <w:rFonts w:hint="default"/>
      </w:rPr>
    </w:lvl>
    <w:lvl w:ilvl="4">
      <w:numFmt w:val="bullet"/>
      <w:lvlText w:val="•"/>
      <w:lvlJc w:val="left"/>
      <w:pPr>
        <w:ind w:left="4202" w:hanging="567"/>
      </w:pPr>
      <w:rPr>
        <w:rFonts w:hint="default"/>
      </w:rPr>
    </w:lvl>
    <w:lvl w:ilvl="5">
      <w:numFmt w:val="bullet"/>
      <w:lvlText w:val="•"/>
      <w:lvlJc w:val="left"/>
      <w:pPr>
        <w:ind w:left="5083" w:hanging="567"/>
      </w:pPr>
      <w:rPr>
        <w:rFonts w:hint="default"/>
      </w:rPr>
    </w:lvl>
    <w:lvl w:ilvl="6">
      <w:numFmt w:val="bullet"/>
      <w:lvlText w:val="•"/>
      <w:lvlJc w:val="left"/>
      <w:pPr>
        <w:ind w:left="5963" w:hanging="567"/>
      </w:pPr>
      <w:rPr>
        <w:rFonts w:hint="default"/>
      </w:rPr>
    </w:lvl>
    <w:lvl w:ilvl="7">
      <w:numFmt w:val="bullet"/>
      <w:lvlText w:val="•"/>
      <w:lvlJc w:val="left"/>
      <w:pPr>
        <w:ind w:left="6844" w:hanging="567"/>
      </w:pPr>
      <w:rPr>
        <w:rFonts w:hint="default"/>
      </w:rPr>
    </w:lvl>
    <w:lvl w:ilvl="8">
      <w:numFmt w:val="bullet"/>
      <w:lvlText w:val="•"/>
      <w:lvlJc w:val="left"/>
      <w:pPr>
        <w:ind w:left="7725" w:hanging="567"/>
      </w:pPr>
      <w:rPr>
        <w:rFonts w:hint="default"/>
      </w:rPr>
    </w:lvl>
  </w:abstractNum>
  <w:abstractNum w:abstractNumId="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A3185"/>
    <w:rsid w:val="00364550"/>
    <w:rsid w:val="005A3185"/>
    <w:rsid w:val="00C964F8"/>
    <w:rsid w:val="00CB0EB3"/>
    <w:rsid w:val="00FD1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1C1FE"/>
  <w15:docId w15:val="{95D0CE07-4C9C-4DCC-875E-F997B06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59"/>
      <w:ind w:left="118"/>
      <w:outlineLvl w:val="0"/>
    </w:pPr>
    <w:rPr>
      <w:sz w:val="40"/>
      <w:szCs w:val="40"/>
    </w:rPr>
  </w:style>
  <w:style w:type="paragraph" w:styleId="Nadpis2">
    <w:name w:val="heading 2"/>
    <w:basedOn w:val="Normln"/>
    <w:uiPriority w:val="1"/>
    <w:qFormat/>
    <w:pPr>
      <w:spacing w:before="298"/>
      <w:ind w:left="118"/>
      <w:outlineLvl w:val="1"/>
    </w:pPr>
    <w:rPr>
      <w:b/>
      <w:bCs/>
      <w:sz w:val="28"/>
      <w:szCs w:val="28"/>
    </w:rPr>
  </w:style>
  <w:style w:type="paragraph" w:styleId="Nadpis3">
    <w:name w:val="heading 3"/>
    <w:basedOn w:val="Normln"/>
    <w:uiPriority w:val="1"/>
    <w:qFormat/>
    <w:pPr>
      <w:ind w:left="1359"/>
      <w:outlineLvl w:val="2"/>
    </w:pPr>
    <w:rPr>
      <w:b/>
      <w:bCs/>
    </w:rPr>
  </w:style>
  <w:style w:type="paragraph" w:styleId="Nadpis4">
    <w:name w:val="heading 4"/>
    <w:basedOn w:val="Normln"/>
    <w:uiPriority w:val="1"/>
    <w:qFormat/>
    <w:pPr>
      <w:ind w:left="11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685" w:hanging="567"/>
      <w:jc w:val="both"/>
    </w:pPr>
  </w:style>
  <w:style w:type="paragraph" w:customStyle="1" w:styleId="TableParagraph">
    <w:name w:val="Table Paragraph"/>
    <w:basedOn w:val="Normln"/>
    <w:uiPriority w:val="1"/>
    <w:qFormat/>
    <w:pPr>
      <w:spacing w:line="210" w:lineRule="exact"/>
      <w:ind w:left="69"/>
    </w:pPr>
  </w:style>
  <w:style w:type="paragraph" w:styleId="Zkladntext2">
    <w:name w:val="Body Text 2"/>
    <w:basedOn w:val="Normln"/>
    <w:link w:val="Zkladntext2Char"/>
    <w:uiPriority w:val="99"/>
    <w:semiHidden/>
    <w:unhideWhenUsed/>
    <w:rsid w:val="00C964F8"/>
    <w:pPr>
      <w:spacing w:after="120" w:line="480" w:lineRule="auto"/>
    </w:pPr>
  </w:style>
  <w:style w:type="character" w:customStyle="1" w:styleId="Zkladntext2Char">
    <w:name w:val="Základní text 2 Char"/>
    <w:basedOn w:val="Standardnpsmoodstavce"/>
    <w:link w:val="Zkladntext2"/>
    <w:uiPriority w:val="99"/>
    <w:semiHidden/>
    <w:rsid w:val="00C964F8"/>
    <w:rPr>
      <w:rFonts w:ascii="Arial" w:eastAsia="Arial" w:hAnsi="Arial" w:cs="Arial"/>
    </w:rPr>
  </w:style>
  <w:style w:type="paragraph" w:styleId="Textbubliny">
    <w:name w:val="Balloon Text"/>
    <w:basedOn w:val="Normln"/>
    <w:link w:val="TextbublinyChar"/>
    <w:uiPriority w:val="99"/>
    <w:semiHidden/>
    <w:unhideWhenUsed/>
    <w:rsid w:val="00C964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4F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1290</Words>
  <Characters>7617</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Vojtekova Ingrid</dc:creator>
  <cp:lastModifiedBy>Havelková Veronika</cp:lastModifiedBy>
  <cp:revision>4</cp:revision>
  <dcterms:created xsi:type="dcterms:W3CDTF">2021-02-24T12:46:00Z</dcterms:created>
  <dcterms:modified xsi:type="dcterms:W3CDTF">2021-03-30T07:04:00Z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Acrobat PDFMaker 20 for Word</vt:lpwstr>
  </property>
  <property fmtid="{D5CDD505-2E9C-101B-9397-08002B2CF9AE}" pid="4" name="LastSaved">
    <vt:filetime>2021-02-24T00:00:00Z</vt:filetime>
  </property>
</Properties>
</file>