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489488D"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CE5F76">
        <w:rPr>
          <w:rFonts w:ascii="Arial" w:hAnsi="Arial" w:cs="Arial"/>
          <w:sz w:val="36"/>
          <w:szCs w:val="36"/>
        </w:rPr>
        <w:t>2021</w:t>
      </w:r>
      <w:r w:rsidRPr="0094437C">
        <w:rPr>
          <w:rFonts w:ascii="Arial" w:hAnsi="Arial" w:cs="Arial"/>
          <w:sz w:val="36"/>
          <w:szCs w:val="36"/>
        </w:rPr>
        <w:t xml:space="preserve"> / </w:t>
      </w:r>
      <w:r w:rsidR="00CE5F76">
        <w:rPr>
          <w:rFonts w:ascii="Arial" w:hAnsi="Arial" w:cs="Arial"/>
          <w:sz w:val="36"/>
          <w:szCs w:val="36"/>
        </w:rPr>
        <w:t>01637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A424FD8" w:rsidR="00700D7B" w:rsidRPr="00C245AE" w:rsidRDefault="00E53610"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7D30832A" w:rsidR="00700D7B" w:rsidRPr="00C245AE" w:rsidRDefault="00E53610"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0614AE8" w:rsidR="00700D7B" w:rsidRPr="00C245AE" w:rsidRDefault="00E53610"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66AF0DA" w:rsidR="00700D7B" w:rsidRPr="00C245AE" w:rsidRDefault="00700D7B" w:rsidP="000B5961">
            <w:pPr>
              <w:pStyle w:val="cpTabulkasmluvnistrany"/>
              <w:framePr w:hSpace="0" w:wrap="auto" w:vAnchor="margin" w:hAnchor="text" w:yAlign="inline"/>
              <w:spacing w:after="60"/>
            </w:pP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0D9E9BF" w:rsidR="00700D7B" w:rsidRPr="00C245AE" w:rsidRDefault="00E53610"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754FCB73"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53772E5" w:rsidR="00700D7B" w:rsidRPr="00B60B7A" w:rsidRDefault="00E53610"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ACBD4B3" w:rsidR="00700D7B" w:rsidRPr="00B60B7A" w:rsidRDefault="00E53610" w:rsidP="0091342F">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0181D10D" w:rsidR="00700D7B" w:rsidRPr="00B60B7A" w:rsidRDefault="00E53610" w:rsidP="000B5961">
            <w:pPr>
              <w:pStyle w:val="cpTabulkasmluvnistrany"/>
              <w:framePr w:hSpace="0" w:wrap="auto" w:vAnchor="margin" w:hAnchor="text" w:yAlign="inline"/>
              <w:spacing w:after="60"/>
            </w:pPr>
            <w:r>
              <w:t>XXX</w:t>
            </w:r>
          </w:p>
          <w:p w14:paraId="56FB5CA6" w14:textId="0BF641EA" w:rsidR="00700D7B" w:rsidRPr="00B60B7A" w:rsidRDefault="00E53610" w:rsidP="000B5961">
            <w:pPr>
              <w:pStyle w:val="cpTabulkasmluvnistrany"/>
              <w:framePr w:hSpace="0" w:wrap="auto" w:vAnchor="margin" w:hAnchor="text" w:yAlign="inline"/>
              <w:spacing w:after="60"/>
            </w:pPr>
            <w:r>
              <w:t>XXX</w:t>
            </w:r>
          </w:p>
          <w:p w14:paraId="041E25C6" w14:textId="67FDD142"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BCE61F6"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4206E803"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262CD66"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42333D04"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5F81704E" w:rsidR="00700D7B" w:rsidRPr="00E7206A" w:rsidRDefault="00700D7B" w:rsidP="0043438B">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CE5F76">
        <w:rPr>
          <w:szCs w:val="22"/>
        </w:rPr>
        <w:t>-</w:t>
      </w:r>
      <w:r w:rsidRPr="00E7206A">
        <w:rPr>
          <w:szCs w:val="22"/>
        </w:rPr>
        <w:t> </w:t>
      </w:r>
      <w:r w:rsidR="00E53610">
        <w:rPr>
          <w:b/>
          <w:bCs/>
          <w:szCs w:val="22"/>
        </w:rPr>
        <w:t>XXX</w:t>
      </w:r>
      <w:r w:rsidR="00CE5F76" w:rsidRPr="00CE5F76">
        <w:rPr>
          <w:b/>
          <w:bCs/>
          <w:szCs w:val="22"/>
        </w:rPr>
        <w:t xml:space="preserve"> </w:t>
      </w:r>
      <w:r w:rsidRPr="00E7206A">
        <w:rPr>
          <w:szCs w:val="22"/>
        </w:rPr>
        <w:t xml:space="preserve">(dále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5F7EC07"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w:t>
      </w:r>
      <w:r w:rsidR="00CE5F76">
        <w:rPr>
          <w:bCs/>
          <w:szCs w:val="22"/>
        </w:rPr>
        <w:t xml:space="preserve">                  </w:t>
      </w:r>
      <w:r w:rsidRPr="003E4A44">
        <w:rPr>
          <w:bCs/>
          <w:szCs w:val="22"/>
        </w:rPr>
        <w:t xml:space="preserve"> 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4326D0D6" w14:textId="69FCE368" w:rsidR="00500195" w:rsidRDefault="00500195" w:rsidP="00500195">
      <w:pPr>
        <w:pStyle w:val="Zkladntext"/>
        <w:spacing w:after="120" w:line="260" w:lineRule="exact"/>
        <w:ind w:left="1214"/>
        <w:jc w:val="both"/>
        <w:rPr>
          <w:szCs w:val="22"/>
        </w:rPr>
      </w:pPr>
    </w:p>
    <w:p w14:paraId="25ACF84E" w14:textId="77777777" w:rsidR="00500195" w:rsidRPr="00E7206A" w:rsidRDefault="00500195" w:rsidP="00500195">
      <w:pPr>
        <w:pStyle w:val="Zkladntext"/>
        <w:spacing w:after="120" w:line="260" w:lineRule="exact"/>
        <w:ind w:left="1214"/>
        <w:jc w:val="both"/>
        <w:rPr>
          <w:szCs w:val="22"/>
        </w:rPr>
      </w:pPr>
    </w:p>
    <w:p w14:paraId="563CD9E9" w14:textId="7290F041" w:rsidR="00700D7B" w:rsidRPr="00E7206A" w:rsidRDefault="00700D7B" w:rsidP="00700D7B">
      <w:pPr>
        <w:pStyle w:val="Zkladntext"/>
        <w:numPr>
          <w:ilvl w:val="2"/>
          <w:numId w:val="4"/>
        </w:numPr>
        <w:spacing w:after="120" w:line="260" w:lineRule="exact"/>
        <w:jc w:val="both"/>
        <w:rPr>
          <w:szCs w:val="22"/>
        </w:rPr>
      </w:pPr>
      <w:r w:rsidRPr="00E7206A">
        <w:rPr>
          <w:szCs w:val="22"/>
        </w:rPr>
        <w:lastRenderedPageBreak/>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3A7680BD"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402F3055" w:rsidR="00700D7B" w:rsidRPr="00E7206A" w:rsidRDefault="00700D7B" w:rsidP="000C2BE5">
      <w:pPr>
        <w:pStyle w:val="Zkladntext2"/>
        <w:numPr>
          <w:ilvl w:val="1"/>
          <w:numId w:val="5"/>
        </w:numPr>
        <w:spacing w:after="120" w:line="260" w:lineRule="exact"/>
        <w:rPr>
          <w:szCs w:val="22"/>
        </w:rPr>
      </w:pPr>
      <w:r w:rsidRPr="00E7206A">
        <w:rPr>
          <w:szCs w:val="22"/>
        </w:rPr>
        <w:t>Provize je splatná na základě faktury (u neplátce DPH) nebo na základě daňového dokladu (v případě plátce DPH) vystavené Zástupcem do 10-ti dnů po uplynutí příslušného kalendář</w:t>
      </w:r>
      <w:r w:rsidR="00E53610">
        <w:rPr>
          <w:szCs w:val="22"/>
        </w:rPr>
        <w:t>ního měsíce, se splatností do XX</w:t>
      </w:r>
      <w:r w:rsidRPr="00E7206A">
        <w:rPr>
          <w:szCs w:val="22"/>
        </w:rPr>
        <w:t xml:space="preserve"> dnů od data vystavení faktury, převodem na účet Zástupce vedený </w:t>
      </w:r>
      <w:r w:rsidR="00CE5F76">
        <w:rPr>
          <w:szCs w:val="22"/>
        </w:rPr>
        <w:t xml:space="preserve">                            </w:t>
      </w:r>
      <w:r w:rsidRPr="00E7206A">
        <w:rPr>
          <w:szCs w:val="22"/>
        </w:rPr>
        <w:t xml:space="preserve">u </w:t>
      </w:r>
      <w:r w:rsidR="00E53610">
        <w:rPr>
          <w:b/>
          <w:bCs/>
          <w:szCs w:val="22"/>
        </w:rPr>
        <w:t>XXX</w:t>
      </w:r>
      <w:r w:rsidRPr="00E7206A">
        <w:rPr>
          <w:szCs w:val="22"/>
        </w:rPr>
        <w:t xml:space="preserve">, č. účtu </w:t>
      </w:r>
      <w:r w:rsidR="00E53610">
        <w:rPr>
          <w:b/>
        </w:rPr>
        <w:t>XXX</w:t>
      </w:r>
      <w:r w:rsidRPr="00E7206A">
        <w:rPr>
          <w:szCs w:val="22"/>
        </w:rPr>
        <w:t xml:space="preserve">. Výši provize Zástupce stanoví na základě vyúčtování, které mu předává ČP. Vyhotovenou fakturu zašle Zástupce </w:t>
      </w:r>
      <w:r w:rsidR="00E53610">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8" w:history="1">
        <w:r w:rsidR="00E53610" w:rsidRPr="000C4760">
          <w:rPr>
            <w:rStyle w:val="Hypertextovodkaz"/>
          </w:rPr>
          <w:t>XXX</w:t>
        </w:r>
      </w:hyperlink>
      <w:r w:rsidR="00FD4A8A" w:rsidRPr="00E7206A">
        <w:rPr>
          <w:szCs w:val="22"/>
        </w:rPr>
        <w:t xml:space="preserve"> na e-mailovou adresu ČP </w:t>
      </w:r>
      <w:r w:rsidR="00E53610">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5BACCFA8"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0FA745F0" w14:textId="77777777" w:rsidR="00500195" w:rsidRPr="00E7206A" w:rsidRDefault="00500195" w:rsidP="00500195">
      <w:pPr>
        <w:pStyle w:val="Zkladntext2"/>
        <w:spacing w:after="120" w:line="260" w:lineRule="exact"/>
        <w:ind w:left="624"/>
        <w:rPr>
          <w:szCs w:val="22"/>
        </w:rPr>
      </w:pP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3FA8193" w:rsidR="00700D7B" w:rsidRPr="00E7206A" w:rsidRDefault="00700D7B" w:rsidP="00D96822">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D96822">
        <w:rPr>
          <w:szCs w:val="22"/>
        </w:rPr>
        <w:t>pro provozovn</w:t>
      </w:r>
      <w:r w:rsidR="00840D8E" w:rsidRPr="00D96822">
        <w:rPr>
          <w:szCs w:val="22"/>
        </w:rPr>
        <w:t>u</w:t>
      </w:r>
      <w:r w:rsidRPr="00E7206A">
        <w:rPr>
          <w:b/>
          <w:szCs w:val="22"/>
        </w:rPr>
        <w:t xml:space="preserve"> </w:t>
      </w:r>
      <w:r w:rsidR="00E53610">
        <w:rPr>
          <w:b/>
          <w:szCs w:val="22"/>
        </w:rPr>
        <w:t>XXX</w:t>
      </w:r>
      <w:r w:rsidRPr="00E7206A">
        <w:rPr>
          <w:szCs w:val="22"/>
        </w:rPr>
        <w:t xml:space="preserve"> myšlena provozovna ČP s názvem </w:t>
      </w:r>
      <w:r w:rsidR="00E53610">
        <w:rPr>
          <w:b/>
          <w:bCs/>
          <w:szCs w:val="22"/>
        </w:rPr>
        <w:t>XXX</w:t>
      </w:r>
      <w:r w:rsidRPr="00E7206A">
        <w:rPr>
          <w:szCs w:val="22"/>
        </w:rPr>
        <w:t xml:space="preserve"> umístěna na adrese </w:t>
      </w:r>
      <w:r w:rsidR="00E53610">
        <w:rPr>
          <w:b/>
          <w:bCs/>
          <w:szCs w:val="22"/>
        </w:rPr>
        <w:t>XXX</w:t>
      </w:r>
      <w:r w:rsidRPr="00E7206A">
        <w:rPr>
          <w:szCs w:val="22"/>
        </w:rPr>
        <w:t>, telefonní kontakt</w:t>
      </w:r>
      <w:r w:rsidR="00D96822">
        <w:rPr>
          <w:szCs w:val="22"/>
        </w:rPr>
        <w:t xml:space="preserve"> </w:t>
      </w:r>
      <w:r w:rsidR="00E53610">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65D204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E53610">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14B207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68B60A3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0760C5D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lastRenderedPageBreak/>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4082BE03"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500195">
        <w:rPr>
          <w:b/>
          <w:szCs w:val="22"/>
        </w:rPr>
        <w:t>13</w:t>
      </w:r>
      <w:r w:rsidR="00500195" w:rsidRPr="00500195">
        <w:rPr>
          <w:b/>
          <w:szCs w:val="22"/>
        </w:rPr>
        <w:t>, 14, 16 a 18</w:t>
      </w:r>
      <w:r w:rsidRPr="00B67A6A">
        <w:rPr>
          <w:color w:val="FF0000"/>
          <w:szCs w:val="22"/>
        </w:rPr>
        <w:t xml:space="preserve"> </w:t>
      </w:r>
      <w:r w:rsidRPr="00E7206A">
        <w:rPr>
          <w:szCs w:val="22"/>
        </w:rPr>
        <w:t xml:space="preserve">má přednost znění těchto příloh. </w:t>
      </w:r>
    </w:p>
    <w:p w14:paraId="72C04344" w14:textId="77777777" w:rsidR="00500195" w:rsidRPr="00E7206A" w:rsidRDefault="00500195" w:rsidP="00500195">
      <w:pPr>
        <w:pStyle w:val="Zkladntext2"/>
        <w:spacing w:after="120" w:line="260" w:lineRule="exact"/>
        <w:ind w:left="624"/>
        <w:rPr>
          <w:szCs w:val="22"/>
        </w:rPr>
      </w:pP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0B08AB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500195">
        <w:rPr>
          <w:b/>
          <w:bCs/>
          <w:szCs w:val="22"/>
        </w:rPr>
        <w:t>2021/01637</w:t>
      </w:r>
      <w:r w:rsidRPr="00E7206A">
        <w:rPr>
          <w:szCs w:val="22"/>
        </w:rPr>
        <w:t xml:space="preserve"> dokládá: </w:t>
      </w:r>
    </w:p>
    <w:p w14:paraId="0644C1A2" w14:textId="45427AC8"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2205DD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EBC623C" w14:textId="31641AD3" w:rsidR="00500195" w:rsidRDefault="00500195" w:rsidP="00500195">
      <w:pPr>
        <w:pStyle w:val="Zkladntext2"/>
        <w:spacing w:after="120" w:line="260" w:lineRule="exact"/>
        <w:ind w:left="624"/>
        <w:rPr>
          <w:szCs w:val="22"/>
        </w:rPr>
      </w:pPr>
    </w:p>
    <w:p w14:paraId="6865E565" w14:textId="725835F6" w:rsidR="00500195" w:rsidRDefault="00500195" w:rsidP="00500195">
      <w:pPr>
        <w:pStyle w:val="Zkladntext2"/>
        <w:spacing w:after="120" w:line="260" w:lineRule="exact"/>
        <w:ind w:left="624"/>
        <w:rPr>
          <w:szCs w:val="22"/>
        </w:rPr>
      </w:pPr>
    </w:p>
    <w:p w14:paraId="3D1B0385" w14:textId="45201A76" w:rsidR="00500195" w:rsidRDefault="00500195" w:rsidP="00500195">
      <w:pPr>
        <w:pStyle w:val="Zkladntext2"/>
        <w:spacing w:after="120" w:line="260" w:lineRule="exact"/>
        <w:ind w:left="624"/>
        <w:rPr>
          <w:szCs w:val="22"/>
        </w:rPr>
      </w:pPr>
    </w:p>
    <w:p w14:paraId="7BA3FED3" w14:textId="33BFE7C9" w:rsidR="00500195" w:rsidRDefault="00500195" w:rsidP="00500195">
      <w:pPr>
        <w:pStyle w:val="Zkladntext2"/>
        <w:spacing w:after="120" w:line="260" w:lineRule="exact"/>
        <w:ind w:left="624"/>
        <w:rPr>
          <w:szCs w:val="22"/>
        </w:rPr>
      </w:pPr>
    </w:p>
    <w:p w14:paraId="642BE608" w14:textId="2C24CEC6" w:rsidR="00500195" w:rsidRDefault="00500195" w:rsidP="00500195">
      <w:pPr>
        <w:pStyle w:val="Zkladntext2"/>
        <w:spacing w:after="120" w:line="260" w:lineRule="exact"/>
        <w:ind w:left="624"/>
        <w:rPr>
          <w:szCs w:val="22"/>
        </w:rPr>
      </w:pPr>
    </w:p>
    <w:p w14:paraId="1B1D528E" w14:textId="11CC76FD" w:rsidR="00500195" w:rsidRDefault="00500195" w:rsidP="00500195">
      <w:pPr>
        <w:pStyle w:val="Zkladntext2"/>
        <w:spacing w:after="120" w:line="260" w:lineRule="exact"/>
        <w:ind w:left="624"/>
        <w:rPr>
          <w:szCs w:val="22"/>
        </w:rPr>
      </w:pPr>
    </w:p>
    <w:p w14:paraId="6BFD935C" w14:textId="2C4DD806" w:rsidR="00500195" w:rsidRDefault="00500195" w:rsidP="00500195">
      <w:pPr>
        <w:pStyle w:val="Zkladntext2"/>
        <w:spacing w:after="120" w:line="260" w:lineRule="exact"/>
        <w:ind w:left="624"/>
        <w:rPr>
          <w:szCs w:val="22"/>
        </w:rPr>
      </w:pPr>
    </w:p>
    <w:p w14:paraId="41651973" w14:textId="36245037" w:rsidR="00500195" w:rsidRDefault="00500195" w:rsidP="00500195">
      <w:pPr>
        <w:pStyle w:val="Zkladntext2"/>
        <w:spacing w:after="120" w:line="260" w:lineRule="exact"/>
        <w:ind w:left="624"/>
        <w:rPr>
          <w:szCs w:val="22"/>
        </w:rPr>
      </w:pPr>
    </w:p>
    <w:p w14:paraId="2A261A56" w14:textId="50484B94" w:rsidR="00500195" w:rsidRDefault="00500195" w:rsidP="00500195">
      <w:pPr>
        <w:pStyle w:val="Zkladntext2"/>
        <w:spacing w:after="120" w:line="260" w:lineRule="exact"/>
        <w:ind w:left="624"/>
        <w:rPr>
          <w:szCs w:val="22"/>
        </w:rPr>
      </w:pPr>
    </w:p>
    <w:p w14:paraId="00885B5D" w14:textId="1D5CAC63" w:rsidR="00500195" w:rsidRDefault="00500195" w:rsidP="00500195">
      <w:pPr>
        <w:pStyle w:val="Zkladntext2"/>
        <w:spacing w:after="120" w:line="260" w:lineRule="exact"/>
        <w:ind w:left="624"/>
        <w:rPr>
          <w:szCs w:val="22"/>
        </w:rPr>
      </w:pPr>
    </w:p>
    <w:p w14:paraId="074E0286" w14:textId="6026EA27" w:rsidR="00500195" w:rsidRDefault="00500195" w:rsidP="00500195">
      <w:pPr>
        <w:pStyle w:val="Zkladntext2"/>
        <w:spacing w:after="120" w:line="260" w:lineRule="exact"/>
        <w:ind w:left="624"/>
        <w:rPr>
          <w:szCs w:val="22"/>
        </w:rPr>
      </w:pPr>
    </w:p>
    <w:p w14:paraId="4FF1C889" w14:textId="172804D5" w:rsidR="00500195" w:rsidRDefault="00500195" w:rsidP="00500195">
      <w:pPr>
        <w:pStyle w:val="Zkladntext2"/>
        <w:spacing w:after="120" w:line="260" w:lineRule="exact"/>
        <w:ind w:left="624"/>
        <w:rPr>
          <w:szCs w:val="22"/>
        </w:rPr>
      </w:pPr>
    </w:p>
    <w:p w14:paraId="754E25CF" w14:textId="2652F938" w:rsidR="00500195" w:rsidRDefault="00500195" w:rsidP="00500195">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5BFC98F0"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73925F8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334C07A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305B13B3"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500195">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28438F43" w:rsidR="002C5369" w:rsidRDefault="002C5369" w:rsidP="000C2BE5">
            <w:pPr>
              <w:pStyle w:val="cpodstavecslovan1"/>
              <w:numPr>
                <w:ilvl w:val="0"/>
                <w:numId w:val="0"/>
              </w:numPr>
            </w:pPr>
            <w:r>
              <w:t xml:space="preserve">V Praze dne </w:t>
            </w:r>
            <w:r w:rsidR="000C2BE5">
              <w:t>23</w:t>
            </w:r>
            <w:r w:rsidR="00500195">
              <w:t>.</w:t>
            </w:r>
            <w:r w:rsidR="000C2BE5">
              <w:t>3</w:t>
            </w:r>
            <w:r w:rsidR="00500195">
              <w:t>.2021</w:t>
            </w:r>
          </w:p>
        </w:tc>
        <w:tc>
          <w:tcPr>
            <w:tcW w:w="4812" w:type="dxa"/>
          </w:tcPr>
          <w:p w14:paraId="4B301586" w14:textId="77777777" w:rsidR="002C5369" w:rsidRDefault="002C5369" w:rsidP="009824DB">
            <w:pPr>
              <w:pStyle w:val="cpodstavecslovan1"/>
              <w:numPr>
                <w:ilvl w:val="0"/>
                <w:numId w:val="0"/>
              </w:numPr>
            </w:pPr>
          </w:p>
          <w:p w14:paraId="0C259912" w14:textId="08CF65EC" w:rsidR="002C5369" w:rsidRDefault="002C5369" w:rsidP="00E53610">
            <w:pPr>
              <w:pStyle w:val="cpodstavecslovan1"/>
              <w:numPr>
                <w:ilvl w:val="0"/>
                <w:numId w:val="0"/>
              </w:numPr>
            </w:pPr>
            <w:r>
              <w:t>V</w:t>
            </w:r>
            <w:r w:rsidR="00583F67">
              <w:t> </w:t>
            </w:r>
            <w:r w:rsidR="00E53610">
              <w:t>XXX</w:t>
            </w:r>
            <w:r w:rsidR="00583F67">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789007CF" w:rsidR="002C5369" w:rsidRPr="00583F67" w:rsidRDefault="00E53610" w:rsidP="009824DB">
            <w:pPr>
              <w:pStyle w:val="cpodstavecslovan1"/>
              <w:numPr>
                <w:ilvl w:val="0"/>
                <w:numId w:val="0"/>
              </w:numPr>
              <w:jc w:val="center"/>
              <w:rPr>
                <w:i/>
              </w:rPr>
            </w:pPr>
            <w:r>
              <w:rPr>
                <w:i/>
                <w:noProof/>
              </w:rPr>
              <w:t>XXX</w:t>
            </w:r>
            <w:bookmarkStart w:id="0" w:name="_GoBack"/>
            <w:bookmarkEnd w:id="0"/>
          </w:p>
          <w:p w14:paraId="7E749456" w14:textId="08AFEA1A" w:rsidR="002C5369" w:rsidRDefault="00E53610" w:rsidP="009824DB">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723B3" w14:textId="77777777" w:rsidR="00837D6F" w:rsidRDefault="00837D6F" w:rsidP="00700D7B">
      <w:r>
        <w:separator/>
      </w:r>
    </w:p>
  </w:endnote>
  <w:endnote w:type="continuationSeparator" w:id="0">
    <w:p w14:paraId="1C38F47E" w14:textId="77777777" w:rsidR="00837D6F" w:rsidRDefault="00837D6F" w:rsidP="00700D7B">
      <w:r>
        <w:continuationSeparator/>
      </w:r>
    </w:p>
  </w:endnote>
  <w:endnote w:type="continuationNotice" w:id="1">
    <w:p w14:paraId="68A5859B" w14:textId="77777777" w:rsidR="00837D6F" w:rsidRDefault="0083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768625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53610">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53610">
      <w:rPr>
        <w:noProof/>
      </w:rPr>
      <w:t>8</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286A" w14:textId="77777777" w:rsidR="00837D6F" w:rsidRDefault="00837D6F" w:rsidP="00700D7B">
      <w:r>
        <w:separator/>
      </w:r>
    </w:p>
  </w:footnote>
  <w:footnote w:type="continuationSeparator" w:id="0">
    <w:p w14:paraId="79B443B0" w14:textId="77777777" w:rsidR="00837D6F" w:rsidRDefault="00837D6F" w:rsidP="00700D7B">
      <w:r>
        <w:continuationSeparator/>
      </w:r>
    </w:p>
  </w:footnote>
  <w:footnote w:type="continuationNotice" w:id="1">
    <w:p w14:paraId="706EFF88" w14:textId="77777777" w:rsidR="00837D6F" w:rsidRDefault="00837D6F"/>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15AD1D0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CE5F76">
      <w:rPr>
        <w:rFonts w:ascii="Arial" w:hAnsi="Arial" w:cs="Arial"/>
      </w:rPr>
      <w:t>2021</w:t>
    </w:r>
    <w:r>
      <w:rPr>
        <w:rFonts w:ascii="Arial" w:hAnsi="Arial" w:cs="Arial"/>
      </w:rPr>
      <w:t xml:space="preserve"> / </w:t>
    </w:r>
    <w:r w:rsidR="00CE5F76">
      <w:rPr>
        <w:rFonts w:ascii="Arial" w:hAnsi="Arial" w:cs="Arial"/>
      </w:rPr>
      <w:t>01637</w:t>
    </w:r>
    <w:r>
      <w:rPr>
        <w:rFonts w:ascii="Arial" w:hAnsi="Arial" w:cs="Arial"/>
      </w:rPr>
      <w:tab/>
    </w:r>
    <w:r w:rsidR="00CE5F76">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C2BE5"/>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3438B"/>
    <w:rsid w:val="004428C9"/>
    <w:rsid w:val="00464E09"/>
    <w:rsid w:val="00486DE0"/>
    <w:rsid w:val="004C14A7"/>
    <w:rsid w:val="00500195"/>
    <w:rsid w:val="00517A16"/>
    <w:rsid w:val="005313E9"/>
    <w:rsid w:val="00542F6D"/>
    <w:rsid w:val="0054790A"/>
    <w:rsid w:val="00583F67"/>
    <w:rsid w:val="00590D2F"/>
    <w:rsid w:val="005C01DC"/>
    <w:rsid w:val="005E0865"/>
    <w:rsid w:val="005E12B8"/>
    <w:rsid w:val="0061204F"/>
    <w:rsid w:val="00630734"/>
    <w:rsid w:val="00675A72"/>
    <w:rsid w:val="006815A3"/>
    <w:rsid w:val="00685EE3"/>
    <w:rsid w:val="006956B7"/>
    <w:rsid w:val="006C6064"/>
    <w:rsid w:val="00700D7B"/>
    <w:rsid w:val="007230B3"/>
    <w:rsid w:val="007465AC"/>
    <w:rsid w:val="00763C34"/>
    <w:rsid w:val="007846F4"/>
    <w:rsid w:val="00784EB3"/>
    <w:rsid w:val="007900D2"/>
    <w:rsid w:val="00793694"/>
    <w:rsid w:val="007A29A3"/>
    <w:rsid w:val="007D1629"/>
    <w:rsid w:val="007E7853"/>
    <w:rsid w:val="007F07EF"/>
    <w:rsid w:val="008166ED"/>
    <w:rsid w:val="00837D6F"/>
    <w:rsid w:val="00840D8E"/>
    <w:rsid w:val="00843E0A"/>
    <w:rsid w:val="00846C46"/>
    <w:rsid w:val="008567E3"/>
    <w:rsid w:val="00861ADB"/>
    <w:rsid w:val="008644F2"/>
    <w:rsid w:val="00865E77"/>
    <w:rsid w:val="0088083A"/>
    <w:rsid w:val="00890742"/>
    <w:rsid w:val="00907175"/>
    <w:rsid w:val="00911293"/>
    <w:rsid w:val="00912B0A"/>
    <w:rsid w:val="0091342F"/>
    <w:rsid w:val="0091441F"/>
    <w:rsid w:val="0094103A"/>
    <w:rsid w:val="00945352"/>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E5F76"/>
    <w:rsid w:val="00CF7379"/>
    <w:rsid w:val="00D110C8"/>
    <w:rsid w:val="00D21539"/>
    <w:rsid w:val="00D37CC4"/>
    <w:rsid w:val="00D70497"/>
    <w:rsid w:val="00D710CE"/>
    <w:rsid w:val="00D96822"/>
    <w:rsid w:val="00D974F4"/>
    <w:rsid w:val="00DB180C"/>
    <w:rsid w:val="00DC3445"/>
    <w:rsid w:val="00E07893"/>
    <w:rsid w:val="00E206AC"/>
    <w:rsid w:val="00E22DAC"/>
    <w:rsid w:val="00E243E9"/>
    <w:rsid w:val="00E32B38"/>
    <w:rsid w:val="00E460FD"/>
    <w:rsid w:val="00E53610"/>
    <w:rsid w:val="00E7206A"/>
    <w:rsid w:val="00EE368C"/>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3110</Words>
  <Characters>18351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20</cp:revision>
  <cp:lastPrinted>2019-05-15T11:28:00Z</cp:lastPrinted>
  <dcterms:created xsi:type="dcterms:W3CDTF">2020-10-12T07:02:00Z</dcterms:created>
  <dcterms:modified xsi:type="dcterms:W3CDTF">2021-04-07T09:39:00Z</dcterms:modified>
</cp:coreProperties>
</file>