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3343" w14:textId="77777777" w:rsidR="00EA2283" w:rsidRPr="002F5B65" w:rsidRDefault="002F5B65" w:rsidP="00DC19D0">
      <w:pPr>
        <w:jc w:val="center"/>
        <w:rPr>
          <w:rFonts w:ascii="Arial" w:hAnsi="Arial" w:cs="Arial"/>
          <w:b/>
          <w:sz w:val="24"/>
          <w:szCs w:val="20"/>
        </w:rPr>
      </w:pPr>
      <w:r w:rsidRPr="002F5B65">
        <w:rPr>
          <w:rFonts w:ascii="Arial" w:hAnsi="Arial" w:cs="Arial"/>
          <w:b/>
          <w:sz w:val="24"/>
          <w:szCs w:val="20"/>
        </w:rPr>
        <w:t>Smlouva o dílo</w:t>
      </w:r>
    </w:p>
    <w:p w14:paraId="17634D0F" w14:textId="5DE81288" w:rsidR="002F5B65" w:rsidRDefault="002F5B65" w:rsidP="00DC19D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368C3">
        <w:rPr>
          <w:rFonts w:ascii="Arial" w:hAnsi="Arial" w:cs="Arial"/>
          <w:i/>
          <w:iCs/>
          <w:sz w:val="20"/>
          <w:szCs w:val="20"/>
        </w:rPr>
        <w:t>ve smyslu § 2586 zákona č. 89/2012 Sb., občanský zákoník, ve znění pozdějších předpisů</w:t>
      </w:r>
    </w:p>
    <w:p w14:paraId="2B1BDA14" w14:textId="77777777" w:rsidR="005B21AF" w:rsidRPr="001368C3" w:rsidRDefault="005B21AF" w:rsidP="00DC19D0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790095F" w14:textId="77777777" w:rsidR="002F5B65" w:rsidRDefault="002F5B65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2F5B65">
        <w:rPr>
          <w:rFonts w:ascii="Arial" w:hAnsi="Arial" w:cs="Arial"/>
          <w:b/>
          <w:color w:val="auto"/>
          <w:sz w:val="20"/>
          <w:szCs w:val="22"/>
        </w:rPr>
        <w:t>Smluvní strany</w:t>
      </w:r>
    </w:p>
    <w:p w14:paraId="07BB23C6" w14:textId="77777777" w:rsidR="00A12B1A" w:rsidRPr="00FB449A" w:rsidRDefault="00A12B1A" w:rsidP="00A12B1A">
      <w:pPr>
        <w:spacing w:after="240"/>
        <w:rPr>
          <w:rFonts w:ascii="Arial" w:hAnsi="Arial" w:cs="Arial"/>
          <w:b/>
          <w:sz w:val="20"/>
        </w:rPr>
      </w:pPr>
      <w:bookmarkStart w:id="0" w:name="_Hlk55040452"/>
      <w:r w:rsidRPr="00FB449A">
        <w:rPr>
          <w:rFonts w:ascii="Arial" w:hAnsi="Arial" w:cs="Arial"/>
          <w:b/>
          <w:sz w:val="20"/>
        </w:rPr>
        <w:t xml:space="preserve">Objednatel </w:t>
      </w:r>
      <w:r w:rsidRPr="00FB449A">
        <w:rPr>
          <w:rFonts w:ascii="Arial" w:hAnsi="Arial" w:cs="Arial"/>
          <w:b/>
          <w:sz w:val="20"/>
        </w:rPr>
        <w:tab/>
      </w:r>
      <w:r w:rsidRPr="00FB449A">
        <w:rPr>
          <w:rFonts w:ascii="Arial" w:hAnsi="Arial" w:cs="Arial"/>
          <w:b/>
          <w:sz w:val="20"/>
        </w:rPr>
        <w:tab/>
      </w:r>
      <w:r w:rsidRPr="000034D2">
        <w:rPr>
          <w:rFonts w:ascii="Arial" w:hAnsi="Arial" w:cs="Arial"/>
          <w:b/>
          <w:sz w:val="20"/>
        </w:rPr>
        <w:t>Zdravotnický holding Královéhradeckého kraje a.s.</w:t>
      </w:r>
    </w:p>
    <w:p w14:paraId="31581FD9" w14:textId="77777777" w:rsidR="00A12B1A" w:rsidRDefault="00A12B1A" w:rsidP="00A12B1A">
      <w:pPr>
        <w:spacing w:after="240"/>
        <w:ind w:left="2124" w:firstLine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 zapsaná v obchodním rejstříku vedeném u Krajského soudu v Hradci Králové pod spisovou značkou B 2321</w:t>
      </w:r>
    </w:p>
    <w:p w14:paraId="1CCA9529" w14:textId="77777777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034D2">
        <w:rPr>
          <w:rFonts w:ascii="Arial" w:hAnsi="Arial" w:cs="Arial"/>
          <w:sz w:val="20"/>
        </w:rPr>
        <w:t>25997556</w:t>
      </w:r>
    </w:p>
    <w:p w14:paraId="22C90AC1" w14:textId="77777777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364B0">
        <w:rPr>
          <w:rFonts w:ascii="Arial" w:hAnsi="Arial" w:cs="Arial"/>
          <w:sz w:val="20"/>
        </w:rPr>
        <w:t>CZ699004900</w:t>
      </w:r>
    </w:p>
    <w:p w14:paraId="15AE652F" w14:textId="77777777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034D2">
        <w:rPr>
          <w:rFonts w:ascii="Arial" w:hAnsi="Arial" w:cs="Arial"/>
          <w:sz w:val="20"/>
        </w:rPr>
        <w:t>Pivovarské náměstí 1245/2, 500 03 Hradec Králové</w:t>
      </w:r>
    </w:p>
    <w:p w14:paraId="5E6C7219" w14:textId="0D580D3E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Marian Tomášik, MBA, </w:t>
      </w:r>
      <w:r w:rsidR="006B4995">
        <w:rPr>
          <w:rFonts w:ascii="Arial" w:hAnsi="Arial" w:cs="Arial"/>
          <w:sz w:val="20"/>
        </w:rPr>
        <w:t xml:space="preserve">předseda </w:t>
      </w:r>
      <w:r>
        <w:rPr>
          <w:rFonts w:ascii="Arial" w:hAnsi="Arial" w:cs="Arial"/>
          <w:sz w:val="20"/>
        </w:rPr>
        <w:t>představenstva</w:t>
      </w:r>
    </w:p>
    <w:p w14:paraId="01620180" w14:textId="4ABFF3C1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proofErr w:type="spellStart"/>
      <w:r w:rsidR="006101DB" w:rsidRPr="006101DB">
        <w:rPr>
          <w:rFonts w:ascii="Arial" w:hAnsi="Arial" w:cs="Arial"/>
          <w:sz w:val="20"/>
          <w:highlight w:val="black"/>
        </w:rPr>
        <w:t>Xxxxxxxxxxxxxxxxxxxxxxxxxxxxxxxxxxx</w:t>
      </w:r>
      <w:proofErr w:type="spellEnd"/>
    </w:p>
    <w:p w14:paraId="27E04BDD" w14:textId="27F6DF80" w:rsidR="00A12B1A" w:rsidRDefault="00A12B1A" w:rsidP="00A12B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101DB" w:rsidRPr="006101DB">
        <w:rPr>
          <w:rFonts w:ascii="Arial" w:hAnsi="Arial" w:cs="Arial"/>
          <w:sz w:val="20"/>
          <w:highlight w:val="black"/>
        </w:rPr>
        <w:t>xxxxxxxxxxxxxx</w:t>
      </w:r>
      <w:proofErr w:type="spellEnd"/>
    </w:p>
    <w:p w14:paraId="62CB383F" w14:textId="6689EF9B" w:rsidR="00A12B1A" w:rsidRDefault="00A12B1A" w:rsidP="00A12B1A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dále jako „objednatel“ nebo „zdravotnický holding“; </w:t>
      </w:r>
    </w:p>
    <w:p w14:paraId="54B9EBF1" w14:textId="77777777" w:rsidR="005B21AF" w:rsidRDefault="005B21AF" w:rsidP="00A12B1A">
      <w:pPr>
        <w:spacing w:before="240" w:after="240"/>
        <w:rPr>
          <w:rFonts w:ascii="Arial" w:hAnsi="Arial" w:cs="Arial"/>
          <w:sz w:val="20"/>
        </w:rPr>
      </w:pPr>
    </w:p>
    <w:p w14:paraId="6E3ED957" w14:textId="69C2294E" w:rsidR="00EE3E5D" w:rsidRDefault="00A12B1A" w:rsidP="00EE3E5D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Zhotovitel</w:t>
      </w:r>
      <w:r w:rsidRPr="00FB449A">
        <w:rPr>
          <w:rFonts w:ascii="Arial" w:hAnsi="Arial" w:cs="Arial"/>
          <w:b/>
          <w:sz w:val="20"/>
        </w:rPr>
        <w:tab/>
      </w:r>
      <w:r w:rsidRPr="00FB449A">
        <w:rPr>
          <w:rFonts w:ascii="Arial" w:hAnsi="Arial" w:cs="Arial"/>
          <w:b/>
          <w:sz w:val="20"/>
        </w:rPr>
        <w:tab/>
      </w:r>
      <w:r w:rsidR="00C139EA" w:rsidRPr="00C139EA">
        <w:rPr>
          <w:rFonts w:ascii="Arial" w:hAnsi="Arial" w:cs="Arial"/>
          <w:sz w:val="20"/>
        </w:rPr>
        <w:t>TESCO SW a.s.</w:t>
      </w:r>
      <w:r w:rsidR="00EE3E5D">
        <w:rPr>
          <w:rFonts w:ascii="Arial" w:hAnsi="Arial" w:cs="Arial"/>
          <w:sz w:val="20"/>
        </w:rPr>
        <w:br/>
      </w:r>
      <w:r w:rsidR="00EE3E5D">
        <w:rPr>
          <w:rFonts w:ascii="Arial" w:hAnsi="Arial" w:cs="Arial"/>
          <w:sz w:val="20"/>
        </w:rPr>
        <w:tab/>
      </w:r>
      <w:r w:rsidR="00EE3E5D">
        <w:rPr>
          <w:rFonts w:ascii="Arial" w:hAnsi="Arial" w:cs="Arial"/>
          <w:sz w:val="20"/>
        </w:rPr>
        <w:tab/>
      </w:r>
      <w:r w:rsidR="00EE3E5D">
        <w:rPr>
          <w:rFonts w:ascii="Arial" w:hAnsi="Arial" w:cs="Arial"/>
          <w:sz w:val="20"/>
        </w:rPr>
        <w:tab/>
        <w:t xml:space="preserve">společnost vedená v obchodním rejstříku u </w:t>
      </w:r>
      <w:r w:rsidR="00EE3E5D" w:rsidRPr="00EE3E5D">
        <w:rPr>
          <w:rFonts w:ascii="Arial" w:hAnsi="Arial" w:cs="Arial"/>
          <w:sz w:val="20"/>
        </w:rPr>
        <w:t>Krajského soudu v</w:t>
      </w:r>
      <w:r w:rsidR="00EE3E5D">
        <w:rPr>
          <w:rFonts w:ascii="Arial" w:hAnsi="Arial" w:cs="Arial"/>
          <w:sz w:val="20"/>
        </w:rPr>
        <w:t> </w:t>
      </w:r>
      <w:r w:rsidR="00EE3E5D" w:rsidRPr="00EE3E5D">
        <w:rPr>
          <w:rFonts w:ascii="Arial" w:hAnsi="Arial" w:cs="Arial"/>
          <w:sz w:val="20"/>
        </w:rPr>
        <w:t>Ostravě</w:t>
      </w:r>
      <w:r w:rsidR="00EE3E5D">
        <w:rPr>
          <w:rFonts w:ascii="Arial" w:hAnsi="Arial" w:cs="Arial"/>
          <w:sz w:val="20"/>
        </w:rPr>
        <w:t xml:space="preserve"> </w:t>
      </w:r>
      <w:r w:rsidR="00EE3E5D">
        <w:rPr>
          <w:rFonts w:ascii="Arial" w:hAnsi="Arial" w:cs="Arial"/>
          <w:sz w:val="20"/>
        </w:rPr>
        <w:br/>
      </w:r>
      <w:r w:rsidR="00EE3E5D">
        <w:rPr>
          <w:rFonts w:ascii="Arial" w:hAnsi="Arial" w:cs="Arial"/>
          <w:sz w:val="20"/>
        </w:rPr>
        <w:tab/>
      </w:r>
      <w:r w:rsidR="00EE3E5D">
        <w:rPr>
          <w:rFonts w:ascii="Arial" w:hAnsi="Arial" w:cs="Arial"/>
          <w:sz w:val="20"/>
        </w:rPr>
        <w:tab/>
      </w:r>
      <w:r w:rsidR="00EE3E5D">
        <w:rPr>
          <w:rFonts w:ascii="Arial" w:hAnsi="Arial" w:cs="Arial"/>
          <w:sz w:val="20"/>
        </w:rPr>
        <w:tab/>
        <w:t xml:space="preserve">pod spisovou značkou </w:t>
      </w:r>
      <w:r w:rsidR="00EE3E5D" w:rsidRPr="00EE3E5D">
        <w:rPr>
          <w:rFonts w:ascii="Arial" w:hAnsi="Arial" w:cs="Arial"/>
          <w:sz w:val="20"/>
        </w:rPr>
        <w:t>B 2530</w:t>
      </w:r>
    </w:p>
    <w:p w14:paraId="4748F06B" w14:textId="1F1EED0F" w:rsidR="00A12B1A" w:rsidRDefault="00A12B1A" w:rsidP="00EE3E5D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E3E5D" w:rsidRPr="00EE3E5D">
        <w:rPr>
          <w:rFonts w:ascii="Arial" w:hAnsi="Arial" w:cs="Arial"/>
          <w:sz w:val="20"/>
        </w:rPr>
        <w:t>25892533</w:t>
      </w:r>
    </w:p>
    <w:p w14:paraId="543C1A6D" w14:textId="237A9C99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E3E5D" w:rsidRPr="00EE3E5D">
        <w:rPr>
          <w:rFonts w:ascii="Arial" w:hAnsi="Arial" w:cs="Arial"/>
          <w:sz w:val="20"/>
        </w:rPr>
        <w:t>CZ699000785</w:t>
      </w:r>
    </w:p>
    <w:p w14:paraId="20CEB478" w14:textId="6432A768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E3E5D" w:rsidRPr="00EE3E5D">
        <w:rPr>
          <w:rFonts w:ascii="Arial" w:hAnsi="Arial" w:cs="Arial"/>
          <w:sz w:val="20"/>
        </w:rPr>
        <w:t>Tř. Kosmonautů 1288/1, 779 00 Olomouc</w:t>
      </w:r>
    </w:p>
    <w:p w14:paraId="34EE3683" w14:textId="434845DD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E3E5D" w:rsidRPr="00EE3E5D">
        <w:rPr>
          <w:rFonts w:ascii="Arial" w:hAnsi="Arial" w:cs="Arial"/>
          <w:sz w:val="20"/>
        </w:rPr>
        <w:t>Ing. Svatopluk Beneš, MBA, generální ředitel</w:t>
      </w:r>
    </w:p>
    <w:p w14:paraId="31AE0E0A" w14:textId="176664E6" w:rsidR="00A12B1A" w:rsidRDefault="00A12B1A" w:rsidP="00A12B1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proofErr w:type="spellStart"/>
      <w:r w:rsidR="006101DB" w:rsidRPr="006101DB">
        <w:rPr>
          <w:rFonts w:ascii="Arial" w:hAnsi="Arial" w:cs="Arial"/>
          <w:sz w:val="20"/>
          <w:highlight w:val="black"/>
        </w:rPr>
        <w:t>Xxxxxxxxxxxxxxxxxxxxx</w:t>
      </w:r>
      <w:proofErr w:type="spellEnd"/>
    </w:p>
    <w:p w14:paraId="0F154A9A" w14:textId="77777777" w:rsidR="006101DB" w:rsidRDefault="00A12B1A" w:rsidP="00A12B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101DB" w:rsidRPr="006101DB">
        <w:rPr>
          <w:rFonts w:ascii="Arial" w:hAnsi="Arial" w:cs="Arial"/>
          <w:sz w:val="20"/>
          <w:highlight w:val="black"/>
        </w:rPr>
        <w:t>xxxxxxxxxxxxxxx</w:t>
      </w:r>
      <w:proofErr w:type="spellEnd"/>
    </w:p>
    <w:p w14:paraId="6B9B4D4E" w14:textId="4AB7FA97" w:rsidR="005B21AF" w:rsidRDefault="00A12B1A" w:rsidP="00A12B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dále jako „zhotovitel“; objednatel </w:t>
      </w:r>
      <w:r w:rsidR="005B21AF">
        <w:rPr>
          <w:rFonts w:ascii="Arial" w:hAnsi="Arial" w:cs="Arial"/>
          <w:sz w:val="20"/>
        </w:rPr>
        <w:t xml:space="preserve">nebo zdravotnický holding </w:t>
      </w:r>
      <w:r>
        <w:rPr>
          <w:rFonts w:ascii="Arial" w:hAnsi="Arial" w:cs="Arial"/>
          <w:sz w:val="20"/>
        </w:rPr>
        <w:t>a zhotovitel společně také jako „smluvní strany“</w:t>
      </w:r>
    </w:p>
    <w:p w14:paraId="7ACC0C00" w14:textId="77777777" w:rsidR="00A12B1A" w:rsidRDefault="00A12B1A" w:rsidP="00A12B1A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3C3E51">
        <w:rPr>
          <w:rFonts w:ascii="Arial" w:hAnsi="Arial" w:cs="Arial"/>
          <w:b/>
          <w:color w:val="auto"/>
          <w:sz w:val="20"/>
          <w:szCs w:val="22"/>
        </w:rPr>
        <w:t>Úvodní ustanovení</w:t>
      </w:r>
    </w:p>
    <w:p w14:paraId="78D0C9A9" w14:textId="449A3710" w:rsidR="005B21AF" w:rsidRPr="001368C3" w:rsidRDefault="005B21AF" w:rsidP="00A12B1A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Objednatel má se zhotovitelem uzavřenu Smlouvu o díle ze dne 22. 7. 2011, jejímž předmětem bylo dodání a implementace informačního systému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Fama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+. Dále byla uzavřena dne 15. 3. 2017 Smlouva mezi objednatelem a zhotovitelem, na základě které zhotovitel zajišťuje pro objednatele údržbu a servisní podporu informačního systému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Fama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+.</w:t>
      </w:r>
    </w:p>
    <w:p w14:paraId="01F7223E" w14:textId="43FD3AE1" w:rsidR="00206BDD" w:rsidRPr="006D70E3" w:rsidRDefault="00A12B1A" w:rsidP="006D70E3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3C3E51">
        <w:rPr>
          <w:rFonts w:ascii="Arial" w:hAnsi="Arial" w:cs="Arial"/>
          <w:color w:val="auto"/>
          <w:sz w:val="20"/>
          <w:szCs w:val="20"/>
        </w:rPr>
        <w:t xml:space="preserve">Účelem této smlouvy je </w:t>
      </w:r>
      <w:r>
        <w:rPr>
          <w:rFonts w:ascii="Arial" w:hAnsi="Arial" w:cs="Arial"/>
          <w:color w:val="auto"/>
          <w:sz w:val="20"/>
          <w:szCs w:val="20"/>
        </w:rPr>
        <w:t>zajištění rozvoje</w:t>
      </w:r>
      <w:r w:rsidRPr="003C3E51">
        <w:rPr>
          <w:rFonts w:ascii="Arial" w:hAnsi="Arial" w:cs="Arial"/>
          <w:color w:val="auto"/>
          <w:sz w:val="20"/>
          <w:szCs w:val="20"/>
        </w:rPr>
        <w:t xml:space="preserve"> </w:t>
      </w:r>
      <w:r w:rsidR="005B21AF">
        <w:rPr>
          <w:rFonts w:ascii="Arial" w:hAnsi="Arial" w:cs="Arial"/>
          <w:color w:val="auto"/>
          <w:sz w:val="20"/>
          <w:szCs w:val="20"/>
        </w:rPr>
        <w:t xml:space="preserve">stávajícího </w:t>
      </w:r>
      <w:r w:rsidRPr="003C3E51">
        <w:rPr>
          <w:rFonts w:ascii="Arial" w:hAnsi="Arial" w:cs="Arial"/>
          <w:color w:val="auto"/>
          <w:sz w:val="20"/>
          <w:szCs w:val="20"/>
        </w:rPr>
        <w:t>informačního systému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Fama</w:t>
      </w:r>
      <w:proofErr w:type="spellEnd"/>
      <w:r>
        <w:rPr>
          <w:rFonts w:ascii="Arial" w:hAnsi="Arial" w:cs="Arial"/>
          <w:color w:val="auto"/>
          <w:sz w:val="20"/>
          <w:szCs w:val="20"/>
        </w:rPr>
        <w:t>+</w:t>
      </w:r>
      <w:r w:rsidR="005B21AF">
        <w:rPr>
          <w:rFonts w:ascii="Arial" w:hAnsi="Arial" w:cs="Arial"/>
          <w:color w:val="auto"/>
          <w:sz w:val="20"/>
          <w:szCs w:val="20"/>
        </w:rPr>
        <w:t xml:space="preserve"> tak</w:t>
      </w:r>
      <w:r w:rsidR="001F611C">
        <w:rPr>
          <w:rFonts w:ascii="Arial" w:hAnsi="Arial" w:cs="Arial"/>
          <w:color w:val="auto"/>
          <w:sz w:val="20"/>
          <w:szCs w:val="20"/>
        </w:rPr>
        <w:t>,</w:t>
      </w:r>
      <w:r w:rsidR="005B21AF">
        <w:rPr>
          <w:rFonts w:ascii="Arial" w:hAnsi="Arial" w:cs="Arial"/>
          <w:color w:val="auto"/>
          <w:sz w:val="20"/>
          <w:szCs w:val="20"/>
        </w:rPr>
        <w:t xml:space="preserve"> aby byla zajištěna spolupráce s nemocničním informačním systémem realizovaným v rámci dotačního projektu </w:t>
      </w:r>
      <w:r w:rsidR="005B21AF" w:rsidRPr="003C3E51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připraveného objednatelem s názvem </w:t>
      </w:r>
      <w:r w:rsidR="005B21AF" w:rsidRPr="003C3E51">
        <w:rPr>
          <w:rFonts w:ascii="Arial" w:eastAsia="Arial" w:hAnsi="Arial" w:cs="Arial"/>
          <w:b/>
          <w:color w:val="000000"/>
          <w:sz w:val="20"/>
          <w:szCs w:val="20"/>
          <w:lang w:eastAsia="cs-CZ"/>
        </w:rPr>
        <w:t>„Nemocniční informační systém Královéhradeckého kraje“</w:t>
      </w:r>
      <w:r w:rsidR="005B21AF" w:rsidRPr="003C3E51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s registračním číslem CZ.06.3.05/0.0/0.0/16_034/0003048</w:t>
      </w:r>
      <w:r w:rsidR="005B21AF">
        <w:rPr>
          <w:rFonts w:ascii="Arial" w:eastAsia="Arial" w:hAnsi="Arial" w:cs="Arial"/>
          <w:color w:val="000000"/>
          <w:sz w:val="20"/>
          <w:szCs w:val="20"/>
          <w:lang w:eastAsia="cs-CZ"/>
        </w:rPr>
        <w:t>.</w:t>
      </w:r>
    </w:p>
    <w:bookmarkEnd w:id="0"/>
    <w:p w14:paraId="6111248C" w14:textId="08216FB1" w:rsidR="004E1F0F" w:rsidRPr="00322479" w:rsidRDefault="009B6268" w:rsidP="00322479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9B6268">
        <w:rPr>
          <w:rFonts w:ascii="Arial" w:hAnsi="Arial" w:cs="Arial"/>
          <w:b/>
          <w:color w:val="auto"/>
          <w:sz w:val="20"/>
          <w:szCs w:val="22"/>
        </w:rPr>
        <w:t>Předmět smlouvy</w:t>
      </w:r>
    </w:p>
    <w:p w14:paraId="380EDB42" w14:textId="59C7D722" w:rsidR="00322479" w:rsidRPr="00322479" w:rsidRDefault="00322479" w:rsidP="004E1F0F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_Hlk55040725"/>
      <w:r w:rsidRPr="00322479">
        <w:rPr>
          <w:rFonts w:ascii="Arial" w:hAnsi="Arial" w:cs="Arial"/>
          <w:color w:val="auto"/>
          <w:sz w:val="20"/>
          <w:szCs w:val="20"/>
        </w:rPr>
        <w:t xml:space="preserve">Zhotovitel se touto smlouvou zavazuje pro </w:t>
      </w:r>
      <w:bookmarkEnd w:id="1"/>
      <w:r w:rsidRPr="00322479">
        <w:rPr>
          <w:rFonts w:ascii="Arial" w:hAnsi="Arial" w:cs="Arial"/>
          <w:color w:val="auto"/>
          <w:sz w:val="20"/>
          <w:szCs w:val="20"/>
        </w:rPr>
        <w:t xml:space="preserve">objednatele realizovat </w:t>
      </w:r>
      <w:r w:rsidR="00B80A7A">
        <w:rPr>
          <w:rFonts w:ascii="Arial" w:hAnsi="Arial" w:cs="Arial"/>
          <w:color w:val="auto"/>
          <w:sz w:val="20"/>
          <w:szCs w:val="20"/>
        </w:rPr>
        <w:t xml:space="preserve">v rámci zajištění rozvoje informačního systému FAMA+ </w:t>
      </w:r>
      <w:r w:rsidRPr="00322479">
        <w:rPr>
          <w:rFonts w:ascii="Arial" w:hAnsi="Arial" w:cs="Arial"/>
          <w:color w:val="auto"/>
          <w:sz w:val="20"/>
          <w:szCs w:val="20"/>
        </w:rPr>
        <w:t>integraci systému</w:t>
      </w:r>
      <w:r w:rsidR="00BE7826">
        <w:rPr>
          <w:rFonts w:ascii="Arial" w:hAnsi="Arial" w:cs="Arial"/>
          <w:color w:val="auto"/>
          <w:sz w:val="20"/>
          <w:szCs w:val="20"/>
        </w:rPr>
        <w:t xml:space="preserve"> FAMA+</w:t>
      </w:r>
      <w:r w:rsidRPr="00322479">
        <w:rPr>
          <w:rFonts w:ascii="Arial" w:hAnsi="Arial" w:cs="Arial"/>
          <w:color w:val="auto"/>
          <w:sz w:val="20"/>
          <w:szCs w:val="20"/>
        </w:rPr>
        <w:t xml:space="preserve"> a nemocničního informačního systému</w:t>
      </w:r>
      <w:r w:rsidR="00970190">
        <w:rPr>
          <w:rFonts w:ascii="Arial" w:hAnsi="Arial" w:cs="Arial"/>
          <w:color w:val="auto"/>
          <w:sz w:val="20"/>
          <w:szCs w:val="20"/>
        </w:rPr>
        <w:t>.</w:t>
      </w:r>
      <w:r w:rsidRPr="00322479">
        <w:rPr>
          <w:rFonts w:ascii="Arial" w:hAnsi="Arial" w:cs="Arial"/>
          <w:color w:val="auto"/>
          <w:sz w:val="20"/>
          <w:szCs w:val="20"/>
        </w:rPr>
        <w:t xml:space="preserve"> Součástí předmětu smlouvy je také zajištění konzultačních činností jak vůči objednateli, tak vůči dodavateli nových nemocničních informačních systémů, souvisejících s integracemi systému</w:t>
      </w:r>
      <w:r w:rsidR="00BE7826">
        <w:rPr>
          <w:rFonts w:ascii="Arial" w:hAnsi="Arial" w:cs="Arial"/>
          <w:color w:val="auto"/>
          <w:sz w:val="20"/>
          <w:szCs w:val="20"/>
        </w:rPr>
        <w:t xml:space="preserve"> FAMA+</w:t>
      </w:r>
      <w:r w:rsidRPr="00322479">
        <w:rPr>
          <w:rFonts w:ascii="Arial" w:hAnsi="Arial" w:cs="Arial"/>
          <w:color w:val="auto"/>
          <w:sz w:val="20"/>
          <w:szCs w:val="20"/>
        </w:rPr>
        <w:t xml:space="preserve"> a novým nemocničním informačním systémem nemocnice realizovaného v rámci </w:t>
      </w:r>
      <w:r w:rsidRPr="00322479">
        <w:rPr>
          <w:rFonts w:ascii="Arial" w:hAnsi="Arial" w:cs="Arial"/>
          <w:color w:val="auto"/>
          <w:sz w:val="20"/>
          <w:szCs w:val="20"/>
        </w:rPr>
        <w:lastRenderedPageBreak/>
        <w:t>dotačního projektu s názvem „Nemocniční informační systém Královéhradeckého kraje“ s registračním číslem CZ.06.3.05/0.0/0.0/16_034/0003048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672DC25" w14:textId="6FDF751A" w:rsidR="00906045" w:rsidRPr="004E1F0F" w:rsidRDefault="004E1F0F" w:rsidP="001368C3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E1F0F">
        <w:rPr>
          <w:rFonts w:ascii="Arial" w:hAnsi="Arial" w:cs="Arial"/>
          <w:sz w:val="20"/>
          <w:szCs w:val="20"/>
        </w:rPr>
        <w:t xml:space="preserve">Požadované integrace jsou definované v příloze č. </w:t>
      </w:r>
      <w:r w:rsidR="0025129C">
        <w:rPr>
          <w:rFonts w:ascii="Arial" w:hAnsi="Arial" w:cs="Arial"/>
          <w:sz w:val="20"/>
          <w:szCs w:val="20"/>
        </w:rPr>
        <w:t>1 této smlouvy</w:t>
      </w:r>
      <w:r w:rsidRPr="004E1F0F">
        <w:rPr>
          <w:rFonts w:ascii="Arial" w:hAnsi="Arial" w:cs="Arial"/>
          <w:sz w:val="20"/>
          <w:szCs w:val="20"/>
        </w:rPr>
        <w:t xml:space="preserve">. </w:t>
      </w:r>
      <w:r w:rsidR="00970190" w:rsidRPr="00970190">
        <w:rPr>
          <w:rFonts w:ascii="Arial" w:hAnsi="Arial" w:cs="Arial"/>
          <w:sz w:val="20"/>
          <w:szCs w:val="20"/>
        </w:rPr>
        <w:t>Dále je předmětem smlouvy upgrade systému FAMA+, dodání popisu rozhraní, dodání implementačního rozhraní a podpora během testovacího provozu</w:t>
      </w:r>
      <w:r w:rsidR="00F15080">
        <w:rPr>
          <w:rFonts w:ascii="Arial" w:hAnsi="Arial" w:cs="Arial"/>
          <w:sz w:val="20"/>
          <w:szCs w:val="20"/>
        </w:rPr>
        <w:t xml:space="preserve"> a náběhu do ostrého provozu</w:t>
      </w:r>
      <w:r w:rsidR="00970190" w:rsidRPr="00970190">
        <w:rPr>
          <w:rFonts w:ascii="Arial" w:hAnsi="Arial" w:cs="Arial"/>
          <w:sz w:val="20"/>
          <w:szCs w:val="20"/>
        </w:rPr>
        <w:t>.</w:t>
      </w:r>
      <w:r w:rsidR="004A4D19">
        <w:rPr>
          <w:rFonts w:ascii="Arial" w:hAnsi="Arial" w:cs="Arial"/>
          <w:sz w:val="20"/>
          <w:szCs w:val="20"/>
        </w:rPr>
        <w:t xml:space="preserve"> </w:t>
      </w:r>
      <w:r w:rsidR="00906045" w:rsidRPr="004E1F0F">
        <w:rPr>
          <w:rFonts w:ascii="Arial" w:hAnsi="Arial" w:cs="Arial"/>
          <w:sz w:val="20"/>
          <w:szCs w:val="20"/>
        </w:rPr>
        <w:t xml:space="preserve">Zhotovitel se zavazuje </w:t>
      </w:r>
      <w:r w:rsidR="004A4D19">
        <w:rPr>
          <w:rFonts w:ascii="Arial" w:hAnsi="Arial" w:cs="Arial"/>
          <w:sz w:val="20"/>
          <w:szCs w:val="20"/>
        </w:rPr>
        <w:t xml:space="preserve">realizovat integraci dle požadavků uvedených v </w:t>
      </w:r>
      <w:r w:rsidR="00906045" w:rsidRPr="004E1F0F">
        <w:rPr>
          <w:rFonts w:ascii="Arial" w:hAnsi="Arial" w:cs="Arial"/>
          <w:sz w:val="20"/>
          <w:szCs w:val="20"/>
        </w:rPr>
        <w:t xml:space="preserve">příloze č. </w:t>
      </w:r>
      <w:r w:rsidR="009F4B0D" w:rsidRPr="004E1F0F">
        <w:rPr>
          <w:rFonts w:ascii="Arial" w:hAnsi="Arial" w:cs="Arial"/>
          <w:sz w:val="20"/>
          <w:szCs w:val="20"/>
        </w:rPr>
        <w:t>1</w:t>
      </w:r>
      <w:r w:rsidR="004A4D19">
        <w:rPr>
          <w:rFonts w:ascii="Arial" w:hAnsi="Arial" w:cs="Arial"/>
          <w:sz w:val="20"/>
          <w:szCs w:val="20"/>
        </w:rPr>
        <w:t xml:space="preserve"> smlouvy</w:t>
      </w:r>
      <w:r w:rsidR="00906045" w:rsidRPr="004E1F0F">
        <w:rPr>
          <w:rFonts w:ascii="Arial" w:hAnsi="Arial" w:cs="Arial"/>
          <w:sz w:val="20"/>
          <w:szCs w:val="20"/>
        </w:rPr>
        <w:t xml:space="preserve">. </w:t>
      </w:r>
    </w:p>
    <w:p w14:paraId="7784710A" w14:textId="05333912" w:rsidR="00883A01" w:rsidRPr="003D7223" w:rsidRDefault="00906045" w:rsidP="00883A01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7223">
        <w:rPr>
          <w:rFonts w:ascii="Arial" w:hAnsi="Arial" w:cs="Arial"/>
          <w:color w:val="000000" w:themeColor="text1"/>
          <w:sz w:val="20"/>
          <w:szCs w:val="20"/>
        </w:rPr>
        <w:t xml:space="preserve">Dále je předmětem </w:t>
      </w:r>
      <w:r w:rsidR="001F611C">
        <w:rPr>
          <w:rFonts w:ascii="Arial" w:hAnsi="Arial" w:cs="Arial"/>
          <w:color w:val="000000" w:themeColor="text1"/>
          <w:sz w:val="20"/>
          <w:szCs w:val="20"/>
        </w:rPr>
        <w:t>smlouvy</w:t>
      </w:r>
      <w:r w:rsidR="001F611C" w:rsidRPr="003D72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D7223">
        <w:rPr>
          <w:rFonts w:ascii="Arial" w:hAnsi="Arial" w:cs="Arial"/>
          <w:color w:val="000000" w:themeColor="text1"/>
          <w:sz w:val="20"/>
          <w:szCs w:val="20"/>
        </w:rPr>
        <w:t xml:space="preserve">poskytování konzultací objednateli i dodavateli nově realizovaného nemocničního informačního systému a spolupráce při řešení chybových stavů při </w:t>
      </w:r>
      <w:r w:rsidR="00F930F2">
        <w:rPr>
          <w:rFonts w:ascii="Arial" w:hAnsi="Arial" w:cs="Arial"/>
          <w:color w:val="000000" w:themeColor="text1"/>
          <w:sz w:val="20"/>
          <w:szCs w:val="20"/>
        </w:rPr>
        <w:t>integraci systémů</w:t>
      </w:r>
      <w:r w:rsidRPr="003D722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CA4FC9" w14:textId="01B8DF92" w:rsidR="009B6268" w:rsidRPr="00883A01" w:rsidRDefault="009B6268" w:rsidP="003C210A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83A01">
        <w:rPr>
          <w:rFonts w:ascii="Arial" w:hAnsi="Arial" w:cs="Arial"/>
          <w:color w:val="auto"/>
          <w:sz w:val="20"/>
          <w:szCs w:val="20"/>
        </w:rPr>
        <w:t>Objednatel se touto smlouvou zavazuj</w:t>
      </w:r>
      <w:r w:rsidR="00BB691D" w:rsidRPr="00883A01">
        <w:rPr>
          <w:rFonts w:ascii="Arial" w:hAnsi="Arial" w:cs="Arial"/>
          <w:color w:val="auto"/>
          <w:sz w:val="20"/>
          <w:szCs w:val="20"/>
        </w:rPr>
        <w:t>e</w:t>
      </w:r>
      <w:r w:rsidRPr="00883A01">
        <w:rPr>
          <w:rFonts w:ascii="Arial" w:hAnsi="Arial" w:cs="Arial"/>
          <w:color w:val="auto"/>
          <w:sz w:val="20"/>
          <w:szCs w:val="20"/>
        </w:rPr>
        <w:t xml:space="preserve"> poskytnout zhotoviteli nezbytnou součinnost při realizaci díla.</w:t>
      </w:r>
    </w:p>
    <w:p w14:paraId="74639EE5" w14:textId="53DCA9BA" w:rsidR="009B6268" w:rsidRP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Objednatel se zavazuje zaplatit zhotoviteli dohodnutou cenu za řádně a včas realizované dílo za podmínek touto smlouvou dále stanovených.</w:t>
      </w:r>
    </w:p>
    <w:p w14:paraId="2CD39EF8" w14:textId="77777777" w:rsid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Zhotovitel se zavazuje alokovat na realizaci díla dle této smlouvy dostačující kapacity členů realizačního týmu zhotovitele.</w:t>
      </w:r>
    </w:p>
    <w:p w14:paraId="26D6D133" w14:textId="27A0AEFB" w:rsidR="00322479" w:rsidRPr="006D70E3" w:rsidRDefault="009B6268" w:rsidP="00322479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Zhotovitel se zavazuje realizovat dílo dle této smlouvy sám, nebo s využitím poddodavatelů v souladu s podmínkami stanovenými touto smlouvou.</w:t>
      </w:r>
    </w:p>
    <w:p w14:paraId="362823B1" w14:textId="77777777" w:rsidR="00DC170D" w:rsidRDefault="00DC170D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DC170D">
        <w:rPr>
          <w:rFonts w:ascii="Arial" w:hAnsi="Arial" w:cs="Arial"/>
          <w:b/>
          <w:color w:val="auto"/>
          <w:sz w:val="20"/>
          <w:szCs w:val="22"/>
        </w:rPr>
        <w:t>Doba a místo plnění</w:t>
      </w:r>
    </w:p>
    <w:p w14:paraId="4F270335" w14:textId="4D459D33" w:rsidR="003A4E8D" w:rsidRDefault="003A4E8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Termín zahájení plnění díla </w:t>
      </w:r>
      <w:r w:rsidR="00195D4E">
        <w:rPr>
          <w:rFonts w:ascii="Arial" w:hAnsi="Arial" w:cs="Arial"/>
          <w:color w:val="auto"/>
          <w:sz w:val="20"/>
          <w:szCs w:val="20"/>
        </w:rPr>
        <w:t>se ří</w:t>
      </w:r>
      <w:r w:rsidR="00006D65">
        <w:rPr>
          <w:rFonts w:ascii="Arial" w:hAnsi="Arial" w:cs="Arial"/>
          <w:color w:val="auto"/>
          <w:sz w:val="20"/>
          <w:szCs w:val="20"/>
        </w:rPr>
        <w:t>dí</w:t>
      </w:r>
      <w:r w:rsidR="00195D4E">
        <w:rPr>
          <w:rFonts w:ascii="Arial" w:hAnsi="Arial" w:cs="Arial"/>
          <w:color w:val="auto"/>
          <w:sz w:val="20"/>
          <w:szCs w:val="20"/>
        </w:rPr>
        <w:t xml:space="preserve"> časov</w:t>
      </w:r>
      <w:r w:rsidR="00006D65">
        <w:rPr>
          <w:rFonts w:ascii="Arial" w:hAnsi="Arial" w:cs="Arial"/>
          <w:color w:val="auto"/>
          <w:sz w:val="20"/>
          <w:szCs w:val="20"/>
        </w:rPr>
        <w:t>ým</w:t>
      </w:r>
      <w:r w:rsidR="00195D4E">
        <w:rPr>
          <w:rFonts w:ascii="Arial" w:hAnsi="Arial" w:cs="Arial"/>
          <w:color w:val="auto"/>
          <w:sz w:val="20"/>
          <w:szCs w:val="20"/>
        </w:rPr>
        <w:t xml:space="preserve"> harmonogram</w:t>
      </w:r>
      <w:r w:rsidR="00006D65">
        <w:rPr>
          <w:rFonts w:ascii="Arial" w:hAnsi="Arial" w:cs="Arial"/>
          <w:color w:val="auto"/>
          <w:sz w:val="20"/>
          <w:szCs w:val="20"/>
        </w:rPr>
        <w:t>em</w:t>
      </w:r>
      <w:r w:rsidR="00195D4E">
        <w:rPr>
          <w:rFonts w:ascii="Arial" w:hAnsi="Arial" w:cs="Arial"/>
          <w:color w:val="auto"/>
          <w:sz w:val="20"/>
          <w:szCs w:val="20"/>
        </w:rPr>
        <w:t>, který je součástí přílohy č.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="00006D65">
        <w:rPr>
          <w:rFonts w:ascii="Arial" w:hAnsi="Arial" w:cs="Arial"/>
          <w:color w:val="auto"/>
          <w:sz w:val="20"/>
          <w:szCs w:val="20"/>
        </w:rPr>
        <w:t xml:space="preserve">, a to </w:t>
      </w:r>
      <w:r>
        <w:rPr>
          <w:rFonts w:ascii="Arial" w:hAnsi="Arial" w:cs="Arial"/>
          <w:color w:val="auto"/>
          <w:sz w:val="20"/>
          <w:szCs w:val="20"/>
        </w:rPr>
        <w:t>ode dne nabytí účinnosti této Smlouvy o dílo.</w:t>
      </w:r>
    </w:p>
    <w:p w14:paraId="3CEE005D" w14:textId="7814108C" w:rsidR="00DC170D" w:rsidRPr="00DC170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 xml:space="preserve">Zhotovitel se zavazuje </w:t>
      </w:r>
      <w:r>
        <w:rPr>
          <w:rFonts w:ascii="Arial" w:hAnsi="Arial" w:cs="Arial"/>
          <w:color w:val="auto"/>
          <w:sz w:val="20"/>
          <w:szCs w:val="20"/>
        </w:rPr>
        <w:t xml:space="preserve">realizovat </w:t>
      </w:r>
      <w:r w:rsidRPr="00DC170D">
        <w:rPr>
          <w:rFonts w:ascii="Arial" w:hAnsi="Arial" w:cs="Arial"/>
          <w:color w:val="auto"/>
          <w:sz w:val="20"/>
          <w:szCs w:val="20"/>
        </w:rPr>
        <w:t>dílo dle této smlouvy d</w:t>
      </w:r>
      <w:r w:rsidR="00006D65">
        <w:rPr>
          <w:rFonts w:ascii="Arial" w:hAnsi="Arial" w:cs="Arial"/>
          <w:color w:val="auto"/>
          <w:sz w:val="20"/>
          <w:szCs w:val="20"/>
        </w:rPr>
        <w:t xml:space="preserve">le termínů uvedených v časovém harmonogramu, který je součástí přílohy č. 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="00006D65">
        <w:rPr>
          <w:rFonts w:ascii="Arial" w:hAnsi="Arial" w:cs="Arial"/>
          <w:color w:val="auto"/>
          <w:sz w:val="20"/>
          <w:szCs w:val="20"/>
        </w:rPr>
        <w:t>.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</w:t>
      </w:r>
      <w:r w:rsidR="00006D65">
        <w:rPr>
          <w:rFonts w:ascii="Arial" w:hAnsi="Arial" w:cs="Arial"/>
          <w:color w:val="auto"/>
          <w:sz w:val="20"/>
          <w:szCs w:val="20"/>
        </w:rPr>
        <w:t xml:space="preserve"> </w:t>
      </w:r>
      <w:r w:rsidR="00952CAB">
        <w:rPr>
          <w:rFonts w:ascii="Arial" w:hAnsi="Arial" w:cs="Arial"/>
          <w:color w:val="auto"/>
          <w:sz w:val="20"/>
          <w:szCs w:val="20"/>
        </w:rPr>
        <w:t xml:space="preserve">Za termín </w:t>
      </w:r>
      <w:r w:rsidR="001F611C">
        <w:rPr>
          <w:rFonts w:ascii="Arial" w:hAnsi="Arial" w:cs="Arial"/>
          <w:color w:val="auto"/>
          <w:sz w:val="20"/>
          <w:szCs w:val="20"/>
        </w:rPr>
        <w:t xml:space="preserve">ukončení </w:t>
      </w:r>
      <w:r w:rsidR="00952CAB">
        <w:rPr>
          <w:rFonts w:ascii="Arial" w:hAnsi="Arial" w:cs="Arial"/>
          <w:color w:val="auto"/>
          <w:sz w:val="20"/>
          <w:szCs w:val="20"/>
        </w:rPr>
        <w:t xml:space="preserve">realizace díla se považuje den akceptace poslední </w:t>
      </w:r>
      <w:r w:rsidR="004470C6">
        <w:rPr>
          <w:rFonts w:ascii="Arial" w:hAnsi="Arial" w:cs="Arial"/>
          <w:color w:val="auto"/>
          <w:sz w:val="20"/>
          <w:szCs w:val="20"/>
        </w:rPr>
        <w:t>části dílčího plnění objednatel</w:t>
      </w:r>
      <w:r w:rsidR="0095698F">
        <w:rPr>
          <w:rFonts w:ascii="Arial" w:hAnsi="Arial" w:cs="Arial"/>
          <w:color w:val="auto"/>
          <w:sz w:val="20"/>
          <w:szCs w:val="20"/>
        </w:rPr>
        <w:t>i</w:t>
      </w:r>
      <w:r w:rsidR="004470C6">
        <w:rPr>
          <w:rFonts w:ascii="Arial" w:hAnsi="Arial" w:cs="Arial"/>
          <w:color w:val="auto"/>
          <w:sz w:val="20"/>
          <w:szCs w:val="20"/>
        </w:rPr>
        <w:t>.</w:t>
      </w:r>
    </w:p>
    <w:p w14:paraId="0F2E06CA" w14:textId="77777777" w:rsidR="00BB691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>Místem plnění je</w:t>
      </w:r>
      <w:r w:rsidR="00BB691D">
        <w:rPr>
          <w:rFonts w:ascii="Arial" w:hAnsi="Arial" w:cs="Arial"/>
          <w:color w:val="auto"/>
          <w:sz w:val="20"/>
          <w:szCs w:val="20"/>
        </w:rPr>
        <w:t>:</w:t>
      </w:r>
    </w:p>
    <w:p w14:paraId="3CBF4080" w14:textId="01DA812C" w:rsidR="00A12B1A" w:rsidRPr="00A12B1A" w:rsidRDefault="00A12B1A" w:rsidP="00A12B1A">
      <w:pPr>
        <w:pStyle w:val="Nadpis1"/>
        <w:keepNext w:val="0"/>
        <w:keepLines w:val="0"/>
        <w:numPr>
          <w:ilvl w:val="0"/>
          <w:numId w:val="43"/>
        </w:numPr>
        <w:suppressAutoHyphens/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2B1A">
        <w:rPr>
          <w:rFonts w:ascii="Arial" w:hAnsi="Arial" w:cs="Arial"/>
          <w:color w:val="auto"/>
          <w:sz w:val="20"/>
          <w:szCs w:val="20"/>
        </w:rPr>
        <w:t xml:space="preserve">Oblastní nemocnice Trutnov a.s., IČO 260 00 237, se sídlem Maxima Gorkého 77, </w:t>
      </w:r>
      <w:proofErr w:type="spellStart"/>
      <w:r w:rsidRPr="00A12B1A">
        <w:rPr>
          <w:rFonts w:ascii="Arial" w:hAnsi="Arial" w:cs="Arial"/>
          <w:color w:val="auto"/>
          <w:sz w:val="20"/>
          <w:szCs w:val="20"/>
        </w:rPr>
        <w:t>Kryblice</w:t>
      </w:r>
      <w:proofErr w:type="spellEnd"/>
      <w:r w:rsidRPr="00A12B1A">
        <w:rPr>
          <w:rFonts w:ascii="Arial" w:hAnsi="Arial" w:cs="Arial"/>
          <w:color w:val="auto"/>
          <w:sz w:val="20"/>
          <w:szCs w:val="20"/>
        </w:rPr>
        <w:t>, 541 01 Trutno</w:t>
      </w:r>
      <w:r>
        <w:rPr>
          <w:rFonts w:ascii="Arial" w:hAnsi="Arial" w:cs="Arial"/>
          <w:color w:val="auto"/>
          <w:sz w:val="20"/>
          <w:szCs w:val="20"/>
        </w:rPr>
        <w:t>v</w:t>
      </w:r>
    </w:p>
    <w:p w14:paraId="101A30D1" w14:textId="23515BDE" w:rsidR="00A12B1A" w:rsidRPr="00A12B1A" w:rsidRDefault="00A12B1A" w:rsidP="00A12B1A">
      <w:pPr>
        <w:pStyle w:val="Nadpis1"/>
        <w:keepNext w:val="0"/>
        <w:keepLines w:val="0"/>
        <w:numPr>
          <w:ilvl w:val="0"/>
          <w:numId w:val="43"/>
        </w:numPr>
        <w:suppressAutoHyphens/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2B1A">
        <w:rPr>
          <w:rFonts w:ascii="Arial" w:hAnsi="Arial" w:cs="Arial"/>
          <w:color w:val="auto"/>
          <w:sz w:val="20"/>
          <w:szCs w:val="20"/>
        </w:rPr>
        <w:t>Městská nemocnice a.s., IČO 252 62 238, se sídlem Vrchlického 1504, 544 01 Dvůr Králové nad Labem</w:t>
      </w:r>
    </w:p>
    <w:p w14:paraId="57CF6BE2" w14:textId="3A27B6EA" w:rsidR="00A12B1A" w:rsidRPr="00A12B1A" w:rsidRDefault="00A12B1A" w:rsidP="00A12B1A">
      <w:pPr>
        <w:pStyle w:val="Nadpis1"/>
        <w:keepNext w:val="0"/>
        <w:keepLines w:val="0"/>
        <w:numPr>
          <w:ilvl w:val="0"/>
          <w:numId w:val="43"/>
        </w:numPr>
        <w:suppressAutoHyphens/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2B1A">
        <w:rPr>
          <w:rFonts w:ascii="Arial" w:hAnsi="Arial" w:cs="Arial"/>
          <w:color w:val="auto"/>
          <w:sz w:val="20"/>
          <w:szCs w:val="20"/>
        </w:rPr>
        <w:t>Oblastní nemocnice Náchod a.s., IČO 260 00 202, se sídlem Vrchlického Purkyňova 446, 547 01 Náchod</w:t>
      </w:r>
    </w:p>
    <w:p w14:paraId="0FCCE461" w14:textId="23995FE9" w:rsidR="009F4B0D" w:rsidRPr="00A12B1A" w:rsidRDefault="00A12B1A" w:rsidP="00A12B1A">
      <w:pPr>
        <w:pStyle w:val="Nadpis1"/>
        <w:keepNext w:val="0"/>
        <w:keepLines w:val="0"/>
        <w:numPr>
          <w:ilvl w:val="0"/>
          <w:numId w:val="43"/>
        </w:numPr>
        <w:suppressAutoHyphens/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2B1A">
        <w:rPr>
          <w:rFonts w:ascii="Arial" w:hAnsi="Arial" w:cs="Arial"/>
          <w:color w:val="auto"/>
          <w:sz w:val="20"/>
          <w:szCs w:val="20"/>
        </w:rPr>
        <w:t>Oblastní nemocnice Jičín a.s., IČO 260 01 551, se sídlem Bolzanova 1504, 506 01 Jičí</w:t>
      </w:r>
      <w:r>
        <w:rPr>
          <w:rFonts w:ascii="Arial" w:hAnsi="Arial" w:cs="Arial"/>
          <w:color w:val="auto"/>
          <w:sz w:val="20"/>
          <w:szCs w:val="20"/>
        </w:rPr>
        <w:t>n</w:t>
      </w:r>
    </w:p>
    <w:p w14:paraId="48CF3CD4" w14:textId="50D1A441" w:rsidR="009F4B0D" w:rsidRDefault="00DC170D" w:rsidP="009F4B0D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4B0D">
        <w:rPr>
          <w:rFonts w:ascii="Arial" w:hAnsi="Arial" w:cs="Arial"/>
          <w:color w:val="auto"/>
          <w:sz w:val="20"/>
          <w:szCs w:val="20"/>
        </w:rPr>
        <w:t>Pokud to povaha plnění této smlouvy umožňuje a objednatel vůči tomu nem</w:t>
      </w:r>
      <w:r w:rsidR="00006D65" w:rsidRPr="009F4B0D">
        <w:rPr>
          <w:rFonts w:ascii="Arial" w:hAnsi="Arial" w:cs="Arial"/>
          <w:color w:val="auto"/>
          <w:sz w:val="20"/>
          <w:szCs w:val="20"/>
        </w:rPr>
        <w:t>á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výhrady, je zhotovitel oprávněn realizovat části díla a poskytovat související služby dle této smlouvy také vzdáleným přístupem</w:t>
      </w:r>
      <w:r w:rsidR="009F4B0D">
        <w:rPr>
          <w:rFonts w:ascii="Arial" w:hAnsi="Arial" w:cs="Arial"/>
          <w:color w:val="auto"/>
          <w:sz w:val="20"/>
          <w:szCs w:val="20"/>
        </w:rPr>
        <w:t>.</w:t>
      </w:r>
    </w:p>
    <w:p w14:paraId="6064C0EB" w14:textId="728ABED1" w:rsidR="00D0354D" w:rsidRPr="006D70E3" w:rsidRDefault="00D0354D" w:rsidP="006D70E3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4B0D">
        <w:rPr>
          <w:rFonts w:ascii="Arial" w:hAnsi="Arial" w:cs="Arial"/>
          <w:color w:val="auto"/>
          <w:sz w:val="20"/>
          <w:szCs w:val="20"/>
        </w:rPr>
        <w:t>Objednatel si vyhrazuj</w:t>
      </w:r>
      <w:r w:rsidR="00A12B1A">
        <w:rPr>
          <w:rFonts w:ascii="Arial" w:hAnsi="Arial" w:cs="Arial"/>
          <w:color w:val="auto"/>
          <w:sz w:val="20"/>
          <w:szCs w:val="20"/>
        </w:rPr>
        <w:t>e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právo na změnu termínů v časovém harmonogramu, který je součástí přílohy č. 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Pr="009F4B0D">
        <w:rPr>
          <w:rFonts w:ascii="Arial" w:hAnsi="Arial" w:cs="Arial"/>
          <w:color w:val="auto"/>
          <w:sz w:val="20"/>
          <w:szCs w:val="20"/>
        </w:rPr>
        <w:t>, a to vždy nejpozději 10 dní před konkrétním termínem, který bude měněn. Po vzájemné domluvě zhotovitele s</w:t>
      </w:r>
      <w:r w:rsidR="00A12B1A">
        <w:rPr>
          <w:rFonts w:ascii="Arial" w:hAnsi="Arial" w:cs="Arial"/>
          <w:color w:val="auto"/>
          <w:sz w:val="20"/>
          <w:szCs w:val="20"/>
        </w:rPr>
        <w:t> </w:t>
      </w:r>
      <w:r w:rsidRPr="009F4B0D">
        <w:rPr>
          <w:rFonts w:ascii="Arial" w:hAnsi="Arial" w:cs="Arial"/>
          <w:color w:val="auto"/>
          <w:sz w:val="20"/>
          <w:szCs w:val="20"/>
        </w:rPr>
        <w:t>objednatelem</w:t>
      </w:r>
      <w:r w:rsidR="00A12B1A">
        <w:rPr>
          <w:rFonts w:ascii="Arial" w:hAnsi="Arial" w:cs="Arial"/>
          <w:color w:val="auto"/>
          <w:sz w:val="20"/>
          <w:szCs w:val="20"/>
        </w:rPr>
        <w:t>,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je možné realizovat změny termínů i v kratším čase. Změny v časovém harmonogramu je možné měnit pouze písemně, papírově či emailem, na adresách poskytnutých zhotovitelem: </w:t>
      </w:r>
      <w:hyperlink r:id="rId7" w:history="1">
        <w:proofErr w:type="spellStart"/>
        <w:r w:rsidR="006101DB" w:rsidRPr="006101DB">
          <w:rPr>
            <w:rStyle w:val="Hypertextovodkaz"/>
            <w:rFonts w:ascii="Arial" w:hAnsi="Arial" w:cs="Arial"/>
            <w:sz w:val="20"/>
            <w:szCs w:val="20"/>
            <w:highlight w:val="black"/>
          </w:rPr>
          <w:t>xxxxxxxxxxxxxxxxxxxxxxxxxx</w:t>
        </w:r>
      </w:hyperlink>
      <w:r w:rsidR="006101DB" w:rsidRPr="006101DB">
        <w:rPr>
          <w:rFonts w:ascii="Arial" w:hAnsi="Arial" w:cs="Arial"/>
          <w:color w:val="auto"/>
          <w:sz w:val="20"/>
          <w:szCs w:val="20"/>
          <w:highlight w:val="black"/>
        </w:rPr>
        <w:t>xx</w:t>
      </w:r>
      <w:hyperlink r:id="rId8" w:history="1">
        <w:r w:rsidR="006101DB" w:rsidRPr="006101DB">
          <w:rPr>
            <w:rStyle w:val="Hypertextovodkaz"/>
            <w:rFonts w:ascii="Arial" w:hAnsi="Arial" w:cs="Arial"/>
            <w:sz w:val="20"/>
            <w:szCs w:val="20"/>
            <w:highlight w:val="black"/>
          </w:rPr>
          <w:t>xxxxxxxxxxxxxxxxxxxxxxxxxx</w:t>
        </w:r>
      </w:hyperlink>
      <w:r w:rsidR="006101DB" w:rsidRPr="006101DB">
        <w:rPr>
          <w:rFonts w:ascii="Arial" w:hAnsi="Arial" w:cs="Arial"/>
          <w:color w:val="auto"/>
          <w:sz w:val="20"/>
          <w:szCs w:val="20"/>
          <w:highlight w:val="black"/>
        </w:rPr>
        <w:t>x</w:t>
      </w:r>
      <w:proofErr w:type="spellEnd"/>
      <w:r w:rsidRPr="009F4B0D">
        <w:rPr>
          <w:rFonts w:ascii="Arial" w:hAnsi="Arial" w:cs="Arial"/>
          <w:color w:val="auto"/>
          <w:sz w:val="20"/>
          <w:szCs w:val="20"/>
        </w:rPr>
        <w:t xml:space="preserve"> Termínem oznámení změny se rozumí den, kdy toto oznámení bylo doručeno.</w:t>
      </w:r>
    </w:p>
    <w:p w14:paraId="60F491A9" w14:textId="77777777" w:rsidR="00DC170D" w:rsidRPr="00D0354D" w:rsidRDefault="00DC170D" w:rsidP="00D0354D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D0354D">
        <w:rPr>
          <w:rFonts w:ascii="Arial" w:hAnsi="Arial" w:cs="Arial"/>
          <w:b/>
          <w:color w:val="auto"/>
          <w:sz w:val="20"/>
          <w:szCs w:val="22"/>
        </w:rPr>
        <w:lastRenderedPageBreak/>
        <w:t>Akceptace</w:t>
      </w:r>
    </w:p>
    <w:p w14:paraId="2184EEEA" w14:textId="248D9998" w:rsidR="00DC170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>Každ</w:t>
      </w:r>
      <w:r>
        <w:rPr>
          <w:rFonts w:ascii="Arial" w:hAnsi="Arial" w:cs="Arial"/>
          <w:color w:val="auto"/>
          <w:sz w:val="20"/>
          <w:szCs w:val="20"/>
        </w:rPr>
        <w:t xml:space="preserve">á </w:t>
      </w:r>
      <w:r w:rsidR="009F12F7">
        <w:rPr>
          <w:rFonts w:ascii="Arial" w:hAnsi="Arial" w:cs="Arial"/>
          <w:color w:val="auto"/>
          <w:sz w:val="20"/>
          <w:szCs w:val="20"/>
        </w:rPr>
        <w:t>část díla</w:t>
      </w:r>
      <w:r w:rsidRPr="00DC170D">
        <w:rPr>
          <w:rFonts w:ascii="Arial" w:hAnsi="Arial" w:cs="Arial"/>
          <w:color w:val="auto"/>
          <w:sz w:val="20"/>
          <w:szCs w:val="20"/>
        </w:rPr>
        <w:t>, kter</w:t>
      </w:r>
      <w:r w:rsidR="009F12F7">
        <w:rPr>
          <w:rFonts w:ascii="Arial" w:hAnsi="Arial" w:cs="Arial"/>
          <w:color w:val="auto"/>
          <w:sz w:val="20"/>
          <w:szCs w:val="20"/>
        </w:rPr>
        <w:t>á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představuje samostatný předmět způsobilý přejímky (dále jen „</w:t>
      </w:r>
      <w:r w:rsidR="009F12F7">
        <w:rPr>
          <w:rFonts w:ascii="Arial" w:hAnsi="Arial" w:cs="Arial"/>
          <w:color w:val="auto"/>
          <w:sz w:val="20"/>
          <w:szCs w:val="20"/>
        </w:rPr>
        <w:t>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 plnění“), bude </w:t>
      </w:r>
      <w:r w:rsidR="009F12F7">
        <w:rPr>
          <w:rFonts w:ascii="Arial" w:hAnsi="Arial" w:cs="Arial"/>
          <w:color w:val="auto"/>
          <w:sz w:val="20"/>
          <w:szCs w:val="20"/>
        </w:rPr>
        <w:t>o</w:t>
      </w:r>
      <w:r w:rsidRPr="00DC170D">
        <w:rPr>
          <w:rFonts w:ascii="Arial" w:hAnsi="Arial" w:cs="Arial"/>
          <w:color w:val="auto"/>
          <w:sz w:val="20"/>
          <w:szCs w:val="20"/>
        </w:rPr>
        <w:t>bjednatel</w:t>
      </w:r>
      <w:r w:rsidR="003648EB">
        <w:rPr>
          <w:rFonts w:ascii="Arial" w:hAnsi="Arial" w:cs="Arial"/>
          <w:color w:val="auto"/>
          <w:sz w:val="20"/>
          <w:szCs w:val="20"/>
        </w:rPr>
        <w:t>i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akceptován</w:t>
      </w:r>
      <w:r w:rsidR="00D0354D">
        <w:rPr>
          <w:rFonts w:ascii="Arial" w:hAnsi="Arial" w:cs="Arial"/>
          <w:color w:val="auto"/>
          <w:sz w:val="20"/>
          <w:szCs w:val="20"/>
        </w:rPr>
        <w:t>a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na základě akceptační procedury. </w:t>
      </w:r>
      <w:r w:rsidR="009F12F7">
        <w:rPr>
          <w:rFonts w:ascii="Arial" w:hAnsi="Arial" w:cs="Arial"/>
          <w:color w:val="auto"/>
          <w:sz w:val="20"/>
          <w:szCs w:val="20"/>
        </w:rPr>
        <w:t xml:space="preserve">Dílčím plněním dle věty předchozí je možné považovat i celé dílo. 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Akceptační procedura zahrnuje ověření, zda </w:t>
      </w:r>
      <w:r w:rsidR="009F12F7">
        <w:rPr>
          <w:rFonts w:ascii="Arial" w:hAnsi="Arial" w:cs="Arial"/>
          <w:color w:val="auto"/>
          <w:sz w:val="20"/>
          <w:szCs w:val="20"/>
        </w:rPr>
        <w:t>zhotovitelem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</w:t>
      </w:r>
      <w:r w:rsidR="009F12F7">
        <w:rPr>
          <w:rFonts w:ascii="Arial" w:hAnsi="Arial" w:cs="Arial"/>
          <w:color w:val="auto"/>
          <w:sz w:val="20"/>
          <w:szCs w:val="20"/>
        </w:rPr>
        <w:t>realizované 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 plnění je výsledkem, ke kterému se </w:t>
      </w:r>
      <w:r w:rsidR="009F12F7">
        <w:rPr>
          <w:rFonts w:ascii="Arial" w:hAnsi="Arial" w:cs="Arial"/>
          <w:color w:val="auto"/>
          <w:sz w:val="20"/>
          <w:szCs w:val="20"/>
        </w:rPr>
        <w:t>zhotovitel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zavázal, a to porovnáním skutečných vlastností jednotlivých </w:t>
      </w:r>
      <w:r w:rsidR="009F12F7">
        <w:rPr>
          <w:rFonts w:ascii="Arial" w:hAnsi="Arial" w:cs="Arial"/>
          <w:color w:val="auto"/>
          <w:sz w:val="20"/>
          <w:szCs w:val="20"/>
        </w:rPr>
        <w:t>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ílčích plnění </w:t>
      </w:r>
      <w:r w:rsidR="009F12F7">
        <w:rPr>
          <w:rFonts w:ascii="Arial" w:hAnsi="Arial" w:cs="Arial"/>
          <w:color w:val="auto"/>
          <w:sz w:val="20"/>
          <w:szCs w:val="20"/>
        </w:rPr>
        <w:t>zhotovitele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s jejich závaznou specifikací uvedenou v příloze č.</w:t>
      </w:r>
      <w:r w:rsidR="0026380B">
        <w:rPr>
          <w:rFonts w:ascii="Arial" w:hAnsi="Arial" w:cs="Arial"/>
          <w:color w:val="auto"/>
          <w:sz w:val="20"/>
          <w:szCs w:val="20"/>
        </w:rPr>
        <w:t xml:space="preserve"> 1 t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éto </w:t>
      </w:r>
      <w:r w:rsidR="009F12F7">
        <w:rPr>
          <w:rFonts w:ascii="Arial" w:hAnsi="Arial" w:cs="Arial"/>
          <w:color w:val="auto"/>
          <w:sz w:val="20"/>
          <w:szCs w:val="20"/>
        </w:rPr>
        <w:t>s</w:t>
      </w:r>
      <w:r w:rsidRPr="00DC170D">
        <w:rPr>
          <w:rFonts w:ascii="Arial" w:hAnsi="Arial" w:cs="Arial"/>
          <w:color w:val="auto"/>
          <w:sz w:val="20"/>
          <w:szCs w:val="20"/>
        </w:rPr>
        <w:t>mlouvy či jiném dohodnutém závazném dokumentu za využití akceptačních kritérií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tam stanovených nebo později pro tento účel dohodnutých </w:t>
      </w:r>
      <w:r w:rsidR="009F12F7">
        <w:rPr>
          <w:rFonts w:ascii="Arial" w:hAnsi="Arial" w:cs="Arial"/>
          <w:color w:val="auto"/>
          <w:sz w:val="20"/>
          <w:szCs w:val="20"/>
        </w:rPr>
        <w:t>s</w:t>
      </w:r>
      <w:r w:rsidRPr="00DC170D">
        <w:rPr>
          <w:rFonts w:ascii="Arial" w:hAnsi="Arial" w:cs="Arial"/>
          <w:color w:val="auto"/>
          <w:sz w:val="20"/>
          <w:szCs w:val="20"/>
        </w:rPr>
        <w:t>mluvními stranami.</w:t>
      </w:r>
    </w:p>
    <w:p w14:paraId="03CE5DC7" w14:textId="1EEDF96F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Akceptační procedura bude zahrnovat akceptační testy, které budou probíhat na základě specifikace akceptačních testů připravených zhotovitelem. Nedohodnou-li se smluvní strany jinak, přípravu scénářů, příkladů a dat na akceptační test zajistí zhotovitel za přiměřené součinnosti objednatele. Objednatel </w:t>
      </w:r>
      <w:r w:rsidR="00A76D1F">
        <w:rPr>
          <w:rFonts w:ascii="Arial" w:hAnsi="Arial" w:cs="Arial"/>
          <w:color w:val="auto"/>
          <w:sz w:val="20"/>
          <w:szCs w:val="20"/>
        </w:rPr>
        <w:t>má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právo vyjadřovat se a požadovat zapracování svých odůvodněných připomínek ke specifikaci</w:t>
      </w:r>
      <w:r w:rsidR="0053255B">
        <w:rPr>
          <w:rFonts w:ascii="Arial" w:hAnsi="Arial" w:cs="Arial"/>
          <w:color w:val="auto"/>
          <w:sz w:val="20"/>
          <w:szCs w:val="20"/>
        </w:rPr>
        <w:t xml:space="preserve"> a rozsahu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akceptačních testů a dalším parametrům testování.</w:t>
      </w:r>
    </w:p>
    <w:p w14:paraId="1EF05BCF" w14:textId="23BFC2D9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Zhotovitel písemně vyzve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786D51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k realizaci akceptační procedury. O průběhu akceptačních testů vyhotoví </w:t>
      </w:r>
      <w:r w:rsidR="00B8289C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B8289C" w:rsidRPr="009F12F7">
        <w:rPr>
          <w:rFonts w:ascii="Arial" w:hAnsi="Arial" w:cs="Arial"/>
          <w:color w:val="auto"/>
          <w:sz w:val="20"/>
          <w:szCs w:val="20"/>
        </w:rPr>
        <w:t>písemný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záznam, v němž zejména uvede, zda testy prokázaly chyby. 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budou poskytnuty originály veškerých dokumentů vypracovaných v souvislosti s</w:t>
      </w:r>
      <w:r w:rsidR="0026380B">
        <w:rPr>
          <w:rFonts w:ascii="Arial" w:hAnsi="Arial" w:cs="Arial"/>
          <w:color w:val="auto"/>
          <w:sz w:val="20"/>
          <w:szCs w:val="20"/>
        </w:rPr>
        <w:t> </w:t>
      </w:r>
      <w:r w:rsidRPr="009F12F7">
        <w:rPr>
          <w:rFonts w:ascii="Arial" w:hAnsi="Arial" w:cs="Arial"/>
          <w:color w:val="auto"/>
          <w:sz w:val="20"/>
          <w:szCs w:val="20"/>
        </w:rPr>
        <w:t>provedením akceptačních testů.</w:t>
      </w:r>
    </w:p>
    <w:p w14:paraId="05FED6BD" w14:textId="450EE1A0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>Jestliže jednotlivé dílčí plnění splní akceptační kritéria akceptačních testů, zhotovitel se zavazuje nejpozději v pracovní den následující po ukončení akceptačních testů umožnit 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toto dílčí plnění převzít a objednatel</w:t>
      </w:r>
      <w:r w:rsidR="003648EB">
        <w:rPr>
          <w:rFonts w:ascii="Arial" w:hAnsi="Arial" w:cs="Arial"/>
          <w:color w:val="auto"/>
          <w:sz w:val="20"/>
          <w:szCs w:val="20"/>
        </w:rPr>
        <w:t>é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se zavazu</w:t>
      </w:r>
      <w:r w:rsidR="003648EB">
        <w:rPr>
          <w:rFonts w:ascii="Arial" w:hAnsi="Arial" w:cs="Arial"/>
          <w:color w:val="auto"/>
          <w:sz w:val="20"/>
          <w:szCs w:val="20"/>
        </w:rPr>
        <w:t>jí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k jeho převzetí nejpozději do 10 pracovních dnů.</w:t>
      </w:r>
      <w:r w:rsidR="004B0EC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C80CF87" w14:textId="7194FD95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A76D1F">
        <w:rPr>
          <w:rFonts w:ascii="Arial" w:hAnsi="Arial" w:cs="Arial"/>
          <w:color w:val="auto"/>
          <w:sz w:val="20"/>
          <w:szCs w:val="20"/>
        </w:rPr>
        <w:t>je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oprávněn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převzít i v případech, kdy </w:t>
      </w:r>
      <w:r>
        <w:rPr>
          <w:rFonts w:ascii="Arial" w:hAnsi="Arial" w:cs="Arial"/>
          <w:color w:val="auto"/>
          <w:sz w:val="20"/>
          <w:szCs w:val="20"/>
        </w:rPr>
        <w:t>plnění zhotovitele vykazuje vady, které nemají vliv na splnění účelu této smlouvy.</w:t>
      </w:r>
    </w:p>
    <w:p w14:paraId="14A630BB" w14:textId="6221C95D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Pokud kterékoliv z jednotlivých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ílčích plnění nesplňuje stanovená akceptační kritéria nebo je splňuje s vadami, které jsou přípustné, sdělí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bjednatel své připomínky písemně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; pokud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bjednatel takové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současně akceptuje, uvede své připomínky v předávacím protokolu. Nesdělení připomínek nebo neoznámení některé vady při akceptaci nemá vliv na povinnost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tuto vadu odstranit, pokud o ní ví, dodatečně ji zjistí či mu bude dodatečně oznámena.</w:t>
      </w:r>
      <w:r w:rsidR="00C00FEA">
        <w:rPr>
          <w:rFonts w:ascii="Arial" w:hAnsi="Arial" w:cs="Arial"/>
          <w:color w:val="auto"/>
          <w:sz w:val="20"/>
          <w:szCs w:val="20"/>
        </w:rPr>
        <w:t xml:space="preserve"> Přípustnost vad plnění určuje objednatel.</w:t>
      </w:r>
    </w:p>
    <w:p w14:paraId="46A842BC" w14:textId="66F28E6A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j</w:t>
      </w:r>
      <w:r>
        <w:rPr>
          <w:rFonts w:ascii="Arial" w:hAnsi="Arial" w:cs="Arial"/>
          <w:color w:val="auto"/>
          <w:sz w:val="20"/>
          <w:szCs w:val="20"/>
        </w:rPr>
        <w:t>e povinen vypořádat připomínky o</w:t>
      </w:r>
      <w:r w:rsidRPr="009F12F7">
        <w:rPr>
          <w:rFonts w:ascii="Arial" w:hAnsi="Arial" w:cs="Arial"/>
          <w:color w:val="auto"/>
          <w:sz w:val="20"/>
          <w:szCs w:val="20"/>
        </w:rPr>
        <w:t>bjednatel</w:t>
      </w:r>
      <w:r w:rsidR="0026380B">
        <w:rPr>
          <w:rFonts w:ascii="Arial" w:hAnsi="Arial" w:cs="Arial"/>
          <w:color w:val="auto"/>
          <w:sz w:val="20"/>
          <w:szCs w:val="20"/>
        </w:rPr>
        <w:t>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bez zbytečného odkladu a neprodleně předložit příslušné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k opakované akceptaci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mlouvy, za přiměřeného použití ostatních ustanovení tohoto </w:t>
      </w:r>
      <w:r>
        <w:rPr>
          <w:rFonts w:ascii="Arial" w:hAnsi="Arial" w:cs="Arial"/>
          <w:color w:val="auto"/>
          <w:sz w:val="20"/>
          <w:szCs w:val="20"/>
        </w:rPr>
        <w:t>článku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. Akceptační procedura, včetně procesu testování a případných následných oprav, se bude opakovat, dokud příslušné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nesplní akceptační kritéria pro příslušný akceptační test. V případě, že se jedná o vypořádání připomínek k dílčímu plnění, které již bylo akceptováno, </w:t>
      </w:r>
      <w:r w:rsidR="005B1D05">
        <w:rPr>
          <w:rFonts w:ascii="Arial" w:hAnsi="Arial" w:cs="Arial"/>
          <w:color w:val="auto"/>
          <w:sz w:val="20"/>
          <w:szCs w:val="20"/>
        </w:rPr>
        <w:t>bude řešeno dodatkem k příslušnému předávacímu protokolu.</w:t>
      </w:r>
    </w:p>
    <w:p w14:paraId="1750DC51" w14:textId="5841B476" w:rsidR="00786D51" w:rsidRPr="006D70E3" w:rsidRDefault="009F12F7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Dohodnuté termíny pro akceptaci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>ílčího plnění nejsou dotčeny trváním akceptační procedury ani jakýmkoli jejím prodloužením z důvodu vad bránících akceptaci.</w:t>
      </w:r>
    </w:p>
    <w:p w14:paraId="01BE645D" w14:textId="77777777" w:rsidR="004713EB" w:rsidRPr="004713EB" w:rsidRDefault="004713EB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713EB">
        <w:rPr>
          <w:rFonts w:ascii="Arial" w:hAnsi="Arial" w:cs="Arial"/>
          <w:b/>
          <w:color w:val="auto"/>
          <w:sz w:val="20"/>
          <w:szCs w:val="22"/>
        </w:rPr>
        <w:t>Další povinnosti zhotovitele</w:t>
      </w:r>
    </w:p>
    <w:p w14:paraId="001CF731" w14:textId="3BA02407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 vlastním jménem, na vlastní odpovědnost a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>v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souladu s pokyny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řádně a včas, zejména se zohledněním délky t</w:t>
      </w:r>
      <w:r>
        <w:rPr>
          <w:rFonts w:ascii="Arial" w:hAnsi="Arial" w:cs="Arial"/>
          <w:color w:val="auto"/>
          <w:sz w:val="20"/>
          <w:szCs w:val="20"/>
        </w:rPr>
        <w:t>rvání akceptační procedury.</w:t>
      </w:r>
    </w:p>
    <w:p w14:paraId="7243B724" w14:textId="77777777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mlouvy s péčí řádného hospodáře odpovídající podmínkám sjednaným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AD5D496" w14:textId="0992FC7C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upozor</w:t>
      </w:r>
      <w:r>
        <w:rPr>
          <w:rFonts w:ascii="Arial" w:hAnsi="Arial" w:cs="Arial"/>
          <w:color w:val="auto"/>
          <w:sz w:val="20"/>
          <w:szCs w:val="20"/>
        </w:rPr>
        <w:t>ní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bjednatele včas na všechny hrozící vady či výpadky svého plnění, jakož i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</w:t>
      </w:r>
      <w:r w:rsidR="00A76D1F">
        <w:rPr>
          <w:rFonts w:ascii="Arial" w:hAnsi="Arial" w:cs="Arial"/>
          <w:color w:val="auto"/>
          <w:sz w:val="20"/>
          <w:szCs w:val="20"/>
        </w:rPr>
        <w:t>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veškeré informace, které jsou pro plnění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 nezbytné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8495987" w14:textId="0CCF2936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Zhotovitel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neprodleně oznám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písemnou formou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překážky, které mu brání v plnění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mlouvy a výkonu dalších činností souvisejících s plněním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0FC847B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9D0"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DC19D0">
        <w:rPr>
          <w:rFonts w:ascii="Arial" w:hAnsi="Arial" w:cs="Arial"/>
          <w:color w:val="auto"/>
          <w:sz w:val="20"/>
          <w:szCs w:val="20"/>
        </w:rPr>
        <w:t>upozorn</w:t>
      </w:r>
      <w:r w:rsidRPr="00DC19D0">
        <w:rPr>
          <w:rFonts w:ascii="Arial" w:hAnsi="Arial" w:cs="Arial"/>
          <w:color w:val="auto"/>
          <w:sz w:val="20"/>
          <w:szCs w:val="20"/>
        </w:rPr>
        <w:t>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 w:rsidRPr="00DC19D0"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bjednatele na potenciální rizika vzniku škod a včas a řádně dle svých možností provést taková opatření, která riziko vzniku škod zcela vyloučí nebo sníží</w:t>
      </w:r>
      <w:r w:rsidRPr="00DC19D0">
        <w:rPr>
          <w:rFonts w:ascii="Arial" w:hAnsi="Arial" w:cs="Arial"/>
          <w:color w:val="auto"/>
          <w:sz w:val="20"/>
          <w:szCs w:val="20"/>
        </w:rPr>
        <w:t>.</w:t>
      </w:r>
    </w:p>
    <w:p w14:paraId="527346DD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bude 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postupovat při poskytování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mlouvy s odbornou péčí a aplikovat procesy „</w:t>
      </w:r>
      <w:proofErr w:type="spellStart"/>
      <w:r w:rsidR="004713EB" w:rsidRPr="00DC19D0">
        <w:rPr>
          <w:rFonts w:ascii="Arial" w:hAnsi="Arial" w:cs="Arial"/>
          <w:color w:val="auto"/>
          <w:sz w:val="20"/>
          <w:szCs w:val="20"/>
        </w:rPr>
        <w:t>best</w:t>
      </w:r>
      <w:proofErr w:type="spellEnd"/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4713EB" w:rsidRPr="00DC19D0">
        <w:rPr>
          <w:rFonts w:ascii="Arial" w:hAnsi="Arial" w:cs="Arial"/>
          <w:color w:val="auto"/>
          <w:sz w:val="20"/>
          <w:szCs w:val="20"/>
        </w:rPr>
        <w:t>practice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r w:rsidR="004713EB" w:rsidRPr="00DC19D0">
        <w:rPr>
          <w:rFonts w:ascii="Arial" w:hAnsi="Arial" w:cs="Arial"/>
          <w:color w:val="auto"/>
          <w:sz w:val="20"/>
          <w:szCs w:val="20"/>
        </w:rPr>
        <w:t>“</w:t>
      </w:r>
    </w:p>
    <w:p w14:paraId="2B726082" w14:textId="66ECCFA6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bude v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případě potřeby průběžně komunikovat s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</w:t>
      </w:r>
      <w:r w:rsidR="003A4E8D">
        <w:rPr>
          <w:rFonts w:ascii="Arial" w:hAnsi="Arial" w:cs="Arial"/>
          <w:color w:val="auto"/>
          <w:sz w:val="20"/>
          <w:szCs w:val="20"/>
        </w:rPr>
        <w:t>lem</w:t>
      </w:r>
      <w:r w:rsidR="007717D3">
        <w:rPr>
          <w:rFonts w:ascii="Arial" w:hAnsi="Arial" w:cs="Arial"/>
          <w:color w:val="auto"/>
          <w:sz w:val="20"/>
          <w:szCs w:val="20"/>
        </w:rPr>
        <w:t xml:space="preserve"> a dodavatelem nového nemocničního informační systému</w:t>
      </w:r>
      <w:r w:rsidR="00180CD1">
        <w:rPr>
          <w:rFonts w:ascii="Arial" w:hAnsi="Arial" w:cs="Arial"/>
          <w:color w:val="auto"/>
          <w:sz w:val="20"/>
          <w:szCs w:val="20"/>
        </w:rPr>
        <w:t>,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</w:t>
      </w:r>
      <w:r w:rsidR="004713EB" w:rsidRPr="00DC19D0">
        <w:rPr>
          <w:rFonts w:ascii="Arial" w:hAnsi="Arial" w:cs="Arial"/>
          <w:color w:val="auto"/>
          <w:sz w:val="20"/>
          <w:szCs w:val="20"/>
        </w:rPr>
        <w:t>vyžaduje-li to řádn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realizace díla.</w:t>
      </w:r>
    </w:p>
    <w:p w14:paraId="5DED14FF" w14:textId="2CC77531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bude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informovat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o plnění svých povinností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mlouvy a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DC19D0">
        <w:rPr>
          <w:rFonts w:ascii="Arial" w:hAnsi="Arial" w:cs="Arial"/>
          <w:color w:val="auto"/>
          <w:sz w:val="20"/>
          <w:szCs w:val="20"/>
        </w:rPr>
        <w:t>o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důležitých skutečnostech, které mohou mít vliv na výkon práv a plnění povinností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mluvních stran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B4B5632" w14:textId="7AE7B509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z</w:t>
      </w:r>
      <w:r w:rsidR="004713EB" w:rsidRPr="00DC19D0">
        <w:rPr>
          <w:rFonts w:ascii="Arial" w:hAnsi="Arial" w:cs="Arial"/>
          <w:color w:val="auto"/>
          <w:sz w:val="20"/>
          <w:szCs w:val="20"/>
        </w:rPr>
        <w:t>ajist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aby všechny osoby podílející se na plnění jeho závazků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mlouvy, které se budou zdržovat v prostorách nebo na pracovištích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dodržovaly účinné právní předpisy o bezpečnosti a ochraně zdraví při práci a veškeré interní předpisy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s nimiž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obeznámil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436BB05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bude 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chránit osobní údaje, data </w:t>
      </w:r>
      <w:r>
        <w:rPr>
          <w:rFonts w:ascii="Arial" w:hAnsi="Arial" w:cs="Arial"/>
          <w:color w:val="auto"/>
          <w:sz w:val="20"/>
          <w:szCs w:val="20"/>
        </w:rPr>
        <w:t>a duševní vlastnictví 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</w:t>
      </w:r>
      <w:r>
        <w:rPr>
          <w:rFonts w:ascii="Arial" w:hAnsi="Arial" w:cs="Arial"/>
          <w:color w:val="auto"/>
          <w:sz w:val="20"/>
          <w:szCs w:val="20"/>
        </w:rPr>
        <w:t>ů a třetích osob.</w:t>
      </w:r>
    </w:p>
    <w:p w14:paraId="02B1763A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upozorní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na možné rozšíření či změny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za účelem je</w:t>
      </w:r>
      <w:r>
        <w:rPr>
          <w:rFonts w:ascii="Arial" w:hAnsi="Arial" w:cs="Arial"/>
          <w:color w:val="auto"/>
          <w:sz w:val="20"/>
          <w:szCs w:val="20"/>
        </w:rPr>
        <w:t>ho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lepšího využ</w:t>
      </w:r>
      <w:r>
        <w:rPr>
          <w:rFonts w:ascii="Arial" w:hAnsi="Arial" w:cs="Arial"/>
          <w:color w:val="auto"/>
          <w:sz w:val="20"/>
          <w:szCs w:val="20"/>
        </w:rPr>
        <w:t>ití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pro </w:t>
      </w:r>
      <w:r>
        <w:rPr>
          <w:rFonts w:ascii="Arial" w:hAnsi="Arial" w:cs="Arial"/>
          <w:color w:val="auto"/>
          <w:sz w:val="20"/>
          <w:szCs w:val="20"/>
        </w:rPr>
        <w:t>stanovený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účel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D114684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upozorní 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v odůvodněných případech na případnou nevhodnost pokynů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86063E6" w14:textId="6C7A8D05" w:rsidR="00786D51" w:rsidRPr="006D70E3" w:rsidRDefault="00DC19D0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zavazuje poskytnout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nebo jakékoliv třetí osobě písemně pověřené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7717D3">
        <w:rPr>
          <w:rFonts w:ascii="Arial" w:hAnsi="Arial" w:cs="Arial"/>
          <w:color w:val="auto"/>
          <w:sz w:val="20"/>
          <w:szCs w:val="20"/>
        </w:rPr>
        <w:t>em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veškerou požadovanou spolupráci a součinnost, která je nezbytná pro </w:t>
      </w:r>
      <w:r>
        <w:rPr>
          <w:rFonts w:ascii="Arial" w:hAnsi="Arial" w:cs="Arial"/>
          <w:color w:val="auto"/>
          <w:sz w:val="20"/>
          <w:szCs w:val="20"/>
        </w:rPr>
        <w:t xml:space="preserve">zajištění </w:t>
      </w:r>
      <w:r w:rsidRPr="00DC19D0">
        <w:rPr>
          <w:rFonts w:ascii="Arial" w:hAnsi="Arial" w:cs="Arial"/>
          <w:color w:val="auto"/>
          <w:sz w:val="20"/>
          <w:szCs w:val="20"/>
        </w:rPr>
        <w:t>účel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této </w:t>
      </w:r>
      <w:r w:rsidR="00B8289C">
        <w:rPr>
          <w:rFonts w:ascii="Arial" w:hAnsi="Arial" w:cs="Arial"/>
          <w:color w:val="auto"/>
          <w:sz w:val="20"/>
          <w:szCs w:val="20"/>
        </w:rPr>
        <w:t>smlouvy – provázání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systému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s dalšími informačními systémy užívanými nebo provozovanými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7717D3">
        <w:rPr>
          <w:rFonts w:ascii="Arial" w:hAnsi="Arial" w:cs="Arial"/>
          <w:color w:val="auto"/>
          <w:sz w:val="20"/>
          <w:szCs w:val="20"/>
        </w:rPr>
        <w:t>em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či třetími osobami určenými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bjednatelem.</w:t>
      </w:r>
    </w:p>
    <w:p w14:paraId="6D8B2C00" w14:textId="77777777" w:rsidR="00E775C7" w:rsidRDefault="00E775C7" w:rsidP="00E775C7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775C7">
        <w:rPr>
          <w:rFonts w:ascii="Arial" w:hAnsi="Arial" w:cs="Arial"/>
          <w:b/>
          <w:color w:val="auto"/>
          <w:sz w:val="20"/>
          <w:szCs w:val="22"/>
        </w:rPr>
        <w:t>Vlastnické právo a právo dílo užít</w:t>
      </w:r>
    </w:p>
    <w:p w14:paraId="0F23FB62" w14:textId="77777777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Vzhledem k tomu, že součástí předmětu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mlouvy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utorský zákon“), je k těmto součástem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poskytována licence za podmínek sjednaných dále v tomto článku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mlouvy.</w:t>
      </w:r>
    </w:p>
    <w:p w14:paraId="726F89FB" w14:textId="203A602B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</w:t>
      </w:r>
      <w:r w:rsid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oprávněn veškeré výstupy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lužeb </w:t>
      </w:r>
      <w:r w:rsidR="00F957B3">
        <w:rPr>
          <w:rFonts w:ascii="Arial" w:hAnsi="Arial" w:cs="Arial"/>
          <w:color w:val="auto"/>
          <w:sz w:val="20"/>
          <w:szCs w:val="20"/>
        </w:rPr>
        <w:t>zhotovitele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považované za autorské dílo ve smyslu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>utorského zákona (dále jen „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>utorská díla“) užívat dle níže uvedených podmínek.</w:t>
      </w:r>
    </w:p>
    <w:p w14:paraId="3C0D68E8" w14:textId="6784E22D" w:rsidR="00E775C7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od okamžiku účinnosti poskytnutí licence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utorskému dílu </w:t>
      </w:r>
      <w:r>
        <w:rPr>
          <w:rFonts w:ascii="Arial" w:hAnsi="Arial" w:cs="Arial"/>
          <w:color w:val="auto"/>
          <w:sz w:val="20"/>
          <w:szCs w:val="20"/>
        </w:rPr>
        <w:t xml:space="preserve">dle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užívat toto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k jakémukoliv účelu a v rozsahu, v jakém uzná za nezbytné, vhodné či přiměřené. Pro vyloučení pochybností to znamená, že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oprávněn užívat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v neomezeném množstevním a územním rozsahu, a to všemi v úvahu přicházejícími způsoby a s časovým rozsahem omezeným dobou trvání majetkových autorských práv k takovémuto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utorskému dílu. </w:t>
      </w:r>
    </w:p>
    <w:p w14:paraId="2ECA9FD6" w14:textId="20F441DC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mlouvou poskytuje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licenci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utorským dílům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mlouvy, přičemž licence je poskytnuta okamžikem akceptace </w:t>
      </w:r>
      <w:r>
        <w:rPr>
          <w:rFonts w:ascii="Arial" w:hAnsi="Arial" w:cs="Arial"/>
          <w:color w:val="auto"/>
          <w:sz w:val="20"/>
          <w:szCs w:val="20"/>
        </w:rPr>
        <w:t>všech částí díla</w:t>
      </w:r>
      <w:r w:rsidRPr="00DF5A9C">
        <w:rPr>
          <w:rFonts w:ascii="Arial" w:hAnsi="Arial" w:cs="Arial"/>
          <w:color w:val="auto"/>
          <w:sz w:val="20"/>
          <w:szCs w:val="20"/>
        </w:rPr>
        <w:t>, kter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příslušné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>utorské dílo obsahuj</w:t>
      </w:r>
      <w:r>
        <w:rPr>
          <w:rFonts w:ascii="Arial" w:hAnsi="Arial" w:cs="Arial"/>
          <w:color w:val="auto"/>
          <w:sz w:val="20"/>
          <w:szCs w:val="20"/>
        </w:rPr>
        <w:t>í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; do té doby </w:t>
      </w:r>
      <w:r w:rsidR="00505358">
        <w:rPr>
          <w:rFonts w:ascii="Arial" w:hAnsi="Arial" w:cs="Arial"/>
          <w:color w:val="auto"/>
          <w:sz w:val="20"/>
          <w:szCs w:val="20"/>
        </w:rPr>
        <w:t>j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180CD1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užít v rozsahu a způsobem nezbytným k provedení akceptace příslušné součásti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2E6294F5" w14:textId="7FCF264D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lastRenderedPageBreak/>
        <w:t xml:space="preserve">Udělení licence nelze ze strany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vypovědět. Objednatel </w:t>
      </w:r>
      <w:r w:rsidR="00A736FF">
        <w:rPr>
          <w:rFonts w:ascii="Arial" w:hAnsi="Arial" w:cs="Arial"/>
          <w:color w:val="auto"/>
          <w:sz w:val="20"/>
          <w:szCs w:val="20"/>
        </w:rPr>
        <w:t>je</w:t>
      </w:r>
      <w:r w:rsidR="00A736FF"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>oprávněn výhradní licenci využívat i po skončení smluvního vztahu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6F94808" w14:textId="2F7114DE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Smluvní strany výslovně prohlašují, že pokud při poskytování plnění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vznikne činností </w:t>
      </w:r>
      <w:r w:rsidR="00E839E6"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a </w:t>
      </w:r>
      <w:r w:rsidR="00E839E6"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A736FF">
        <w:rPr>
          <w:rFonts w:ascii="Arial" w:hAnsi="Arial" w:cs="Arial"/>
          <w:color w:val="auto"/>
          <w:sz w:val="20"/>
          <w:szCs w:val="20"/>
        </w:rPr>
        <w:t>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dílo spoluautorů a nedohodnou-li se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výslovně jinak, bude se mít za to, že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je objednatel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vykonávat majetková autorská práva k dílu spoluautorů tak, jako by byl jejich výlučným vykonavatelem a že </w:t>
      </w:r>
      <w:r w:rsidR="00E839E6"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udělil </w:t>
      </w:r>
      <w:r w:rsidR="00E839E6"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505358">
        <w:rPr>
          <w:rFonts w:ascii="Arial" w:hAnsi="Arial" w:cs="Arial"/>
          <w:color w:val="auto"/>
          <w:sz w:val="20"/>
          <w:szCs w:val="20"/>
        </w:rPr>
        <w:t>ům</w:t>
      </w:r>
      <w:r w:rsidR="00E839E6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souhlas k jakékoliv změně nebo jinému zásahu do díla spoluautorů. Cena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je stanovena se zohledněním tohoto ustanovení a </w:t>
      </w:r>
      <w:r w:rsidR="00E839E6">
        <w:rPr>
          <w:rFonts w:ascii="Arial" w:hAnsi="Arial" w:cs="Arial"/>
          <w:color w:val="auto"/>
          <w:sz w:val="20"/>
          <w:szCs w:val="20"/>
        </w:rPr>
        <w:t xml:space="preserve">zhotoviteli </w:t>
      </w:r>
      <w:r w:rsidRPr="00DF5A9C">
        <w:rPr>
          <w:rFonts w:ascii="Arial" w:hAnsi="Arial" w:cs="Arial"/>
          <w:color w:val="auto"/>
          <w:sz w:val="20"/>
          <w:szCs w:val="20"/>
        </w:rPr>
        <w:t>nevzniknou v případě vytvoření díla spoluautorů žádné nové nároky na odměnu.</w:t>
      </w:r>
    </w:p>
    <w:p w14:paraId="744D2A41" w14:textId="77777777" w:rsidR="00E839E6" w:rsidRDefault="00E839E6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je povinen postupovat při </w:t>
      </w:r>
      <w:r>
        <w:rPr>
          <w:rFonts w:ascii="Arial" w:hAnsi="Arial" w:cs="Arial"/>
          <w:color w:val="auto"/>
          <w:sz w:val="20"/>
          <w:szCs w:val="20"/>
        </w:rPr>
        <w:t>realizaci 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tak, aby udělení licence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utorskému dílu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>mlouvy včetně oprávnění udělit podlicenci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839E6">
        <w:rPr>
          <w:rFonts w:ascii="Arial" w:hAnsi="Arial" w:cs="Arial"/>
          <w:color w:val="auto"/>
          <w:sz w:val="20"/>
          <w:szCs w:val="20"/>
        </w:rPr>
        <w:t>a souvisejících oprávnění zabezpečil, a to bez újmy na právech třetích osob.</w:t>
      </w:r>
    </w:p>
    <w:p w14:paraId="4F5AE72A" w14:textId="77777777" w:rsidR="00E775C7" w:rsidRDefault="00E839E6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>Pokud se bude jednat o standardní software zhotovitele nebo třetích stran, tak na rozdíl od licence ke zbývajícím částem díla udělované dle této smlouvy 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smlouvou, a to včetně práva objednatel</w:t>
      </w:r>
      <w:r w:rsidR="00505358">
        <w:rPr>
          <w:rFonts w:ascii="Arial" w:hAnsi="Arial" w:cs="Arial"/>
          <w:color w:val="auto"/>
          <w:sz w:val="20"/>
          <w:szCs w:val="20"/>
        </w:rPr>
        <w:t>ů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do standardního software zasahovat. </w:t>
      </w:r>
    </w:p>
    <w:p w14:paraId="6D63114B" w14:textId="5EB5C4A3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Práva získaná v rámci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přechází i na případného právního nástupce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063DF">
        <w:rPr>
          <w:rFonts w:ascii="Arial" w:hAnsi="Arial" w:cs="Arial"/>
          <w:color w:val="auto"/>
          <w:sz w:val="20"/>
          <w:szCs w:val="20"/>
        </w:rPr>
        <w:t>e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. Případná změna v osobě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(např. právní nástupnictví) nebude mít vliv na oprávnění udělená v rámci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</w:t>
      </w:r>
      <w:r>
        <w:rPr>
          <w:rFonts w:ascii="Arial" w:hAnsi="Arial" w:cs="Arial"/>
          <w:color w:val="auto"/>
          <w:sz w:val="20"/>
          <w:szCs w:val="20"/>
        </w:rPr>
        <w:t xml:space="preserve">zhotovitelem </w:t>
      </w:r>
      <w:r w:rsidR="002875B8">
        <w:rPr>
          <w:rFonts w:ascii="Arial" w:hAnsi="Arial" w:cs="Arial"/>
          <w:color w:val="auto"/>
          <w:sz w:val="20"/>
          <w:szCs w:val="20"/>
        </w:rPr>
        <w:t>objednateli</w:t>
      </w:r>
      <w:r w:rsidRPr="00E839E6">
        <w:rPr>
          <w:rFonts w:ascii="Arial" w:hAnsi="Arial" w:cs="Arial"/>
          <w:color w:val="auto"/>
          <w:sz w:val="20"/>
          <w:szCs w:val="20"/>
        </w:rPr>
        <w:t>.</w:t>
      </w:r>
    </w:p>
    <w:p w14:paraId="1780DAFD" w14:textId="750F56FF" w:rsidR="00242EDF" w:rsidRPr="006D70E3" w:rsidRDefault="00E839E6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Odměna za poskytnutí, zprostředkování nebo postoupení licence (či podlicence)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utorským dílům je zahrnuta v ceně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mlouvy.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je vždy povinen zajistit poskytnutí licence dle podmínek stanovených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mlouvou, a to bez ohledu na případný rozdílný obsah standardních licenčních podmínek vykonavatele majetkových práv k takovým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>utorským dílům.</w:t>
      </w:r>
    </w:p>
    <w:p w14:paraId="3F8C43E7" w14:textId="77777777" w:rsidR="00E775C7" w:rsidRPr="00E839E6" w:rsidRDefault="00E839E6" w:rsidP="00E839E6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839E6">
        <w:rPr>
          <w:rFonts w:ascii="Arial" w:hAnsi="Arial" w:cs="Arial"/>
          <w:b/>
          <w:color w:val="auto"/>
          <w:sz w:val="20"/>
          <w:szCs w:val="22"/>
        </w:rPr>
        <w:t>Záruka</w:t>
      </w:r>
    </w:p>
    <w:p w14:paraId="0315D714" w14:textId="77777777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poskytuje záruku, že každá část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má ke dni její akceptace funkční vlastnosti stanovené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mlouvou, zejména v příloze č. 1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mlouvy, a je způsobilá k použití pro účely stanovené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mlouvě nebo v souladu s touto </w:t>
      </w:r>
      <w:r>
        <w:rPr>
          <w:rFonts w:ascii="Arial" w:hAnsi="Arial" w:cs="Arial"/>
          <w:color w:val="auto"/>
          <w:sz w:val="20"/>
          <w:szCs w:val="20"/>
        </w:rPr>
        <w:t>smlouvou.</w:t>
      </w:r>
    </w:p>
    <w:p w14:paraId="77E8CBCA" w14:textId="4C4A4493" w:rsidR="00E839E6" w:rsidRDefault="00F957B3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poskytuje záruku za jakost každé jednotlivé části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mlouvy od okamžiku její akceptace po dobu 12 měsíců od akceptace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mlouvy jako celku. </w:t>
      </w:r>
      <w:r w:rsidR="008E705C">
        <w:rPr>
          <w:rFonts w:ascii="Arial" w:hAnsi="Arial" w:cs="Arial"/>
          <w:color w:val="auto"/>
          <w:sz w:val="20"/>
          <w:szCs w:val="20"/>
        </w:rPr>
        <w:t>Záruka začíná běžet od data akceptace plnění v poslední nemocnici.</w:t>
      </w:r>
    </w:p>
    <w:p w14:paraId="38DF0710" w14:textId="0709811C" w:rsidR="00E839E6" w:rsidRP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>Doba od zjištění vady do jejího odstranění se do trvání záruční doby nezapočítává</w:t>
      </w:r>
      <w:r w:rsidR="002875B8">
        <w:rPr>
          <w:rFonts w:ascii="Arial" w:hAnsi="Arial" w:cs="Arial"/>
          <w:color w:val="auto"/>
          <w:sz w:val="20"/>
          <w:szCs w:val="20"/>
        </w:rPr>
        <w:t>.</w:t>
      </w:r>
    </w:p>
    <w:p w14:paraId="206788BF" w14:textId="3B2C66CB" w:rsidR="00786D51" w:rsidRPr="006D70E3" w:rsidRDefault="00E839E6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7B2075">
        <w:rPr>
          <w:rFonts w:ascii="Arial" w:hAnsi="Arial" w:cs="Arial"/>
          <w:color w:val="auto"/>
          <w:sz w:val="20"/>
          <w:szCs w:val="20"/>
        </w:rPr>
        <w:t>Vady díla budou o</w:t>
      </w:r>
      <w:r w:rsidR="007B2075">
        <w:rPr>
          <w:rFonts w:ascii="Arial" w:hAnsi="Arial" w:cs="Arial"/>
          <w:color w:val="auto"/>
          <w:sz w:val="20"/>
          <w:szCs w:val="20"/>
        </w:rPr>
        <w:t>dstraněny v režimu „</w:t>
      </w:r>
      <w:proofErr w:type="spellStart"/>
      <w:r w:rsidR="007B2075">
        <w:rPr>
          <w:rFonts w:ascii="Arial" w:hAnsi="Arial" w:cs="Arial"/>
          <w:color w:val="auto"/>
          <w:sz w:val="20"/>
          <w:szCs w:val="20"/>
        </w:rPr>
        <w:t>best</w:t>
      </w:r>
      <w:proofErr w:type="spellEnd"/>
      <w:r w:rsidR="007B207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B2075">
        <w:rPr>
          <w:rFonts w:ascii="Arial" w:hAnsi="Arial" w:cs="Arial"/>
          <w:color w:val="auto"/>
          <w:sz w:val="20"/>
          <w:szCs w:val="20"/>
        </w:rPr>
        <w:t>effort</w:t>
      </w:r>
      <w:proofErr w:type="spellEnd"/>
      <w:r w:rsidR="007B2075">
        <w:rPr>
          <w:rFonts w:ascii="Arial" w:hAnsi="Arial" w:cs="Arial"/>
          <w:color w:val="auto"/>
          <w:sz w:val="20"/>
          <w:szCs w:val="20"/>
        </w:rPr>
        <w:t>“.</w:t>
      </w:r>
    </w:p>
    <w:p w14:paraId="37C4E335" w14:textId="77777777" w:rsidR="00E775C7" w:rsidRPr="00E775C7" w:rsidRDefault="00E775C7" w:rsidP="00E775C7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775C7">
        <w:rPr>
          <w:rFonts w:ascii="Arial" w:hAnsi="Arial" w:cs="Arial"/>
          <w:b/>
          <w:color w:val="auto"/>
          <w:sz w:val="20"/>
          <w:szCs w:val="22"/>
        </w:rPr>
        <w:t>Cena díla</w:t>
      </w:r>
    </w:p>
    <w:p w14:paraId="69B89F4F" w14:textId="162ED139" w:rsidR="00D61688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Cena díla je dohodou smluvních stran stanovena ve výši </w:t>
      </w:r>
      <w:r w:rsidR="005137A6">
        <w:rPr>
          <w:rFonts w:ascii="Arial" w:hAnsi="Arial" w:cs="Arial"/>
          <w:color w:val="auto"/>
          <w:sz w:val="20"/>
          <w:szCs w:val="20"/>
        </w:rPr>
        <w:t>409 200,-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Kč bez DPH.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K takto sjednané ceně bude připočteno DPH ve výši stanovené právním předpisem k datu poskytnutí zdanitelného plnění. K datu podpisu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 w:rsidR="00D61688">
        <w:rPr>
          <w:rFonts w:ascii="Arial" w:hAnsi="Arial" w:cs="Arial"/>
          <w:color w:val="auto"/>
          <w:sz w:val="20"/>
          <w:szCs w:val="20"/>
        </w:rPr>
        <w:t>mlouvy je zákonná DPH ve výši 21</w:t>
      </w:r>
      <w:r w:rsidR="005237BC">
        <w:rPr>
          <w:rFonts w:ascii="Arial" w:hAnsi="Arial" w:cs="Arial"/>
          <w:color w:val="auto"/>
          <w:sz w:val="20"/>
          <w:szCs w:val="20"/>
        </w:rPr>
        <w:t xml:space="preserve">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%. Celková cena za dílo včetně zákonného DPH činí </w:t>
      </w:r>
      <w:r w:rsidR="005137A6">
        <w:rPr>
          <w:rFonts w:ascii="Arial" w:hAnsi="Arial" w:cs="Arial"/>
          <w:color w:val="auto"/>
          <w:sz w:val="20"/>
          <w:szCs w:val="20"/>
        </w:rPr>
        <w:t xml:space="preserve">495 132,- </w:t>
      </w:r>
      <w:r w:rsidR="00D61688">
        <w:rPr>
          <w:rFonts w:ascii="Arial" w:hAnsi="Arial" w:cs="Arial"/>
          <w:color w:val="auto"/>
          <w:sz w:val="20"/>
          <w:szCs w:val="20"/>
        </w:rPr>
        <w:t>Kč.</w:t>
      </w:r>
    </w:p>
    <w:p w14:paraId="174D3F8C" w14:textId="1C1437D7" w:rsidR="00E775C7" w:rsidRDefault="00D61688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Podrobná kalkulace ceny díla dle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mlouvy a celková cena je uvedena v položkovém rozpočtu, který bude tvořit </w:t>
      </w:r>
      <w:r w:rsidR="002875B8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 xml:space="preserve">řílohu č. </w:t>
      </w:r>
      <w:r w:rsidR="008C6F32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mlouvy.  </w:t>
      </w:r>
    </w:p>
    <w:p w14:paraId="098BA8CB" w14:textId="4041697D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Cena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bude zaplacena </w:t>
      </w:r>
      <w:r>
        <w:rPr>
          <w:rFonts w:ascii="Arial" w:hAnsi="Arial" w:cs="Arial"/>
          <w:color w:val="auto"/>
          <w:sz w:val="20"/>
          <w:szCs w:val="20"/>
        </w:rPr>
        <w:t xml:space="preserve">po řádné akceptaci posledního dílčího plnění, a to na základě daňového dokladu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(faktury) vystaveného </w:t>
      </w:r>
      <w:r>
        <w:rPr>
          <w:rFonts w:ascii="Arial" w:hAnsi="Arial" w:cs="Arial"/>
          <w:color w:val="auto"/>
          <w:sz w:val="20"/>
          <w:szCs w:val="20"/>
        </w:rPr>
        <w:t xml:space="preserve">zhotovitelem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a na základě </w:t>
      </w:r>
      <w:r>
        <w:rPr>
          <w:rFonts w:ascii="Arial" w:hAnsi="Arial" w:cs="Arial"/>
          <w:color w:val="auto"/>
          <w:sz w:val="20"/>
          <w:szCs w:val="20"/>
        </w:rPr>
        <w:t xml:space="preserve">smluvními stranami </w:t>
      </w:r>
      <w:r w:rsidRPr="00E775C7">
        <w:rPr>
          <w:rFonts w:ascii="Arial" w:hAnsi="Arial" w:cs="Arial"/>
          <w:color w:val="auto"/>
          <w:sz w:val="20"/>
          <w:szCs w:val="20"/>
        </w:rPr>
        <w:lastRenderedPageBreak/>
        <w:t xml:space="preserve">schválených </w:t>
      </w:r>
      <w:r>
        <w:rPr>
          <w:rFonts w:ascii="Arial" w:hAnsi="Arial" w:cs="Arial"/>
          <w:color w:val="auto"/>
          <w:sz w:val="20"/>
          <w:szCs w:val="20"/>
        </w:rPr>
        <w:t>předávacích p</w:t>
      </w:r>
      <w:r w:rsidRPr="00E775C7">
        <w:rPr>
          <w:rFonts w:ascii="Arial" w:hAnsi="Arial" w:cs="Arial"/>
          <w:color w:val="auto"/>
          <w:sz w:val="20"/>
          <w:szCs w:val="20"/>
        </w:rPr>
        <w:t>rotokolů</w:t>
      </w:r>
      <w:r>
        <w:rPr>
          <w:rFonts w:ascii="Arial" w:hAnsi="Arial" w:cs="Arial"/>
          <w:color w:val="auto"/>
          <w:sz w:val="20"/>
          <w:szCs w:val="20"/>
        </w:rPr>
        <w:t xml:space="preserve"> či protokolu.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Přílohou faktury musí být kopie schválených protokolů.</w:t>
      </w:r>
    </w:p>
    <w:p w14:paraId="4DD7196F" w14:textId="72F423E2" w:rsidR="00E775C7" w:rsidRPr="005237BC" w:rsidRDefault="00E775C7" w:rsidP="005237B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Splatnost jednotlivých plateb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mlouvy je stanovena na 30 dní od doručení faktury </w:t>
      </w:r>
      <w:r w:rsidR="00A12B1A">
        <w:rPr>
          <w:rFonts w:ascii="Arial" w:hAnsi="Arial" w:cs="Arial"/>
          <w:color w:val="auto"/>
          <w:sz w:val="20"/>
          <w:szCs w:val="20"/>
        </w:rPr>
        <w:t>objednateli</w:t>
      </w:r>
      <w:r w:rsidR="008C6F32">
        <w:rPr>
          <w:rFonts w:ascii="Arial" w:hAnsi="Arial" w:cs="Arial"/>
          <w:color w:val="auto"/>
          <w:sz w:val="20"/>
          <w:szCs w:val="20"/>
        </w:rPr>
        <w:t>.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odešle fakturu </w:t>
      </w:r>
      <w:r w:rsidR="00A12B1A">
        <w:rPr>
          <w:rFonts w:ascii="Arial" w:hAnsi="Arial" w:cs="Arial"/>
          <w:color w:val="auto"/>
          <w:sz w:val="20"/>
          <w:szCs w:val="20"/>
        </w:rPr>
        <w:t>objednateli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775C7">
        <w:rPr>
          <w:rFonts w:ascii="Arial" w:hAnsi="Arial" w:cs="Arial"/>
          <w:color w:val="auto"/>
          <w:sz w:val="20"/>
          <w:szCs w:val="20"/>
        </w:rPr>
        <w:t>nejpozději následující pracovní den po vystavení faktury.</w:t>
      </w:r>
      <w:r w:rsidR="005409A0">
        <w:rPr>
          <w:rFonts w:ascii="Arial" w:hAnsi="Arial" w:cs="Arial"/>
          <w:color w:val="auto"/>
          <w:sz w:val="20"/>
          <w:szCs w:val="20"/>
        </w:rPr>
        <w:t xml:space="preserve"> Fakturu odešle v elektronickém podobě ve formátu </w:t>
      </w:r>
      <w:proofErr w:type="spellStart"/>
      <w:r w:rsidR="005409A0"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 w:rsidR="005409A0">
        <w:rPr>
          <w:rFonts w:ascii="Arial" w:hAnsi="Arial" w:cs="Arial"/>
          <w:color w:val="auto"/>
          <w:sz w:val="20"/>
          <w:szCs w:val="20"/>
        </w:rPr>
        <w:t xml:space="preserve"> na </w:t>
      </w:r>
      <w:r w:rsidR="005237BC">
        <w:rPr>
          <w:rFonts w:ascii="Arial" w:hAnsi="Arial" w:cs="Arial"/>
          <w:color w:val="auto"/>
          <w:sz w:val="20"/>
          <w:szCs w:val="20"/>
        </w:rPr>
        <w:t xml:space="preserve">e-mailovou </w:t>
      </w:r>
      <w:r w:rsidR="005409A0">
        <w:rPr>
          <w:rFonts w:ascii="Arial" w:hAnsi="Arial" w:cs="Arial"/>
          <w:color w:val="auto"/>
          <w:sz w:val="20"/>
          <w:szCs w:val="20"/>
        </w:rPr>
        <w:t>adresu</w:t>
      </w:r>
      <w:r w:rsidR="005237BC">
        <w:rPr>
          <w:rFonts w:ascii="Arial" w:hAnsi="Arial" w:cs="Arial"/>
          <w:color w:val="auto"/>
          <w:sz w:val="20"/>
          <w:szCs w:val="20"/>
        </w:rPr>
        <w:t>:</w:t>
      </w:r>
      <w:r w:rsidR="00851C11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9" w:history="1">
        <w:proofErr w:type="spellStart"/>
        <w:r w:rsidR="006101DB" w:rsidRPr="006101DB">
          <w:rPr>
            <w:rStyle w:val="Hypertextovodkaz"/>
            <w:rFonts w:ascii="Arial" w:hAnsi="Arial" w:cs="Arial"/>
            <w:sz w:val="20"/>
            <w:szCs w:val="20"/>
            <w:highlight w:val="black"/>
          </w:rPr>
          <w:t>xxxxxxxxxxxxxx</w:t>
        </w:r>
        <w:proofErr w:type="spellEnd"/>
      </w:hyperlink>
      <w:r w:rsidR="005237BC">
        <w:rPr>
          <w:rFonts w:ascii="Arial" w:hAnsi="Arial" w:cs="Arial"/>
          <w:color w:val="auto"/>
          <w:sz w:val="20"/>
          <w:szCs w:val="20"/>
        </w:rPr>
        <w:t xml:space="preserve"> </w:t>
      </w:r>
      <w:r w:rsidR="005409A0" w:rsidRPr="005237BC">
        <w:rPr>
          <w:rFonts w:ascii="Arial" w:hAnsi="Arial" w:cs="Arial"/>
          <w:color w:val="auto"/>
          <w:sz w:val="20"/>
          <w:szCs w:val="20"/>
        </w:rPr>
        <w:t>/ v listinné podobě na adresu: Zdravotnický holding Královéhradeckého kraje a.s., Švendova 1282. 530 03 Hradec Králové</w:t>
      </w:r>
      <w:r w:rsidR="002875B8" w:rsidRPr="005237BC">
        <w:rPr>
          <w:rFonts w:ascii="Arial" w:hAnsi="Arial" w:cs="Arial"/>
          <w:color w:val="auto"/>
          <w:sz w:val="20"/>
          <w:szCs w:val="20"/>
        </w:rPr>
        <w:t>.</w:t>
      </w:r>
    </w:p>
    <w:p w14:paraId="4FF79F2D" w14:textId="23F165CD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Veškeré daňové doklady musí splňovat všechny náležitosti daňového dokladu požadované zákonem č. 235/2004 Sb., o dani z přidané hodnoty, ve znění pozdějších předpisů, a ostatními obecně závaznými právními předpisy, přičemž vždy musejí obsahovat následující údaje: označení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mluvních stran (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a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bjednatel) a jejich adresy, IČO, DIČ, údaj o tom, že vystavovatel daňového dokladu je zapsán v obchodním rejstříku příslušného rejstříkového soudu včetně spisové značky, označení poskytnutého plnění, číslo daňového dokladu, den vystavení, den uskutečnění zdanitelného plnění a lhůtu splatnosti daňového dokladu, označení peněžního ústavu a číslo účtu, na který se má platit, razítko a podpis jeho oprávněné osoby. </w:t>
      </w:r>
    </w:p>
    <w:p w14:paraId="69A251BE" w14:textId="23A46CC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Nebude-li daňový doklad obsahovat stanovené náležitosti dle příslušných právních předpisů, nebo v něm nebudou správně uvedené údaje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>mlouvy, nebude považován za řádný a</w:t>
      </w:r>
      <w:r w:rsidR="002875B8">
        <w:rPr>
          <w:rFonts w:ascii="Arial" w:hAnsi="Arial" w:cs="Arial"/>
          <w:color w:val="auto"/>
          <w:sz w:val="20"/>
          <w:szCs w:val="20"/>
        </w:rPr>
        <w:t> </w:t>
      </w:r>
      <w:r w:rsidR="00A12B1A">
        <w:rPr>
          <w:rFonts w:ascii="Arial" w:hAnsi="Arial" w:cs="Arial"/>
          <w:color w:val="auto"/>
          <w:sz w:val="20"/>
          <w:szCs w:val="20"/>
        </w:rPr>
        <w:t>objednatel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bude oprávněn vrátit jej ve lhůtě splatnosti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s uvedením chybějících náležitostí nebo nesprávných údajů. V takovém případě se přeruší běh lhůty splatnosti a nová lhůta splatnosti začne běžet doručením opraveného daňového dokladu, přičemž </w:t>
      </w:r>
      <w:r w:rsidR="00A12B1A">
        <w:rPr>
          <w:rFonts w:ascii="Arial" w:hAnsi="Arial" w:cs="Arial"/>
          <w:color w:val="auto"/>
          <w:sz w:val="20"/>
          <w:szCs w:val="20"/>
        </w:rPr>
        <w:t>objednatel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>v takovém případě není v prodlení s úhradou částky uvedené ve vystaveném daňovém dokladu.</w:t>
      </w:r>
    </w:p>
    <w:p w14:paraId="1326E268" w14:textId="60A0A874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Částky uvedené v daňových dokladech se platí bankovním převodem na účet druhé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uvedený v daňovém dokladu. Je-li povinnou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stranou </w:t>
      </w:r>
      <w:r w:rsidR="00A12B1A">
        <w:rPr>
          <w:rFonts w:ascii="Arial" w:hAnsi="Arial" w:cs="Arial"/>
          <w:color w:val="auto"/>
          <w:sz w:val="20"/>
          <w:szCs w:val="20"/>
        </w:rPr>
        <w:t>objednatel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, rozumí se dnem úhrady den, kdy je částka odepsána z bankovního účtu </w:t>
      </w:r>
      <w:r w:rsidR="00A12B1A">
        <w:rPr>
          <w:rFonts w:ascii="Arial" w:hAnsi="Arial" w:cs="Arial"/>
          <w:color w:val="auto"/>
          <w:sz w:val="20"/>
          <w:szCs w:val="20"/>
        </w:rPr>
        <w:t>objednatele</w:t>
      </w:r>
      <w:r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55C87756" w14:textId="77777777" w:rsidR="00DF5A9C" w:rsidRP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V případě prodlení kterékoliv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se zaplacením peněžité částky vzniká oprávněné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straně nárok na úrok z prodlení ve výši jedné setiny procenta (0,01 %) z dlužné částky za každý i započatý den prodlení. Tím není dotčen ani omezen nárok na náhradu vzniklé škody. </w:t>
      </w:r>
    </w:p>
    <w:p w14:paraId="069709FE" w14:textId="335CF8BB" w:rsidR="00DF5A9C" w:rsidRPr="00DF5A9C" w:rsidRDefault="00A12B1A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bude hradit přijaté faktury pouze na bankovní účty </w:t>
      </w:r>
      <w:r w:rsidR="00DF5A9C">
        <w:rPr>
          <w:rFonts w:ascii="Arial" w:hAnsi="Arial" w:cs="Arial"/>
          <w:color w:val="auto"/>
          <w:sz w:val="20"/>
          <w:szCs w:val="20"/>
        </w:rPr>
        <w:t>zhotovitele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zveřejněné správcem daně způsobem umožňujícím dálkový přístup ve smyslu § 96 odst. 2 zákona o DPH. V případě, že </w:t>
      </w:r>
      <w:r w:rsidR="00DF5A9C">
        <w:rPr>
          <w:rFonts w:ascii="Arial" w:hAnsi="Arial" w:cs="Arial"/>
          <w:color w:val="auto"/>
          <w:sz w:val="20"/>
          <w:szCs w:val="20"/>
        </w:rPr>
        <w:t>zhotovitel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nebude mít svůj bankovní účet tímto způsobem zveřejněn, uhradí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="00DF5A9C">
        <w:rPr>
          <w:rFonts w:ascii="Arial" w:hAnsi="Arial" w:cs="Arial"/>
          <w:color w:val="auto"/>
          <w:sz w:val="20"/>
          <w:szCs w:val="20"/>
        </w:rPr>
        <w:t>zhotoviteli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pouze z</w:t>
      </w:r>
      <w:r w:rsidR="00DF5A9C">
        <w:rPr>
          <w:rFonts w:ascii="Arial" w:hAnsi="Arial" w:cs="Arial"/>
          <w:color w:val="auto"/>
          <w:sz w:val="20"/>
          <w:szCs w:val="20"/>
        </w:rPr>
        <w:t>áklad daně, přičemž DPH uhradí zhotoviteli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až po zveřejnění příslušného účtu v registru plátců a identifikovaných osob </w:t>
      </w:r>
      <w:r w:rsidR="00DF5A9C">
        <w:rPr>
          <w:rFonts w:ascii="Arial" w:hAnsi="Arial" w:cs="Arial"/>
          <w:color w:val="auto"/>
          <w:sz w:val="20"/>
          <w:szCs w:val="20"/>
        </w:rPr>
        <w:t>zhotovitelem</w:t>
      </w:r>
      <w:r w:rsidR="00DF5A9C"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6B671064" w14:textId="49CFBFF9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prohlašuje, že správce daně před podpisem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nerozhodl, že </w:t>
      </w:r>
      <w:r>
        <w:rPr>
          <w:rFonts w:ascii="Arial" w:hAnsi="Arial" w:cs="Arial"/>
          <w:color w:val="auto"/>
          <w:sz w:val="20"/>
          <w:szCs w:val="20"/>
        </w:rPr>
        <w:t>je 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nespolehlivým plátcem ve smyslu § 106a zákona o DPH (dále jen „nespolehlivý plátce“). V případě, že správce daně rozhodne o tom, že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je nespolehlivým plátcem, zavazuje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 tomto informovat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bjednatele do dvou (2) pracovních dní. Stane-li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nespolehlivým plátcem, uhradí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8C6F32">
        <w:rPr>
          <w:rFonts w:ascii="Arial" w:hAnsi="Arial" w:cs="Arial"/>
          <w:color w:val="auto"/>
          <w:sz w:val="20"/>
          <w:szCs w:val="20"/>
        </w:rPr>
        <w:t xml:space="preserve">bjednatel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pouze základ daně, přičemž DPH bude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uhrazena </w:t>
      </w:r>
      <w:r>
        <w:rPr>
          <w:rFonts w:ascii="Arial" w:hAnsi="Arial" w:cs="Arial"/>
          <w:color w:val="auto"/>
          <w:sz w:val="20"/>
          <w:szCs w:val="20"/>
        </w:rPr>
        <w:t xml:space="preserve">zhotoviteli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až po písemném doložení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 jeho úhradě této DPH příslušnému správci daně.</w:t>
      </w:r>
    </w:p>
    <w:p w14:paraId="6BECB23A" w14:textId="7777777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Smluvní strany se dohodly, že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není oprávněn je</w:t>
      </w:r>
      <w:r>
        <w:rPr>
          <w:rFonts w:ascii="Arial" w:hAnsi="Arial" w:cs="Arial"/>
          <w:color w:val="auto"/>
          <w:sz w:val="20"/>
          <w:szCs w:val="20"/>
        </w:rPr>
        <w:t>dnostranně navýšit cenu plnění.</w:t>
      </w:r>
    </w:p>
    <w:p w14:paraId="727E5C78" w14:textId="7777777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Cena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je stanovena jako cena nejvýše přípustná, kterou nelze překročit nebo měnit.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přebírá nebezpečí změny okolností ve smyslu § 2620 odst. 2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bčanského zákoníku. Cenu je možné v průběhu plnění smlouvy změnit pouze z důvodu, že dojde v průběhu plnění ke změnám právních předpisů upravujících výši DPH, nebo jiné daně či povinných poplatků souvisejících s předmětem plnění. Změna smluvní ceny bude odpovídat výši změny daně nebo poplatku.</w:t>
      </w:r>
    </w:p>
    <w:p w14:paraId="60106308" w14:textId="7F1271B9" w:rsidR="004862BE" w:rsidRPr="00DD789C" w:rsidRDefault="004862BE" w:rsidP="006D70E3">
      <w:pPr>
        <w:pStyle w:val="Nadpis1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lastRenderedPageBreak/>
        <w:t>Poddodavatelé</w:t>
      </w:r>
    </w:p>
    <w:p w14:paraId="6FB4010C" w14:textId="77777777" w:rsidR="00DC19D0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je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oprávněn pro </w:t>
      </w:r>
      <w:r>
        <w:rPr>
          <w:rFonts w:ascii="Arial" w:hAnsi="Arial" w:cs="Arial"/>
          <w:color w:val="auto"/>
          <w:sz w:val="20"/>
          <w:szCs w:val="20"/>
        </w:rPr>
        <w:t>realizaci díla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využít poddodavatele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CEA873E" w14:textId="59EB073E" w:rsidR="00786D51" w:rsidRPr="006D70E3" w:rsidRDefault="004862BE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V případě využití služeb poddodavatele bude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odpovídat za poddodavatele, jako by plnil sám, včetně odpovědnosti za způsobenou škodu a včetně zajištění mlčenlivosti a ochrany obchodního tajemství.</w:t>
      </w:r>
    </w:p>
    <w:p w14:paraId="75899CEC" w14:textId="77777777" w:rsidR="004862BE" w:rsidRPr="004862BE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t>Ochrana informací</w:t>
      </w:r>
    </w:p>
    <w:p w14:paraId="3B55FEC6" w14:textId="22E79316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Smluvní strany se zavazují, že žádná z nich nezpřístupní třetí osobě důvěrné informace, které při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získala od </w:t>
      </w:r>
      <w:r>
        <w:rPr>
          <w:rFonts w:ascii="Arial" w:hAnsi="Arial" w:cs="Arial"/>
          <w:color w:val="auto"/>
          <w:sz w:val="20"/>
          <w:szCs w:val="20"/>
        </w:rPr>
        <w:t>další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strany.</w:t>
      </w:r>
      <w:r w:rsidR="00812683">
        <w:rPr>
          <w:rFonts w:ascii="Arial" w:hAnsi="Arial" w:cs="Arial"/>
          <w:color w:val="auto"/>
          <w:sz w:val="20"/>
          <w:szCs w:val="20"/>
        </w:rPr>
        <w:t xml:space="preserve"> </w:t>
      </w:r>
      <w:r w:rsidR="00812683" w:rsidRPr="00242EDF">
        <w:rPr>
          <w:rFonts w:ascii="Arial" w:hAnsi="Arial" w:cs="Arial"/>
          <w:color w:val="auto"/>
          <w:sz w:val="20"/>
          <w:szCs w:val="20"/>
        </w:rPr>
        <w:t>V případě, že zhotovitel během plnění smlouvy přijde do styku s osobními údaji, je povinen je zabezpečit před náhodným nebo protiprávním zničením, ztrátou, pozměněním, neoprávněným zpřístupněním předávaných, uložených nebo jinak zpracovávaných údajů, nebo neoprávněným přístupem k nim.</w:t>
      </w:r>
    </w:p>
    <w:p w14:paraId="6D1BC147" w14:textId="5EBAF2C2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Za důvěrné informace jsou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mluvními stranami považovány veškeré informace vzájemně poskytnuté v ústní, písemné nebo elektronické (digitální) formě, které se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 dozvěděly v souvislosti s touto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mlouvou, jakož i know-how, jimž se rozumí veškeré poznatky obchodní, výrobní, technické či ekonomické povahy související s činností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strany, které mají skutečnou nebo alespoň potenciální hodnotu, a které nejsou v příslušných obchodních kruzích </w:t>
      </w:r>
      <w:r w:rsidR="00A46734">
        <w:rPr>
          <w:rFonts w:ascii="Arial" w:hAnsi="Arial" w:cs="Arial"/>
          <w:color w:val="auto"/>
          <w:sz w:val="20"/>
          <w:szCs w:val="20"/>
        </w:rPr>
        <w:t>b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ěžně dostupné a mají být utajeny. Za důvěrné informace jsou dále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považovány komunikační strategie, výsledky analýz činností, dokumentace včetně grafických manuálů a veškeré další informace, které jsou písemně označeny jako důvěrné informace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="00A46734">
        <w:rPr>
          <w:rFonts w:ascii="Arial" w:hAnsi="Arial" w:cs="Arial"/>
          <w:color w:val="auto"/>
          <w:sz w:val="20"/>
          <w:szCs w:val="20"/>
        </w:rPr>
        <w:t>e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nebo </w:t>
      </w:r>
      <w:r w:rsidR="00786D51">
        <w:rPr>
          <w:rFonts w:ascii="Arial" w:hAnsi="Arial" w:cs="Arial"/>
          <w:color w:val="auto"/>
          <w:sz w:val="20"/>
          <w:szCs w:val="20"/>
        </w:rPr>
        <w:t>smluvních partnerů</w:t>
      </w:r>
      <w:r w:rsidRPr="004862BE">
        <w:rPr>
          <w:rFonts w:ascii="Arial" w:hAnsi="Arial" w:cs="Arial"/>
          <w:color w:val="auto"/>
          <w:sz w:val="20"/>
          <w:szCs w:val="20"/>
        </w:rPr>
        <w:t>.</w:t>
      </w:r>
    </w:p>
    <w:p w14:paraId="5CD2A858" w14:textId="4FF84E0A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Smluvní strany se zavazují v plném rozsahu zachovávat povinnost mlčenlivosti a povinnost chránit důvěrné informace vyplývající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mlouvy, o výše uvedených povinnostech mlčenlivosti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ochrany důvěrných informací a dále se zavazují vhodným způsobem zajistit dodržování těchto povinností všemi osobami podílejícími se na plnění této </w:t>
      </w:r>
      <w:r>
        <w:rPr>
          <w:rFonts w:ascii="Arial" w:hAnsi="Arial" w:cs="Arial"/>
          <w:color w:val="auto"/>
          <w:sz w:val="20"/>
          <w:szCs w:val="20"/>
        </w:rPr>
        <w:t>smlouvy.</w:t>
      </w:r>
      <w:r w:rsidR="00812683">
        <w:rPr>
          <w:rFonts w:ascii="Arial" w:hAnsi="Arial" w:cs="Arial"/>
          <w:color w:val="auto"/>
          <w:sz w:val="20"/>
          <w:szCs w:val="20"/>
        </w:rPr>
        <w:t xml:space="preserve"> </w:t>
      </w:r>
      <w:r w:rsidR="00812683" w:rsidRPr="00812683">
        <w:rPr>
          <w:rFonts w:ascii="Arial" w:hAnsi="Arial" w:cs="Arial"/>
          <w:color w:val="auto"/>
          <w:sz w:val="20"/>
          <w:szCs w:val="20"/>
        </w:rPr>
        <w:t>Povinnost mlčenlivosti trvá i po skončení činnosti pro objednatele.</w:t>
      </w:r>
    </w:p>
    <w:p w14:paraId="18911302" w14:textId="7A7C7ED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Budou-li informace poskytnuté </w:t>
      </w:r>
      <w:r w:rsidR="00786D51">
        <w:rPr>
          <w:rFonts w:ascii="Arial" w:hAnsi="Arial" w:cs="Arial"/>
          <w:color w:val="auto"/>
          <w:sz w:val="20"/>
          <w:szCs w:val="20"/>
        </w:rPr>
        <w:t>smluvním partnerům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či třetími stranami, které jsou nezbytné pro plnění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mlouvy, obsahovat osobní údaje, zavazuje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zabezpečit splnění všech ohlašovacích povinností, které citovaný zákon vyžaduje a které mohou být dle ZOOÚ splněny zpracovatelem osobních údajů, a obstarat předepsané souhlasy subjektů osobních údajů předaných ke zpracování, pokud jsou takové souhlasy dle ZOOÚ v konkrétním případě vyžadovány.</w:t>
      </w:r>
    </w:p>
    <w:p w14:paraId="35EC9CCC" w14:textId="1C734EBB" w:rsidR="00786D51" w:rsidRPr="006D70E3" w:rsidRDefault="004862BE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Veškeré důvěrné informace zůstávají výhradním vlastnictvím předávající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přijímající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strana vyvine pro zachování jejich důvěrnosti a pro jejich ochranu stejné úsilí, jako by se jednalo o její vlastní důvěrné informace. S výjimkou rozsahu, který je nezbytný pro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mlouvy, se obě Smluvní strany zavazují neduplikovat žádným způsobem důvěrné informace druhé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strany, nepředat je třetí straně ani svým vlastním zaměstnancům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zástupcům s výjimkou těch, kteří s nimi potřebují být seznámeni, aby mohli plnit tuto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mlouvu. Smluvní strany se zároveň zavazují nepoužít důvěrné informace </w:t>
      </w:r>
      <w:r>
        <w:rPr>
          <w:rFonts w:ascii="Arial" w:hAnsi="Arial" w:cs="Arial"/>
          <w:color w:val="auto"/>
          <w:sz w:val="20"/>
          <w:szCs w:val="20"/>
        </w:rPr>
        <w:t>další 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 </w:t>
      </w:r>
      <w:r w:rsidR="00B8289C" w:rsidRPr="004862BE">
        <w:rPr>
          <w:rFonts w:ascii="Arial" w:hAnsi="Arial" w:cs="Arial"/>
          <w:color w:val="auto"/>
          <w:sz w:val="20"/>
          <w:szCs w:val="20"/>
        </w:rPr>
        <w:t>jinak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než za účelem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mlouvy.</w:t>
      </w:r>
    </w:p>
    <w:p w14:paraId="72B8F9A6" w14:textId="77777777" w:rsidR="004862BE" w:rsidRPr="004862BE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t>Náhrada škody</w:t>
      </w:r>
      <w:r w:rsidR="00F45C02">
        <w:rPr>
          <w:rFonts w:ascii="Arial" w:hAnsi="Arial" w:cs="Arial"/>
          <w:b/>
          <w:color w:val="auto"/>
          <w:sz w:val="20"/>
          <w:szCs w:val="22"/>
        </w:rPr>
        <w:t xml:space="preserve"> a sankce</w:t>
      </w:r>
    </w:p>
    <w:p w14:paraId="3D4E4FE3" w14:textId="0C685B4C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jsou </w:t>
      </w:r>
      <w:r w:rsidRPr="004862BE">
        <w:rPr>
          <w:rFonts w:ascii="Arial" w:hAnsi="Arial" w:cs="Arial"/>
          <w:color w:val="auto"/>
          <w:sz w:val="20"/>
          <w:szCs w:val="20"/>
        </w:rPr>
        <w:t>povinn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nahradit způsobenou škodu v rámci platných právních předpisů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mlouvy. Smluvní strany se zavazují k vyvinutí maximálního úsilí k předcházení škodám a k m</w:t>
      </w:r>
      <w:r>
        <w:rPr>
          <w:rFonts w:ascii="Arial" w:hAnsi="Arial" w:cs="Arial"/>
          <w:color w:val="auto"/>
          <w:sz w:val="20"/>
          <w:szCs w:val="20"/>
        </w:rPr>
        <w:t>inimalizaci vzniklých škod.</w:t>
      </w:r>
    </w:p>
    <w:p w14:paraId="005B979A" w14:textId="22D06C5C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je povinen nahradit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8C6F32">
        <w:rPr>
          <w:rFonts w:ascii="Arial" w:hAnsi="Arial" w:cs="Arial"/>
          <w:color w:val="auto"/>
          <w:sz w:val="20"/>
          <w:szCs w:val="20"/>
        </w:rPr>
        <w:t>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veškeré škody, způsobené porušením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či povinností uložených právními předpisy na ochranu osobních údajů.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se zároveň zavazuje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bjednatele odškodnit za jakékoliv škody, které mu v důsledku porušení povinností </w:t>
      </w:r>
      <w:r>
        <w:rPr>
          <w:rFonts w:ascii="Arial" w:hAnsi="Arial" w:cs="Arial"/>
          <w:color w:val="auto"/>
          <w:sz w:val="20"/>
          <w:szCs w:val="20"/>
        </w:rPr>
        <w:t xml:space="preserve">zhotovitele </w:t>
      </w:r>
      <w:r w:rsidRPr="004862BE">
        <w:rPr>
          <w:rFonts w:ascii="Arial" w:hAnsi="Arial" w:cs="Arial"/>
          <w:color w:val="auto"/>
          <w:sz w:val="20"/>
          <w:szCs w:val="20"/>
        </w:rPr>
        <w:t>vzniknou na základě pravomocného rozhodnutí soudu či jiného orgánu.</w:t>
      </w:r>
    </w:p>
    <w:p w14:paraId="54D3A425" w14:textId="7777777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Žádná ze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mluvních stran není povinna nahradit škodu, která vznikla v důsledku věcně nesprávného nebo jinak chybného zadání, které obdržela od </w:t>
      </w:r>
      <w:r>
        <w:rPr>
          <w:rFonts w:ascii="Arial" w:hAnsi="Arial" w:cs="Arial"/>
          <w:color w:val="auto"/>
          <w:sz w:val="20"/>
          <w:szCs w:val="20"/>
        </w:rPr>
        <w:t>jiné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strany. V případě, že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bjednatel poskytl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chybné zadání a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s ohledem na svou povinnost </w:t>
      </w:r>
      <w:r>
        <w:rPr>
          <w:rFonts w:ascii="Arial" w:hAnsi="Arial" w:cs="Arial"/>
          <w:color w:val="auto"/>
          <w:sz w:val="20"/>
          <w:szCs w:val="20"/>
        </w:rPr>
        <w:t xml:space="preserve">realizovat dílo 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s odbornou péčí mohl a měl chybnost takového zadání zjistit, smí se ustanovení předchozí věty dovolávat pouze v případě, že na chybné zadání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bjednatele písemně upozornil a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>bjednatel trval na původním zadání.</w:t>
      </w:r>
    </w:p>
    <w:p w14:paraId="526A5DE0" w14:textId="6C5F4F0A" w:rsidR="00786D51" w:rsidRPr="006D70E3" w:rsidRDefault="00F45C02" w:rsidP="00786D51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>Smluvní strany se dohodly, že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v případě prodlení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s</w:t>
      </w:r>
      <w:r>
        <w:rPr>
          <w:rFonts w:ascii="Arial" w:hAnsi="Arial" w:cs="Arial"/>
          <w:color w:val="auto"/>
          <w:sz w:val="20"/>
          <w:szCs w:val="20"/>
        </w:rPr>
        <w:t xml:space="preserve"> předáním </w:t>
      </w:r>
      <w:r w:rsidR="00A46734">
        <w:rPr>
          <w:rFonts w:ascii="Arial" w:hAnsi="Arial" w:cs="Arial"/>
          <w:color w:val="auto"/>
          <w:sz w:val="20"/>
          <w:szCs w:val="20"/>
        </w:rPr>
        <w:t xml:space="preserve">jednotlivých dílčích částí díla, dle časového harmonogramu uvedeného v příloze </w:t>
      </w:r>
      <w:r w:rsidR="003B360E">
        <w:rPr>
          <w:rFonts w:ascii="Arial" w:hAnsi="Arial" w:cs="Arial"/>
          <w:color w:val="auto"/>
          <w:sz w:val="20"/>
          <w:szCs w:val="20"/>
        </w:rPr>
        <w:t>1</w:t>
      </w:r>
      <w:r w:rsidR="00A46734">
        <w:rPr>
          <w:rFonts w:ascii="Arial" w:hAnsi="Arial" w:cs="Arial"/>
          <w:color w:val="auto"/>
          <w:sz w:val="20"/>
          <w:szCs w:val="20"/>
        </w:rPr>
        <w:t>,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vzniká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bjednateli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nárok na smluvní pokutu ve výši </w:t>
      </w:r>
      <w:r w:rsidR="00B11F74">
        <w:rPr>
          <w:rFonts w:ascii="Arial" w:hAnsi="Arial" w:cs="Arial"/>
          <w:color w:val="auto"/>
          <w:sz w:val="20"/>
          <w:szCs w:val="20"/>
        </w:rPr>
        <w:t>5</w:t>
      </w:r>
      <w:r w:rsidRPr="00F45C02">
        <w:rPr>
          <w:rFonts w:ascii="Arial" w:hAnsi="Arial" w:cs="Arial"/>
          <w:color w:val="auto"/>
          <w:sz w:val="20"/>
          <w:szCs w:val="20"/>
        </w:rPr>
        <w:t>.000 Kč z</w:t>
      </w:r>
      <w:r>
        <w:rPr>
          <w:rFonts w:ascii="Arial" w:hAnsi="Arial" w:cs="Arial"/>
          <w:color w:val="auto"/>
          <w:sz w:val="20"/>
          <w:szCs w:val="20"/>
        </w:rPr>
        <w:t>a každý i započatý den prodlení</w:t>
      </w:r>
      <w:r w:rsidR="003975E2">
        <w:rPr>
          <w:rFonts w:ascii="Arial" w:hAnsi="Arial" w:cs="Arial"/>
          <w:color w:val="auto"/>
          <w:sz w:val="20"/>
          <w:szCs w:val="20"/>
        </w:rPr>
        <w:t xml:space="preserve"> s výhradou uvedenou v článku 4.5 této smlouvy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1D0618A" w14:textId="77777777" w:rsidR="00F45C02" w:rsidRPr="00F45C02" w:rsidRDefault="00F45C02" w:rsidP="00F45C02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F45C02">
        <w:rPr>
          <w:rFonts w:ascii="Arial" w:hAnsi="Arial" w:cs="Arial"/>
          <w:b/>
          <w:color w:val="auto"/>
          <w:sz w:val="20"/>
          <w:szCs w:val="22"/>
        </w:rPr>
        <w:t>Ostatní a závěrečná ustanovení</w:t>
      </w:r>
    </w:p>
    <w:p w14:paraId="123AE38C" w14:textId="77777777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se zavazují vzájemně spolupracovat a předávat si veškeré informace potřebné pro řádné plnění svých závazků. Smluvní strany jsou povinny informovat </w:t>
      </w:r>
      <w:r>
        <w:rPr>
          <w:rFonts w:ascii="Arial" w:hAnsi="Arial" w:cs="Arial"/>
          <w:color w:val="auto"/>
          <w:sz w:val="20"/>
          <w:szCs w:val="20"/>
        </w:rPr>
        <w:t>ostatní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 stran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o veškerých skutečnostech, které jsou nebo mohou být důležité pro řádné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mlouvy.</w:t>
      </w:r>
    </w:p>
    <w:p w14:paraId="7838215C" w14:textId="35A93C89" w:rsidR="00F45C02" w:rsidRP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Tato Smlouva nabývá platnosti dnem jejího podpisu oběma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1C64CCC5" w14:textId="3884175B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jsou oprávněny odstoupit jen z důvodů uvedených v této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mlouvě.</w:t>
      </w:r>
    </w:p>
    <w:p w14:paraId="62106F44" w14:textId="6418A1D8" w:rsidR="00F45C02" w:rsidRDefault="00F45C02" w:rsidP="006D70E3">
      <w:pPr>
        <w:pStyle w:val="Nadpis2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je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bez jakýchkoliv sankcí od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 oprávněn odstoupit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14:paraId="2B896B68" w14:textId="6EFBAED4" w:rsidR="00F45C02" w:rsidRDefault="00F45C02" w:rsidP="006D70E3">
      <w:pPr>
        <w:pStyle w:val="Nadpis2"/>
        <w:keepNext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pokud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bude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v prodlení s realizací </w:t>
      </w:r>
      <w:r>
        <w:rPr>
          <w:rFonts w:ascii="Arial" w:hAnsi="Arial" w:cs="Arial"/>
          <w:color w:val="auto"/>
          <w:sz w:val="20"/>
          <w:szCs w:val="20"/>
        </w:rPr>
        <w:t>díla p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o dobu delší než 15 pracovních dnů oproti termínu plnění stanovenému ve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mlouvě, pokud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nezjedná nápravu ani v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dodatečné přiměřené lhůtě, kterou mu k tomu </w:t>
      </w:r>
      <w:r>
        <w:rPr>
          <w:rFonts w:ascii="Arial" w:hAnsi="Arial" w:cs="Arial"/>
          <w:color w:val="auto"/>
          <w:sz w:val="20"/>
          <w:szCs w:val="20"/>
        </w:rPr>
        <w:t xml:space="preserve">objednatel </w:t>
      </w:r>
      <w:r w:rsidRPr="00F45C02">
        <w:rPr>
          <w:rFonts w:ascii="Arial" w:hAnsi="Arial" w:cs="Arial"/>
          <w:color w:val="auto"/>
          <w:sz w:val="20"/>
          <w:szCs w:val="20"/>
        </w:rPr>
        <w:t>poskytn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 písemné výzvě ke splnění povinnosti, přičemž tato lhůta nesmí být kratší než 10 pracovních</w:t>
      </w:r>
      <w:r>
        <w:rPr>
          <w:rFonts w:ascii="Arial" w:hAnsi="Arial" w:cs="Arial"/>
          <w:color w:val="auto"/>
          <w:sz w:val="20"/>
          <w:szCs w:val="20"/>
        </w:rPr>
        <w:t xml:space="preserve"> dnů od doručení takovéto výzvy;</w:t>
      </w:r>
    </w:p>
    <w:p w14:paraId="51EA373E" w14:textId="77777777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v případě porušení povinnosti ochrany důvěrných informací či osobních údajů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ze strany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>;</w:t>
      </w:r>
    </w:p>
    <w:p w14:paraId="215623C9" w14:textId="77777777" w:rsidR="00F45C02" w:rsidRP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>pokud bylo příslušným orgánem vydáno pravomocné rozhodnutí zakazující plnění této smlouvy;</w:t>
      </w:r>
    </w:p>
    <w:p w14:paraId="00A79CD5" w14:textId="486EF36D" w:rsidR="00F45C02" w:rsidRP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pokud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vstoupí do likvidace nebo je na jeho majetek prohlášen úpadek nebo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sám podá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>dlužnický návrh na zahájení insolvenčního řízení</w:t>
      </w:r>
      <w:r w:rsidR="00105AAA">
        <w:rPr>
          <w:rFonts w:ascii="Arial" w:hAnsi="Arial" w:cs="Arial"/>
          <w:color w:val="auto"/>
          <w:sz w:val="20"/>
          <w:szCs w:val="20"/>
        </w:rPr>
        <w:t>;</w:t>
      </w:r>
    </w:p>
    <w:p w14:paraId="39383D71" w14:textId="34D6FFA8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v případě přenechání/převodu/přechodu práv a povinností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na třetí osobu bez písemného souhlasu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bjednatel</w:t>
      </w:r>
      <w:r w:rsidR="00A76D1F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D99FC62" w14:textId="5E9FFF15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se dále dohodly, že odstoupení od </w:t>
      </w:r>
      <w:r w:rsidR="00105AAA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či jednotlivé prováděcí smlouvy musí být písemné a je účinné ode dne, kdy bylo doručeno druhé </w:t>
      </w:r>
      <w:r w:rsidR="00105AAA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 straně.</w:t>
      </w:r>
    </w:p>
    <w:p w14:paraId="577402DB" w14:textId="3B09B87F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Ukončením účinnosti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nejsou dotčena ustanovení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 týkající se licencí, povinnosti nahradit škodu a povinnosti hradit smluvní pokuty, ustanovení o ochraně informací a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osobních údajů, ani další ustanovení a nároky, z jejichž povahy vyplývá, že mají trvat i po zániku účinnosti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mlouvy.</w:t>
      </w:r>
    </w:p>
    <w:p w14:paraId="189E81CC" w14:textId="77777777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lastRenderedPageBreak/>
        <w:t xml:space="preserve">Právní vztahy vzniklé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mlouvou a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vyplývající či s ní související se řídí právním řádem České republiky. Práva a povinnosti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mlouvou výslovně neupravené se řídí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bčanským zákoníkem a příslušnými právními předpisy souvisejícími.</w:t>
      </w:r>
    </w:p>
    <w:p w14:paraId="13E63AB7" w14:textId="77777777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Tato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mlouva představuje úplnou dohodu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o předmětu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mlouvy. Tuto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mlouvu je možné měnit pouze písemnou dohodou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ve formě číslovaných dodatků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uzavřených v souladu s příslušnými ustanoveními ZZVZ a podepsaných osobami oprávněnými zastupovat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 strany, není-li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mlouvě výslovně uvedeno jinak.</w:t>
      </w:r>
    </w:p>
    <w:p w14:paraId="02673C86" w14:textId="6C415516" w:rsidR="00F45C02" w:rsidRPr="00870E8D" w:rsidRDefault="00F45C02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Smluvní strany se dohodly, že v souladu se zákonem č. 340/2015 Sb., o zvláštních podmínkách účinnosti některých smluv, uveřejňování těchto smluv a o registru smluv (zákon o registru smluv), tuto </w:t>
      </w:r>
      <w:r w:rsidR="00870E8D"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mlouvu v registru smluv uveřejní </w:t>
      </w:r>
      <w:r w:rsidR="00870E8D"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bjednatel. </w:t>
      </w:r>
      <w:r w:rsidR="00870E8D"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prohlašuje, že tato </w:t>
      </w:r>
      <w:r w:rsidR="00870E8D"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mlouva neobsahuje obchodní tajemství.</w:t>
      </w:r>
    </w:p>
    <w:p w14:paraId="4D89A371" w14:textId="7EF7C13E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Veškerá práva a povinnosti vyplývající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mlouvy přecházejí, pokud to povaha těchto práv a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povinností nevylučuje, na právní nástupce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mluvních stran.</w:t>
      </w:r>
    </w:p>
    <w:p w14:paraId="344FF9D3" w14:textId="15863B1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není oprávněn postoupit peněžité nároky vůči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na třetí osobu bez předchozího písemného souhlasu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>bjednatel</w:t>
      </w:r>
      <w:r w:rsidR="00A76D1F">
        <w:rPr>
          <w:rFonts w:ascii="Arial" w:hAnsi="Arial" w:cs="Arial"/>
          <w:color w:val="auto"/>
          <w:sz w:val="20"/>
          <w:szCs w:val="20"/>
        </w:rPr>
        <w:t>e</w:t>
      </w:r>
      <w:r w:rsidRPr="00870E8D">
        <w:rPr>
          <w:rFonts w:ascii="Arial" w:hAnsi="Arial" w:cs="Arial"/>
          <w:color w:val="auto"/>
          <w:sz w:val="20"/>
          <w:szCs w:val="20"/>
        </w:rPr>
        <w:t>.</w:t>
      </w:r>
    </w:p>
    <w:p w14:paraId="7B2FE0FA" w14:textId="56D743A2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není oprávněn uplatnit zadržovací právo ve smyslu § 1395 odst. 1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bčanského zákoníku, zejména vůči jakýmkoliv datům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105AAA">
        <w:rPr>
          <w:rFonts w:ascii="Arial" w:hAnsi="Arial" w:cs="Arial"/>
          <w:color w:val="auto"/>
          <w:sz w:val="20"/>
          <w:szCs w:val="20"/>
        </w:rPr>
        <w:t>e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či třetích osob získaným v souvislosti s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plněním této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14:paraId="76D6C20A" w14:textId="7777777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Na smluvní vztah založený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mlouvou se nepoužijí obchodní zvyklosti, pokud na ně tato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mlouva výslovně neodkazuje.</w:t>
      </w:r>
    </w:p>
    <w:p w14:paraId="27DEF724" w14:textId="7777777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>Nedílnou součást této smlouvy tvoří tyto přílohy:</w:t>
      </w:r>
    </w:p>
    <w:p w14:paraId="2FBBDD25" w14:textId="20E03D29" w:rsidR="00870E8D" w:rsidRPr="00870E8D" w:rsidRDefault="00870E8D" w:rsidP="00FF1862">
      <w:pPr>
        <w:spacing w:after="0"/>
        <w:ind w:firstLine="578"/>
        <w:rPr>
          <w:b/>
        </w:rPr>
      </w:pPr>
      <w:r w:rsidRPr="00870E8D">
        <w:rPr>
          <w:b/>
        </w:rPr>
        <w:t>Příloha č. 1</w:t>
      </w:r>
      <w:r w:rsidRPr="00870E8D">
        <w:rPr>
          <w:b/>
        </w:rPr>
        <w:tab/>
        <w:t>Specifikace plnění</w:t>
      </w:r>
      <w:r w:rsidR="00206BDD">
        <w:rPr>
          <w:b/>
        </w:rPr>
        <w:t xml:space="preserve"> vč. harmonogramu</w:t>
      </w:r>
    </w:p>
    <w:p w14:paraId="471747CF" w14:textId="76AA74B9" w:rsidR="008C6F32" w:rsidRDefault="00870E8D" w:rsidP="00FF1862">
      <w:pPr>
        <w:spacing w:after="0"/>
        <w:ind w:firstLine="578"/>
        <w:rPr>
          <w:b/>
        </w:rPr>
      </w:pPr>
      <w:r w:rsidRPr="00870E8D">
        <w:rPr>
          <w:b/>
        </w:rPr>
        <w:t>Příloha č. 2</w:t>
      </w:r>
      <w:r w:rsidRPr="00870E8D">
        <w:rPr>
          <w:b/>
        </w:rPr>
        <w:tab/>
      </w:r>
      <w:r w:rsidR="008C6F32">
        <w:rPr>
          <w:b/>
        </w:rPr>
        <w:t>Položkový rozpočet</w:t>
      </w:r>
    </w:p>
    <w:p w14:paraId="551FAFB4" w14:textId="41EB1BD1" w:rsidR="00870E8D" w:rsidRPr="00870E8D" w:rsidRDefault="008C6F32" w:rsidP="00FF1862">
      <w:pPr>
        <w:spacing w:after="0"/>
        <w:ind w:firstLine="578"/>
        <w:rPr>
          <w:b/>
        </w:rPr>
      </w:pPr>
      <w:r>
        <w:rPr>
          <w:b/>
        </w:rPr>
        <w:t>Příloha č. 3</w:t>
      </w:r>
      <w:r>
        <w:rPr>
          <w:b/>
        </w:rPr>
        <w:tab/>
      </w:r>
      <w:r w:rsidR="00870E8D" w:rsidRPr="00870E8D">
        <w:rPr>
          <w:b/>
        </w:rPr>
        <w:t xml:space="preserve">Nabídka zhotovitele ze dne </w:t>
      </w:r>
      <w:r w:rsidR="005137A6">
        <w:rPr>
          <w:b/>
        </w:rPr>
        <w:t>2.3.2021</w:t>
      </w:r>
    </w:p>
    <w:p w14:paraId="3BA46F5F" w14:textId="2D2E644F" w:rsidR="00F45C02" w:rsidRPr="00870E8D" w:rsidRDefault="00DD789C" w:rsidP="00870E8D">
      <w:pPr>
        <w:spacing w:before="7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9669F">
        <w:rPr>
          <w:rFonts w:ascii="Arial" w:hAnsi="Arial" w:cs="Arial"/>
          <w:sz w:val="20"/>
          <w:szCs w:val="20"/>
        </w:rPr>
        <w:t>smluvní partnery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  <w:t>Za zhotovitele</w:t>
      </w:r>
    </w:p>
    <w:p w14:paraId="2E516754" w14:textId="3E5E179C" w:rsidR="00870E8D" w:rsidRDefault="00870E8D" w:rsidP="00F45C02">
      <w:pPr>
        <w:rPr>
          <w:rFonts w:ascii="Arial" w:hAnsi="Arial" w:cs="Arial"/>
          <w:sz w:val="20"/>
          <w:szCs w:val="20"/>
        </w:rPr>
      </w:pPr>
    </w:p>
    <w:p w14:paraId="3ABC9656" w14:textId="77777777" w:rsidR="006D70E3" w:rsidRPr="00870E8D" w:rsidRDefault="006D70E3" w:rsidP="00F45C02">
      <w:pPr>
        <w:rPr>
          <w:rFonts w:ascii="Arial" w:hAnsi="Arial" w:cs="Arial"/>
          <w:sz w:val="20"/>
          <w:szCs w:val="20"/>
        </w:rPr>
      </w:pPr>
    </w:p>
    <w:p w14:paraId="03F5D6DD" w14:textId="674E2F20" w:rsidR="00870E8D" w:rsidRDefault="00870E8D" w:rsidP="00870E8D">
      <w:pPr>
        <w:rPr>
          <w:rFonts w:ascii="Arial" w:hAnsi="Arial" w:cs="Arial"/>
          <w:sz w:val="20"/>
          <w:szCs w:val="20"/>
        </w:rPr>
      </w:pPr>
      <w:r w:rsidRPr="00870E8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ab/>
      </w:r>
      <w:r w:rsidR="0029669F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0E8D">
        <w:rPr>
          <w:rFonts w:ascii="Arial" w:hAnsi="Arial" w:cs="Arial"/>
          <w:sz w:val="20"/>
          <w:szCs w:val="20"/>
        </w:rPr>
        <w:t>…………………</w:t>
      </w:r>
      <w:r w:rsidR="0029669F">
        <w:rPr>
          <w:rFonts w:ascii="Arial" w:hAnsi="Arial" w:cs="Arial"/>
          <w:sz w:val="20"/>
          <w:szCs w:val="20"/>
        </w:rPr>
        <w:t>………..</w:t>
      </w:r>
    </w:p>
    <w:p w14:paraId="6DD38648" w14:textId="15C4FF25" w:rsidR="00DD789C" w:rsidRDefault="00DD789C" w:rsidP="008E3F58">
      <w:pPr>
        <w:spacing w:after="0"/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37EC">
        <w:rPr>
          <w:rFonts w:ascii="Arial" w:hAnsi="Arial" w:cs="Arial"/>
          <w:sz w:val="20"/>
          <w:szCs w:val="20"/>
        </w:rPr>
        <w:t>Marian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37EC">
        <w:rPr>
          <w:rFonts w:ascii="Arial" w:hAnsi="Arial" w:cs="Arial"/>
          <w:sz w:val="20"/>
          <w:szCs w:val="20"/>
        </w:rPr>
        <w:t>Tomášik</w:t>
      </w:r>
      <w:proofErr w:type="spellEnd"/>
      <w:r>
        <w:rPr>
          <w:rFonts w:ascii="Arial" w:hAnsi="Arial" w:cs="Arial"/>
          <w:sz w:val="20"/>
          <w:szCs w:val="20"/>
        </w:rPr>
        <w:t>, MBA</w:t>
      </w:r>
      <w:r w:rsidR="008E3F58">
        <w:rPr>
          <w:rFonts w:ascii="Arial" w:hAnsi="Arial" w:cs="Arial"/>
          <w:sz w:val="20"/>
          <w:szCs w:val="20"/>
        </w:rPr>
        <w:tab/>
      </w:r>
      <w:r w:rsidR="006D70E3" w:rsidRPr="006D70E3">
        <w:rPr>
          <w:rFonts w:ascii="Arial" w:hAnsi="Arial" w:cs="Arial"/>
          <w:sz w:val="20"/>
          <w:szCs w:val="20"/>
        </w:rPr>
        <w:t>Ing. Svatopluk Beneš, MBA</w:t>
      </w:r>
    </w:p>
    <w:p w14:paraId="7A7F40D3" w14:textId="3A3CA07B" w:rsidR="0029669F" w:rsidRDefault="0029669F" w:rsidP="00FF1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ZHKHK a.s.</w:t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  <w:t>TESCO SW a.s.</w:t>
      </w:r>
    </w:p>
    <w:p w14:paraId="16C2171C" w14:textId="094D5C40" w:rsidR="00B03A0F" w:rsidRDefault="008C6F32" w:rsidP="00FF1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</w:t>
      </w:r>
      <w:r w:rsidR="004637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představenstva</w:t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8E3F58">
        <w:rPr>
          <w:rFonts w:ascii="Arial" w:hAnsi="Arial" w:cs="Arial"/>
          <w:sz w:val="20"/>
          <w:szCs w:val="20"/>
        </w:rPr>
        <w:tab/>
      </w:r>
      <w:r w:rsidR="006D70E3" w:rsidRPr="006D70E3">
        <w:rPr>
          <w:rFonts w:ascii="Arial" w:hAnsi="Arial" w:cs="Arial"/>
          <w:sz w:val="20"/>
          <w:szCs w:val="20"/>
        </w:rPr>
        <w:t>generální ředitel</w:t>
      </w:r>
    </w:p>
    <w:p w14:paraId="7EB2C201" w14:textId="1C6CC522" w:rsidR="0029669F" w:rsidRDefault="0029669F" w:rsidP="00FF1862">
      <w:pPr>
        <w:spacing w:after="0"/>
        <w:rPr>
          <w:rFonts w:ascii="Arial" w:hAnsi="Arial" w:cs="Arial"/>
          <w:sz w:val="20"/>
          <w:szCs w:val="20"/>
        </w:rPr>
      </w:pPr>
    </w:p>
    <w:p w14:paraId="46A2BB16" w14:textId="77777777" w:rsidR="00B03A0F" w:rsidRDefault="00B03A0F" w:rsidP="00F45C02">
      <w:pPr>
        <w:rPr>
          <w:rFonts w:ascii="Arial" w:hAnsi="Arial" w:cs="Arial"/>
          <w:sz w:val="20"/>
          <w:szCs w:val="20"/>
        </w:rPr>
      </w:pPr>
    </w:p>
    <w:p w14:paraId="4266A2D5" w14:textId="40A90FD6" w:rsidR="00FF1862" w:rsidRDefault="00FF1862" w:rsidP="00F45C02">
      <w:pPr>
        <w:rPr>
          <w:rFonts w:ascii="Arial" w:hAnsi="Arial" w:cs="Arial"/>
          <w:sz w:val="20"/>
          <w:szCs w:val="20"/>
        </w:rPr>
      </w:pPr>
    </w:p>
    <w:p w14:paraId="30D14DA6" w14:textId="689CA907" w:rsidR="0029669F" w:rsidRDefault="0029669F" w:rsidP="00F45C02">
      <w:pPr>
        <w:rPr>
          <w:rFonts w:ascii="Arial" w:hAnsi="Arial" w:cs="Arial"/>
          <w:sz w:val="20"/>
          <w:szCs w:val="20"/>
        </w:rPr>
      </w:pPr>
    </w:p>
    <w:p w14:paraId="5A941FB8" w14:textId="760DBE89" w:rsidR="00C062B6" w:rsidRDefault="00C062B6" w:rsidP="00F45C02">
      <w:pPr>
        <w:rPr>
          <w:rFonts w:ascii="Arial" w:hAnsi="Arial" w:cs="Arial"/>
          <w:sz w:val="20"/>
          <w:szCs w:val="20"/>
        </w:rPr>
      </w:pPr>
    </w:p>
    <w:p w14:paraId="0853819D" w14:textId="77777777" w:rsidR="001368C3" w:rsidRDefault="001368C3" w:rsidP="00F45C02">
      <w:pPr>
        <w:rPr>
          <w:rFonts w:ascii="Arial" w:hAnsi="Arial" w:cs="Arial"/>
          <w:sz w:val="20"/>
          <w:szCs w:val="20"/>
        </w:rPr>
      </w:pPr>
    </w:p>
    <w:p w14:paraId="70199D6C" w14:textId="77777777" w:rsidR="006D70E3" w:rsidRDefault="006D70E3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BDDBEF" w14:textId="0AC2D95E" w:rsidR="00FF1862" w:rsidRDefault="00FF186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 Specifikace plnění vč. harmonogramu</w:t>
      </w:r>
    </w:p>
    <w:p w14:paraId="6055AED3" w14:textId="3CFD7C6E" w:rsidR="00C062B6" w:rsidRPr="00EE3E5D" w:rsidRDefault="00C062B6" w:rsidP="00C062B6">
      <w:pPr>
        <w:spacing w:after="240"/>
        <w:rPr>
          <w:b/>
          <w:sz w:val="24"/>
        </w:rPr>
      </w:pPr>
      <w:bookmarkStart w:id="2" w:name="_Toc27573196"/>
      <w:r w:rsidRPr="00EE3E5D">
        <w:rPr>
          <w:b/>
          <w:sz w:val="24"/>
        </w:rPr>
        <w:t>Požadavky na součinnost Tesco</w:t>
      </w:r>
      <w:r w:rsidR="00EE3E5D" w:rsidRPr="00EE3E5D">
        <w:rPr>
          <w:b/>
          <w:sz w:val="24"/>
        </w:rPr>
        <w:t xml:space="preserve"> </w:t>
      </w:r>
      <w:r w:rsidRPr="00EE3E5D">
        <w:rPr>
          <w:b/>
          <w:sz w:val="24"/>
        </w:rPr>
        <w:t>SW pro integraci NIS s FAMA+ (pro přípravu řešení, pro implementaci a ověření řešení a pro provoz řešení)</w:t>
      </w:r>
    </w:p>
    <w:p w14:paraId="5220AFFD" w14:textId="639B604D" w:rsidR="00C062B6" w:rsidRPr="00EE3E5D" w:rsidRDefault="00C062B6" w:rsidP="00EE3E5D">
      <w:pPr>
        <w:pStyle w:val="Nadpis2"/>
        <w:numPr>
          <w:ilvl w:val="0"/>
          <w:numId w:val="0"/>
        </w:numPr>
        <w:spacing w:before="0" w:after="240"/>
        <w:ind w:left="576" w:hanging="576"/>
        <w:rPr>
          <w:b/>
          <w:color w:val="auto"/>
          <w:sz w:val="24"/>
        </w:rPr>
      </w:pPr>
      <w:r w:rsidRPr="00EE3E5D">
        <w:rPr>
          <w:b/>
          <w:color w:val="auto"/>
          <w:sz w:val="24"/>
        </w:rPr>
        <w:t>Termíny součinnosti Tesco</w:t>
      </w:r>
      <w:r w:rsidR="00EE3E5D" w:rsidRPr="00EE3E5D">
        <w:rPr>
          <w:b/>
          <w:color w:val="auto"/>
          <w:sz w:val="24"/>
        </w:rPr>
        <w:t xml:space="preserve"> </w:t>
      </w:r>
      <w:r w:rsidRPr="00EE3E5D">
        <w:rPr>
          <w:b/>
          <w:color w:val="auto"/>
          <w:sz w:val="24"/>
        </w:rPr>
        <w:t>SW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276"/>
        <w:gridCol w:w="1413"/>
      </w:tblGrid>
      <w:tr w:rsidR="00C062B6" w14:paraId="6BE25582" w14:textId="77777777" w:rsidTr="004524B9">
        <w:tc>
          <w:tcPr>
            <w:tcW w:w="4248" w:type="dxa"/>
          </w:tcPr>
          <w:p w14:paraId="4B0C66DC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</w:t>
            </w:r>
          </w:p>
        </w:tc>
        <w:tc>
          <w:tcPr>
            <w:tcW w:w="1276" w:type="dxa"/>
          </w:tcPr>
          <w:p w14:paraId="35D2D99E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Jičín</w:t>
            </w:r>
          </w:p>
        </w:tc>
        <w:tc>
          <w:tcPr>
            <w:tcW w:w="1417" w:type="dxa"/>
          </w:tcPr>
          <w:p w14:paraId="74F3581D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276" w:type="dxa"/>
          </w:tcPr>
          <w:p w14:paraId="368848F2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  <w:tc>
          <w:tcPr>
            <w:tcW w:w="1413" w:type="dxa"/>
          </w:tcPr>
          <w:p w14:paraId="256341DC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</w:t>
            </w:r>
          </w:p>
        </w:tc>
      </w:tr>
      <w:tr w:rsidR="00C062B6" w14:paraId="5FC8838C" w14:textId="77777777" w:rsidTr="004524B9">
        <w:tc>
          <w:tcPr>
            <w:tcW w:w="4248" w:type="dxa"/>
          </w:tcPr>
          <w:p w14:paraId="64F74C18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 w:rsidRPr="002550CE">
              <w:rPr>
                <w:sz w:val="20"/>
                <w:szCs w:val="20"/>
              </w:rPr>
              <w:t xml:space="preserve">Poskytnutí požadovaného integračního rozhraní </w:t>
            </w:r>
            <w:r>
              <w:rPr>
                <w:sz w:val="20"/>
                <w:szCs w:val="20"/>
              </w:rPr>
              <w:t xml:space="preserve">FAMA+: </w:t>
            </w:r>
          </w:p>
          <w:p w14:paraId="7E2F15E6" w14:textId="77777777" w:rsidR="00C062B6" w:rsidRPr="00DA3BA9" w:rsidRDefault="00C062B6" w:rsidP="00C062B6">
            <w:pPr>
              <w:pStyle w:val="Seznamsodrkami2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DA3BA9">
              <w:rPr>
                <w:sz w:val="20"/>
                <w:szCs w:val="20"/>
              </w:rPr>
              <w:t>WSDL pro jednotlivé WS</w:t>
            </w:r>
          </w:p>
          <w:p w14:paraId="6F6808F2" w14:textId="77777777" w:rsidR="00C062B6" w:rsidRPr="00DA3BA9" w:rsidRDefault="00C062B6" w:rsidP="00C062B6">
            <w:pPr>
              <w:pStyle w:val="Seznamsodrkami2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DA3BA9">
              <w:rPr>
                <w:sz w:val="20"/>
                <w:szCs w:val="20"/>
              </w:rPr>
              <w:t>Popis struktury XML souborů pro předání informací o přístroji a předání informací o použití přístroje</w:t>
            </w:r>
          </w:p>
        </w:tc>
        <w:tc>
          <w:tcPr>
            <w:tcW w:w="1276" w:type="dxa"/>
          </w:tcPr>
          <w:p w14:paraId="052C1771" w14:textId="1921225C" w:rsidR="00C062B6" w:rsidRDefault="00A0424F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</w:p>
        </w:tc>
        <w:tc>
          <w:tcPr>
            <w:tcW w:w="1417" w:type="dxa"/>
          </w:tcPr>
          <w:p w14:paraId="078BF058" w14:textId="272FED74" w:rsidR="00C062B6" w:rsidRDefault="00A0424F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</w:p>
        </w:tc>
        <w:tc>
          <w:tcPr>
            <w:tcW w:w="1276" w:type="dxa"/>
          </w:tcPr>
          <w:p w14:paraId="1E900C7B" w14:textId="74B5404C" w:rsidR="00C062B6" w:rsidRDefault="00A0424F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</w:p>
        </w:tc>
        <w:tc>
          <w:tcPr>
            <w:tcW w:w="1413" w:type="dxa"/>
          </w:tcPr>
          <w:p w14:paraId="173B7A1E" w14:textId="6870968C" w:rsidR="00C062B6" w:rsidRDefault="00A0424F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</w:p>
        </w:tc>
      </w:tr>
      <w:tr w:rsidR="00C062B6" w14:paraId="5C381DD0" w14:textId="77777777" w:rsidTr="004524B9">
        <w:tc>
          <w:tcPr>
            <w:tcW w:w="4248" w:type="dxa"/>
          </w:tcPr>
          <w:p w14:paraId="2A6B89F9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a odladění integrace v úzké součinnosti s dodavatelem NIS (poskytnutí konzultací, I</w:t>
            </w:r>
            <w:r w:rsidRPr="00DA3BA9">
              <w:rPr>
                <w:sz w:val="20"/>
                <w:szCs w:val="20"/>
              </w:rPr>
              <w:t>mplementace potřebných integračních úprav na straně FAMA+</w:t>
            </w:r>
            <w:r>
              <w:rPr>
                <w:sz w:val="20"/>
                <w:szCs w:val="20"/>
              </w:rPr>
              <w:t xml:space="preserve">, případné opravy chyb atd.) v testovacích prostředích dodavatelů IS. </w:t>
            </w:r>
          </w:p>
        </w:tc>
        <w:tc>
          <w:tcPr>
            <w:tcW w:w="1276" w:type="dxa"/>
          </w:tcPr>
          <w:p w14:paraId="7A98CF73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 - 14.5.2021</w:t>
            </w:r>
          </w:p>
        </w:tc>
        <w:tc>
          <w:tcPr>
            <w:tcW w:w="1417" w:type="dxa"/>
          </w:tcPr>
          <w:p w14:paraId="535B5F3E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 - 14.5.2021</w:t>
            </w:r>
          </w:p>
        </w:tc>
        <w:tc>
          <w:tcPr>
            <w:tcW w:w="1276" w:type="dxa"/>
          </w:tcPr>
          <w:p w14:paraId="7361C016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 - 14.5.2021</w:t>
            </w:r>
          </w:p>
        </w:tc>
        <w:tc>
          <w:tcPr>
            <w:tcW w:w="1413" w:type="dxa"/>
          </w:tcPr>
          <w:p w14:paraId="081301C8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 - 14.5.2021</w:t>
            </w:r>
          </w:p>
        </w:tc>
      </w:tr>
      <w:tr w:rsidR="00C062B6" w14:paraId="2F53714B" w14:textId="77777777" w:rsidTr="004524B9">
        <w:trPr>
          <w:trHeight w:val="855"/>
        </w:trPr>
        <w:tc>
          <w:tcPr>
            <w:tcW w:w="4248" w:type="dxa"/>
          </w:tcPr>
          <w:p w14:paraId="6FDC8B54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a odladění integrace v testovacím prostředí Objednatele.</w:t>
            </w:r>
          </w:p>
        </w:tc>
        <w:tc>
          <w:tcPr>
            <w:tcW w:w="1276" w:type="dxa"/>
          </w:tcPr>
          <w:p w14:paraId="7AD9FC64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17.5.2021 – 28.5.2021</w:t>
            </w:r>
          </w:p>
        </w:tc>
        <w:tc>
          <w:tcPr>
            <w:tcW w:w="1417" w:type="dxa"/>
          </w:tcPr>
          <w:p w14:paraId="17B4714E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14.7.2021 – 21.7.2021</w:t>
            </w:r>
          </w:p>
        </w:tc>
        <w:tc>
          <w:tcPr>
            <w:tcW w:w="1276" w:type="dxa"/>
          </w:tcPr>
          <w:p w14:paraId="006B8340" w14:textId="1CCFA2EA" w:rsidR="00C062B6" w:rsidRPr="006A09A8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23.8.2021 – 31.8.202</w:t>
            </w:r>
            <w:r w:rsidR="00F15080">
              <w:rPr>
                <w:color w:val="000000" w:themeColor="text1"/>
                <w:sz w:val="20"/>
                <w:szCs w:val="20"/>
              </w:rPr>
              <w:t>1</w:t>
            </w:r>
            <w:r w:rsidRPr="006A09A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14:paraId="3796CD6C" w14:textId="77777777" w:rsidR="00C062B6" w:rsidRPr="00EA5066" w:rsidRDefault="00C062B6" w:rsidP="004524B9">
            <w:pPr>
              <w:spacing w:after="240"/>
              <w:rPr>
                <w:color w:val="FF0000"/>
                <w:sz w:val="20"/>
                <w:szCs w:val="20"/>
              </w:rPr>
            </w:pPr>
            <w:r w:rsidRPr="00D87B7E">
              <w:rPr>
                <w:color w:val="000000" w:themeColor="text1"/>
                <w:sz w:val="20"/>
                <w:szCs w:val="20"/>
              </w:rPr>
              <w:t>15.11.2021 – 24.11.2021</w:t>
            </w:r>
          </w:p>
        </w:tc>
      </w:tr>
      <w:tr w:rsidR="00C062B6" w14:paraId="6F7F062F" w14:textId="77777777" w:rsidTr="004524B9">
        <w:tc>
          <w:tcPr>
            <w:tcW w:w="4248" w:type="dxa"/>
          </w:tcPr>
          <w:p w14:paraId="2F2E0D02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Součinnost při testování integrací (účast na integračních testech, případné opravy chyb atd.)</w:t>
            </w:r>
          </w:p>
        </w:tc>
        <w:tc>
          <w:tcPr>
            <w:tcW w:w="1276" w:type="dxa"/>
          </w:tcPr>
          <w:p w14:paraId="14B5D980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31.5.2021 -4.6.2021</w:t>
            </w:r>
          </w:p>
        </w:tc>
        <w:tc>
          <w:tcPr>
            <w:tcW w:w="1417" w:type="dxa"/>
          </w:tcPr>
          <w:p w14:paraId="1F65B9D3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22.7.2021 – 28.7.2021</w:t>
            </w:r>
          </w:p>
        </w:tc>
        <w:tc>
          <w:tcPr>
            <w:tcW w:w="1276" w:type="dxa"/>
          </w:tcPr>
          <w:p w14:paraId="1C96A195" w14:textId="77777777" w:rsidR="00C062B6" w:rsidRPr="006A09A8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1.9.2021 – 10.9.2021</w:t>
            </w:r>
          </w:p>
        </w:tc>
        <w:tc>
          <w:tcPr>
            <w:tcW w:w="1413" w:type="dxa"/>
          </w:tcPr>
          <w:p w14:paraId="59C18102" w14:textId="77777777" w:rsidR="00C062B6" w:rsidRPr="00431F7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431F76">
              <w:rPr>
                <w:color w:val="000000" w:themeColor="text1"/>
                <w:sz w:val="20"/>
                <w:szCs w:val="20"/>
              </w:rPr>
              <w:t>29.11.2021 – 3.12.2021</w:t>
            </w:r>
          </w:p>
        </w:tc>
      </w:tr>
      <w:tr w:rsidR="00C062B6" w14:paraId="06389E63" w14:textId="77777777" w:rsidTr="004524B9">
        <w:tc>
          <w:tcPr>
            <w:tcW w:w="4248" w:type="dxa"/>
          </w:tcPr>
          <w:p w14:paraId="771D3ED1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integračních testů</w:t>
            </w:r>
          </w:p>
        </w:tc>
        <w:tc>
          <w:tcPr>
            <w:tcW w:w="1276" w:type="dxa"/>
          </w:tcPr>
          <w:p w14:paraId="37FFE0F8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 – 11.6.2021</w:t>
            </w:r>
          </w:p>
        </w:tc>
        <w:tc>
          <w:tcPr>
            <w:tcW w:w="1417" w:type="dxa"/>
          </w:tcPr>
          <w:p w14:paraId="6E666C79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29.7.2021 – 4.8.2021</w:t>
            </w:r>
          </w:p>
        </w:tc>
        <w:tc>
          <w:tcPr>
            <w:tcW w:w="1276" w:type="dxa"/>
          </w:tcPr>
          <w:p w14:paraId="6A5C4AC0" w14:textId="77777777" w:rsidR="00C062B6" w:rsidRPr="006A09A8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13.9.2021 - 17.9.2021</w:t>
            </w:r>
          </w:p>
        </w:tc>
        <w:tc>
          <w:tcPr>
            <w:tcW w:w="1413" w:type="dxa"/>
          </w:tcPr>
          <w:p w14:paraId="71AC9E0F" w14:textId="77777777" w:rsidR="00C062B6" w:rsidRPr="00431F7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431F76">
              <w:rPr>
                <w:color w:val="000000" w:themeColor="text1"/>
                <w:sz w:val="20"/>
                <w:szCs w:val="20"/>
              </w:rPr>
              <w:t>6.12.2021 – 15.12.2021</w:t>
            </w:r>
          </w:p>
        </w:tc>
      </w:tr>
      <w:tr w:rsidR="00C062B6" w14:paraId="5FA59C62" w14:textId="77777777" w:rsidTr="004524B9">
        <w:tc>
          <w:tcPr>
            <w:tcW w:w="4248" w:type="dxa"/>
          </w:tcPr>
          <w:p w14:paraId="4520F609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1.etapy zkušebního provozu (poskytování konzultací, reakce na připomínky, odstraňování </w:t>
            </w:r>
            <w:proofErr w:type="spellStart"/>
            <w:r>
              <w:rPr>
                <w:sz w:val="20"/>
                <w:szCs w:val="20"/>
              </w:rPr>
              <w:t>příp.chyb</w:t>
            </w:r>
            <w:proofErr w:type="spellEnd"/>
            <w:r>
              <w:rPr>
                <w:sz w:val="20"/>
                <w:szCs w:val="20"/>
              </w:rPr>
              <w:t>) v testovacím prostředí Objednatele</w:t>
            </w:r>
          </w:p>
        </w:tc>
        <w:tc>
          <w:tcPr>
            <w:tcW w:w="1276" w:type="dxa"/>
          </w:tcPr>
          <w:p w14:paraId="1C8B8858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14.6.2021 – 20.7.2021</w:t>
            </w:r>
          </w:p>
        </w:tc>
        <w:tc>
          <w:tcPr>
            <w:tcW w:w="1417" w:type="dxa"/>
          </w:tcPr>
          <w:p w14:paraId="2FFA5FFA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5.8.2021 – 22.9.2021</w:t>
            </w:r>
          </w:p>
        </w:tc>
        <w:tc>
          <w:tcPr>
            <w:tcW w:w="1276" w:type="dxa"/>
          </w:tcPr>
          <w:p w14:paraId="3340C2A7" w14:textId="77777777" w:rsidR="00C062B6" w:rsidRPr="00EA5066" w:rsidRDefault="00C062B6" w:rsidP="004524B9">
            <w:pPr>
              <w:spacing w:after="240"/>
              <w:rPr>
                <w:color w:val="FF0000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24.9.2021 – 15.11.2021</w:t>
            </w:r>
          </w:p>
        </w:tc>
        <w:tc>
          <w:tcPr>
            <w:tcW w:w="1413" w:type="dxa"/>
          </w:tcPr>
          <w:p w14:paraId="5678496C" w14:textId="77777777" w:rsidR="00C062B6" w:rsidRPr="00EA5066" w:rsidRDefault="00C062B6" w:rsidP="004524B9">
            <w:pPr>
              <w:spacing w:after="240"/>
              <w:rPr>
                <w:color w:val="FF0000"/>
                <w:sz w:val="20"/>
                <w:szCs w:val="20"/>
              </w:rPr>
            </w:pPr>
            <w:r w:rsidRPr="00D27F92">
              <w:rPr>
                <w:color w:val="000000" w:themeColor="text1"/>
                <w:sz w:val="20"/>
                <w:szCs w:val="20"/>
              </w:rPr>
              <w:t>3.1.2022 – 18.2.2022</w:t>
            </w:r>
          </w:p>
        </w:tc>
      </w:tr>
      <w:tr w:rsidR="00C062B6" w14:paraId="4ECD7558" w14:textId="77777777" w:rsidTr="004524B9">
        <w:tc>
          <w:tcPr>
            <w:tcW w:w="4248" w:type="dxa"/>
          </w:tcPr>
          <w:p w14:paraId="6F6D47DF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1.etapy zkušebního provozu</w:t>
            </w:r>
          </w:p>
        </w:tc>
        <w:tc>
          <w:tcPr>
            <w:tcW w:w="1276" w:type="dxa"/>
          </w:tcPr>
          <w:p w14:paraId="4E6B21E8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6.8.2021</w:t>
            </w:r>
          </w:p>
        </w:tc>
        <w:tc>
          <w:tcPr>
            <w:tcW w:w="1417" w:type="dxa"/>
          </w:tcPr>
          <w:p w14:paraId="7F00B0B2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21.10.2021</w:t>
            </w:r>
          </w:p>
        </w:tc>
        <w:tc>
          <w:tcPr>
            <w:tcW w:w="1276" w:type="dxa"/>
          </w:tcPr>
          <w:p w14:paraId="5887A0B0" w14:textId="77777777" w:rsidR="00C062B6" w:rsidRPr="006A09A8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2.12.2021</w:t>
            </w:r>
          </w:p>
        </w:tc>
        <w:tc>
          <w:tcPr>
            <w:tcW w:w="1413" w:type="dxa"/>
          </w:tcPr>
          <w:p w14:paraId="662C5BDF" w14:textId="77777777" w:rsidR="00C062B6" w:rsidRPr="00F33157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11.3.2022</w:t>
            </w:r>
          </w:p>
        </w:tc>
      </w:tr>
      <w:tr w:rsidR="00C062B6" w14:paraId="637EDDA6" w14:textId="77777777" w:rsidTr="004524B9">
        <w:tc>
          <w:tcPr>
            <w:tcW w:w="4248" w:type="dxa"/>
          </w:tcPr>
          <w:p w14:paraId="3B1B8A0F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Instalace a odladění integrace v produkčním prostředí Objednatele </w:t>
            </w:r>
          </w:p>
        </w:tc>
        <w:tc>
          <w:tcPr>
            <w:tcW w:w="1276" w:type="dxa"/>
          </w:tcPr>
          <w:p w14:paraId="2A8C3A2A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9.8.2021 – 19.8.2021</w:t>
            </w:r>
          </w:p>
        </w:tc>
        <w:tc>
          <w:tcPr>
            <w:tcW w:w="1417" w:type="dxa"/>
          </w:tcPr>
          <w:p w14:paraId="60A0397E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22.10.2021 – 26.10.2021</w:t>
            </w:r>
          </w:p>
        </w:tc>
        <w:tc>
          <w:tcPr>
            <w:tcW w:w="1276" w:type="dxa"/>
          </w:tcPr>
          <w:p w14:paraId="7DCA879D" w14:textId="77777777" w:rsidR="00C062B6" w:rsidRPr="006A09A8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6.12.2021 – 10.12.2021</w:t>
            </w:r>
          </w:p>
        </w:tc>
        <w:tc>
          <w:tcPr>
            <w:tcW w:w="1413" w:type="dxa"/>
          </w:tcPr>
          <w:p w14:paraId="5DC18101" w14:textId="77777777" w:rsidR="00C062B6" w:rsidRPr="00F33157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14.3.2022 – 18.3.2022</w:t>
            </w:r>
          </w:p>
        </w:tc>
      </w:tr>
      <w:tr w:rsidR="00C062B6" w14:paraId="35716340" w14:textId="77777777" w:rsidTr="004524B9">
        <w:tc>
          <w:tcPr>
            <w:tcW w:w="4248" w:type="dxa"/>
          </w:tcPr>
          <w:p w14:paraId="150A24CA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2.etapy zkušebního provozu (poskytování konzultací, reakce na připomínky, odstraňování </w:t>
            </w:r>
            <w:proofErr w:type="spellStart"/>
            <w:r>
              <w:rPr>
                <w:sz w:val="20"/>
                <w:szCs w:val="20"/>
              </w:rPr>
              <w:t>příp.chyb</w:t>
            </w:r>
            <w:proofErr w:type="spellEnd"/>
            <w:r>
              <w:rPr>
                <w:sz w:val="20"/>
                <w:szCs w:val="20"/>
              </w:rPr>
              <w:t xml:space="preserve">) v produkčním prostředí Objednatele </w:t>
            </w:r>
          </w:p>
        </w:tc>
        <w:tc>
          <w:tcPr>
            <w:tcW w:w="1276" w:type="dxa"/>
          </w:tcPr>
          <w:p w14:paraId="41321A0C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24.8.2021 – 1.11.2021</w:t>
            </w:r>
          </w:p>
        </w:tc>
        <w:tc>
          <w:tcPr>
            <w:tcW w:w="1417" w:type="dxa"/>
          </w:tcPr>
          <w:p w14:paraId="3A1E0ED5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27.10.2021 – 4.1.2022</w:t>
            </w:r>
          </w:p>
        </w:tc>
        <w:tc>
          <w:tcPr>
            <w:tcW w:w="1276" w:type="dxa"/>
          </w:tcPr>
          <w:p w14:paraId="2E2BDE5E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15.12.2021 – 18.2.2022</w:t>
            </w:r>
          </w:p>
        </w:tc>
        <w:tc>
          <w:tcPr>
            <w:tcW w:w="1413" w:type="dxa"/>
          </w:tcPr>
          <w:p w14:paraId="63FE7F95" w14:textId="77777777" w:rsidR="00C062B6" w:rsidRPr="00F33157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24.3.2022 – 27.5.2022</w:t>
            </w:r>
          </w:p>
        </w:tc>
      </w:tr>
      <w:tr w:rsidR="00C062B6" w14:paraId="764C9626" w14:textId="77777777" w:rsidTr="004524B9">
        <w:tc>
          <w:tcPr>
            <w:tcW w:w="4248" w:type="dxa"/>
          </w:tcPr>
          <w:p w14:paraId="59F96C35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2.etapy zkušebního provozu</w:t>
            </w:r>
          </w:p>
        </w:tc>
        <w:tc>
          <w:tcPr>
            <w:tcW w:w="1276" w:type="dxa"/>
          </w:tcPr>
          <w:p w14:paraId="50B924EA" w14:textId="77777777" w:rsidR="00C062B6" w:rsidRDefault="00C062B6" w:rsidP="004524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1.11.2021 – 30.11.2021</w:t>
            </w:r>
          </w:p>
        </w:tc>
        <w:tc>
          <w:tcPr>
            <w:tcW w:w="1417" w:type="dxa"/>
          </w:tcPr>
          <w:p w14:paraId="69CA01EB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 xml:space="preserve">5.1.2022 – 4.2.2022 </w:t>
            </w:r>
          </w:p>
        </w:tc>
        <w:tc>
          <w:tcPr>
            <w:tcW w:w="1276" w:type="dxa"/>
          </w:tcPr>
          <w:p w14:paraId="05B87735" w14:textId="77777777" w:rsidR="00C062B6" w:rsidRPr="00E41D26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21.2.2022 - 18.3.2022</w:t>
            </w:r>
          </w:p>
        </w:tc>
        <w:tc>
          <w:tcPr>
            <w:tcW w:w="1413" w:type="dxa"/>
          </w:tcPr>
          <w:p w14:paraId="10C1CFC6" w14:textId="77777777" w:rsidR="00C062B6" w:rsidRPr="00F33157" w:rsidRDefault="00C062B6" w:rsidP="004524B9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30.5.2022 – 24.6.2020</w:t>
            </w:r>
          </w:p>
        </w:tc>
      </w:tr>
      <w:bookmarkEnd w:id="2"/>
    </w:tbl>
    <w:p w14:paraId="73292AFC" w14:textId="77777777" w:rsidR="00C062B6" w:rsidRDefault="00C062B6" w:rsidP="00C062B6">
      <w:pPr>
        <w:spacing w:after="240"/>
        <w:rPr>
          <w:sz w:val="20"/>
          <w:szCs w:val="20"/>
        </w:rPr>
      </w:pPr>
    </w:p>
    <w:p w14:paraId="0D62F711" w14:textId="7A97D7AA" w:rsidR="00C062B6" w:rsidRPr="00EE3E5D" w:rsidRDefault="00242EDF" w:rsidP="00EE3E5D">
      <w:pPr>
        <w:pStyle w:val="Nadpis2"/>
        <w:numPr>
          <w:ilvl w:val="0"/>
          <w:numId w:val="0"/>
        </w:numPr>
        <w:ind w:left="576" w:hanging="576"/>
        <w:rPr>
          <w:color w:val="auto"/>
        </w:rPr>
      </w:pPr>
      <w:bookmarkStart w:id="3" w:name="_Toc40372240"/>
      <w:r w:rsidRPr="00EE3E5D">
        <w:rPr>
          <w:color w:val="auto"/>
        </w:rPr>
        <w:t>S</w:t>
      </w:r>
      <w:r w:rsidR="00C062B6" w:rsidRPr="00EE3E5D">
        <w:rPr>
          <w:color w:val="auto"/>
        </w:rPr>
        <w:t>práva přístrojů FAMA Tesco</w:t>
      </w:r>
      <w:bookmarkEnd w:id="3"/>
      <w:r w:rsidR="00C062B6" w:rsidRPr="00EE3E5D">
        <w:rPr>
          <w:color w:val="auto"/>
        </w:rPr>
        <w:t xml:space="preserve"> </w:t>
      </w:r>
    </w:p>
    <w:p w14:paraId="28AD01D9" w14:textId="77777777" w:rsidR="00C062B6" w:rsidRDefault="00C062B6" w:rsidP="00C062B6">
      <w:r>
        <w:t>Tato integrace má umožnit přiřazování přístrojů evidovaných v rámci sw FaMa+ od společnosti TESCOSW, bez nutnosti ruční duplicitní evidence v různých systémech (AMIS*HD; FaMa+). Vlastní evidence použití přístroje pro pacienta probíhá prostřednictvím mobilního terminálu (čtečky) v následujících krocích:</w:t>
      </w:r>
    </w:p>
    <w:p w14:paraId="102C9DEE" w14:textId="77777777" w:rsidR="00C062B6" w:rsidRDefault="00C062B6" w:rsidP="00C062B6">
      <w:pPr>
        <w:pStyle w:val="Seznamsodrkami3"/>
      </w:pPr>
      <w:r>
        <w:lastRenderedPageBreak/>
        <w:t>výběr oddělení (zadání nebo načtení kódu oddělení, výběr ze seznamu oddělení)</w:t>
      </w:r>
    </w:p>
    <w:p w14:paraId="1AB35A80" w14:textId="77777777" w:rsidR="00C062B6" w:rsidRDefault="00C062B6" w:rsidP="00C062B6">
      <w:pPr>
        <w:pStyle w:val="Seznamsodrkami3"/>
      </w:pPr>
      <w:r>
        <w:t>výběr pacienta (načtení čárového kódu z náramku, výběr ze seznamu pacientů na oddělení)</w:t>
      </w:r>
    </w:p>
    <w:p w14:paraId="6DA3AC53" w14:textId="77777777" w:rsidR="00C062B6" w:rsidRDefault="00C062B6" w:rsidP="00C062B6">
      <w:pPr>
        <w:pStyle w:val="Seznamsodrkami3"/>
      </w:pPr>
      <w:r>
        <w:t>postupné načtení použitých přístrojů pro pacienta zahrnující v každém kroku:</w:t>
      </w:r>
    </w:p>
    <w:p w14:paraId="3B16E576" w14:textId="77777777" w:rsidR="00C062B6" w:rsidRDefault="00C062B6" w:rsidP="00C062B6">
      <w:pPr>
        <w:pStyle w:val="Seznamsodrkami4"/>
      </w:pPr>
      <w:r>
        <w:t>určení přístroje načtením interního čárového kódu umístěného na přístroji</w:t>
      </w:r>
    </w:p>
    <w:p w14:paraId="786DBCB3" w14:textId="77777777" w:rsidR="00C062B6" w:rsidRDefault="00C062B6" w:rsidP="00C062B6">
      <w:pPr>
        <w:pStyle w:val="Seznamsodrkami4"/>
      </w:pPr>
      <w:r>
        <w:t>zobrazení základních informací evidovaných o přístroji v systému FAMA, které jsou potřebné pro rozhodnutí o jeho použitelnosti</w:t>
      </w:r>
    </w:p>
    <w:p w14:paraId="24ED2141" w14:textId="77777777" w:rsidR="00C062B6" w:rsidRDefault="00C062B6" w:rsidP="00C062B6">
      <w:pPr>
        <w:pStyle w:val="Seznamsodrkami4"/>
      </w:pPr>
      <w:r>
        <w:t>zadání údaje o použití přístroje a době jeho použití</w:t>
      </w:r>
    </w:p>
    <w:p w14:paraId="382188C4" w14:textId="77777777" w:rsidR="00C062B6" w:rsidRPr="006D5015" w:rsidRDefault="00C062B6" w:rsidP="00C062B6">
      <w:r>
        <w:t>Informace o použití přístroje je předána do klinické části systému NIS.</w:t>
      </w:r>
    </w:p>
    <w:p w14:paraId="79888BFC" w14:textId="77777777" w:rsidR="00C062B6" w:rsidRPr="00EE3E5D" w:rsidRDefault="00C062B6" w:rsidP="00EE3E5D">
      <w:pPr>
        <w:pStyle w:val="Nadpis3"/>
        <w:numPr>
          <w:ilvl w:val="0"/>
          <w:numId w:val="0"/>
        </w:numPr>
        <w:ind w:left="720" w:hanging="720"/>
        <w:rPr>
          <w:color w:val="auto"/>
        </w:rPr>
      </w:pPr>
      <w:bookmarkStart w:id="4" w:name="_Toc36560155"/>
      <w:bookmarkStart w:id="5" w:name="_Toc40372241"/>
      <w:r w:rsidRPr="00EE3E5D">
        <w:rPr>
          <w:color w:val="auto"/>
        </w:rPr>
        <w:t>Seznam realizovaných integrací</w:t>
      </w:r>
      <w:bookmarkEnd w:id="4"/>
      <w:bookmarkEnd w:id="5"/>
    </w:p>
    <w:p w14:paraId="066F3903" w14:textId="77777777" w:rsidR="00C062B6" w:rsidRDefault="00C062B6" w:rsidP="00C062B6">
      <w:pPr>
        <w:pStyle w:val="Titulek"/>
      </w:pPr>
      <w:bookmarkStart w:id="6" w:name="_Toc36560275"/>
      <w:bookmarkStart w:id="7" w:name="_Toc40372655"/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  <w:r>
        <w:t xml:space="preserve"> - Seznam Realizovaných integrací</w:t>
      </w:r>
      <w:bookmarkEnd w:id="6"/>
      <w:bookmarkEnd w:id="7"/>
    </w:p>
    <w:tbl>
      <w:tblPr>
        <w:tblStyle w:val="TabulkaICZ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C062B6" w14:paraId="284538E2" w14:textId="77777777" w:rsidTr="0045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73EAE24E" w14:textId="77777777" w:rsidR="00C062B6" w:rsidRDefault="00C062B6" w:rsidP="004524B9">
            <w:pPr>
              <w:keepLines w:val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Název Integrace</w:t>
            </w:r>
          </w:p>
        </w:tc>
        <w:tc>
          <w:tcPr>
            <w:tcW w:w="5811" w:type="dxa"/>
            <w:hideMark/>
          </w:tcPr>
          <w:p w14:paraId="14F8CFB6" w14:textId="77777777" w:rsidR="00C062B6" w:rsidRDefault="00C062B6" w:rsidP="004524B9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Stručný popis integrace</w:t>
            </w:r>
          </w:p>
        </w:tc>
      </w:tr>
      <w:tr w:rsidR="00C062B6" w14:paraId="28893BD4" w14:textId="77777777" w:rsidTr="004524B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A3FFAF" w14:textId="77777777" w:rsidR="00C062B6" w:rsidRDefault="00C062B6" w:rsidP="004524B9">
            <w:pPr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FaMa – číselník přístrojů</w:t>
            </w:r>
          </w:p>
        </w:tc>
        <w:tc>
          <w:tcPr>
            <w:tcW w:w="5811" w:type="dxa"/>
          </w:tcPr>
          <w:p w14:paraId="68949E49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 w:rsidRPr="001A2073">
              <w:rPr>
                <w:bCs/>
                <w:lang w:eastAsia="cs-CZ"/>
              </w:rPr>
              <w:t>Komunikace mezi NIS a FAMA bude probíhat pomocí WS (SOAP) pro poskytování číselníku přístrojů na straně FAMA bude server a na straně ICZ klient.</w:t>
            </w:r>
          </w:p>
        </w:tc>
      </w:tr>
    </w:tbl>
    <w:p w14:paraId="1EB93B9B" w14:textId="77777777" w:rsidR="00EE3E5D" w:rsidRDefault="00EE3E5D" w:rsidP="00EE3E5D">
      <w:pPr>
        <w:pStyle w:val="Nadpis3"/>
        <w:numPr>
          <w:ilvl w:val="0"/>
          <w:numId w:val="0"/>
        </w:numPr>
      </w:pPr>
      <w:bookmarkStart w:id="8" w:name="_Toc40372242"/>
      <w:bookmarkStart w:id="9" w:name="_Toc36560156"/>
    </w:p>
    <w:p w14:paraId="33C8EE50" w14:textId="27F28A88" w:rsidR="00C062B6" w:rsidRPr="00D7580E" w:rsidRDefault="00C062B6" w:rsidP="00EE3E5D">
      <w:pPr>
        <w:pStyle w:val="Nadpis3"/>
        <w:numPr>
          <w:ilvl w:val="0"/>
          <w:numId w:val="0"/>
        </w:numPr>
        <w:rPr>
          <w:color w:val="auto"/>
        </w:rPr>
      </w:pPr>
      <w:r w:rsidRPr="00D7580E">
        <w:rPr>
          <w:color w:val="auto"/>
        </w:rPr>
        <w:t>Realizace integrace FaMa – číselník přístrojů</w:t>
      </w:r>
      <w:bookmarkEnd w:id="8"/>
      <w:r w:rsidRPr="00D7580E">
        <w:rPr>
          <w:color w:val="auto"/>
        </w:rPr>
        <w:t xml:space="preserve"> </w:t>
      </w:r>
      <w:bookmarkEnd w:id="9"/>
    </w:p>
    <w:p w14:paraId="3E6B32AD" w14:textId="77777777" w:rsidR="00C062B6" w:rsidRPr="00D7580E" w:rsidRDefault="00C062B6" w:rsidP="00D7580E">
      <w:pPr>
        <w:pStyle w:val="Nadpis4"/>
        <w:numPr>
          <w:ilvl w:val="0"/>
          <w:numId w:val="0"/>
        </w:numPr>
        <w:ind w:left="864" w:hanging="864"/>
        <w:rPr>
          <w:color w:val="auto"/>
        </w:rPr>
      </w:pPr>
      <w:bookmarkStart w:id="10" w:name="_Toc36560157"/>
      <w:bookmarkStart w:id="11" w:name="_Toc40372243"/>
      <w:r w:rsidRPr="00D7580E">
        <w:rPr>
          <w:color w:val="auto"/>
        </w:rPr>
        <w:t>Popis integrace</w:t>
      </w:r>
      <w:bookmarkEnd w:id="10"/>
      <w:bookmarkEnd w:id="11"/>
    </w:p>
    <w:p w14:paraId="3183F8DB" w14:textId="77777777" w:rsidR="00C062B6" w:rsidRDefault="00C062B6" w:rsidP="00C062B6">
      <w:r>
        <w:t>Informace o přístrojích bude poskytována systémem FAMA formou webové služby (WS) systému FAMA. Tato WS bude poskytovat Kompletní číselník přístrojů.</w:t>
      </w:r>
    </w:p>
    <w:p w14:paraId="2EEEB384" w14:textId="77777777" w:rsidR="00C062B6" w:rsidRPr="00D7580E" w:rsidRDefault="00C062B6" w:rsidP="00D7580E">
      <w:pPr>
        <w:pStyle w:val="Nadpis4"/>
        <w:numPr>
          <w:ilvl w:val="0"/>
          <w:numId w:val="0"/>
        </w:numPr>
        <w:ind w:left="864" w:hanging="864"/>
        <w:rPr>
          <w:color w:val="auto"/>
        </w:rPr>
      </w:pPr>
      <w:bookmarkStart w:id="12" w:name="_Toc36560158"/>
      <w:bookmarkStart w:id="13" w:name="_Toc40372244"/>
      <w:r w:rsidRPr="00D7580E">
        <w:rPr>
          <w:color w:val="auto"/>
        </w:rPr>
        <w:t>Popis Integračního rozhraní</w:t>
      </w:r>
      <w:bookmarkEnd w:id="12"/>
      <w:bookmarkEnd w:id="13"/>
    </w:p>
    <w:p w14:paraId="16698D25" w14:textId="77777777" w:rsidR="00C062B6" w:rsidRPr="00222051" w:rsidRDefault="00C062B6" w:rsidP="00C062B6">
      <w:r>
        <w:t>Technický popis integračního rozhraní.</w:t>
      </w:r>
    </w:p>
    <w:p w14:paraId="6A589523" w14:textId="77777777" w:rsidR="00C062B6" w:rsidRDefault="00C062B6" w:rsidP="00C062B6">
      <w:pPr>
        <w:pStyle w:val="Titulek"/>
      </w:pPr>
      <w:bookmarkStart w:id="14" w:name="_Toc36560276"/>
      <w:bookmarkStart w:id="15" w:name="_Toc40372656"/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  <w:r>
        <w:t xml:space="preserve"> - Způsob integrace</w:t>
      </w:r>
      <w:bookmarkEnd w:id="14"/>
      <w:bookmarkEnd w:id="15"/>
    </w:p>
    <w:tbl>
      <w:tblPr>
        <w:tblStyle w:val="TabulkaICZ"/>
        <w:tblW w:w="8926" w:type="dxa"/>
        <w:tblLook w:val="04A0" w:firstRow="1" w:lastRow="0" w:firstColumn="1" w:lastColumn="0" w:noHBand="0" w:noVBand="1"/>
      </w:tblPr>
      <w:tblGrid>
        <w:gridCol w:w="1397"/>
        <w:gridCol w:w="922"/>
        <w:gridCol w:w="2419"/>
        <w:gridCol w:w="2621"/>
        <w:gridCol w:w="1567"/>
      </w:tblGrid>
      <w:tr w:rsidR="00C062B6" w14:paraId="02996A70" w14:textId="77777777" w:rsidTr="0045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635E519B" w14:textId="77777777" w:rsidR="00C062B6" w:rsidRDefault="00C062B6" w:rsidP="004524B9">
            <w:pPr>
              <w:keepLines w:val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Název Integrace</w:t>
            </w:r>
          </w:p>
        </w:tc>
        <w:tc>
          <w:tcPr>
            <w:tcW w:w="0" w:type="dxa"/>
            <w:hideMark/>
          </w:tcPr>
          <w:p w14:paraId="346D84BF" w14:textId="77777777" w:rsidR="00C062B6" w:rsidRDefault="00C062B6" w:rsidP="004524B9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NIS v pozici</w:t>
            </w:r>
          </w:p>
        </w:tc>
        <w:tc>
          <w:tcPr>
            <w:tcW w:w="1701" w:type="dxa"/>
          </w:tcPr>
          <w:p w14:paraId="688A5A44" w14:textId="77777777" w:rsidR="00C062B6" w:rsidRDefault="00C062B6" w:rsidP="00452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FaMa+ v pozici</w:t>
            </w:r>
          </w:p>
        </w:tc>
        <w:tc>
          <w:tcPr>
            <w:tcW w:w="1843" w:type="dxa"/>
          </w:tcPr>
          <w:p w14:paraId="1EB5DC77" w14:textId="77777777" w:rsidR="00C062B6" w:rsidRDefault="00C062B6" w:rsidP="00452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Typ rozhraní</w:t>
            </w:r>
          </w:p>
        </w:tc>
        <w:tc>
          <w:tcPr>
            <w:tcW w:w="0" w:type="dxa"/>
          </w:tcPr>
          <w:p w14:paraId="41D77B13" w14:textId="77777777" w:rsidR="00C062B6" w:rsidRDefault="00C062B6" w:rsidP="00452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Typ transportu </w:t>
            </w:r>
          </w:p>
        </w:tc>
      </w:tr>
      <w:tr w:rsidR="00C062B6" w14:paraId="75D933F7" w14:textId="77777777" w:rsidTr="004524B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294F8B1" w14:textId="77777777" w:rsidR="00C062B6" w:rsidRDefault="00C062B6" w:rsidP="004524B9">
            <w:pPr>
              <w:rPr>
                <w:bCs/>
                <w:lang w:eastAsia="cs-CZ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FaMa – číselník přístrojů</w:t>
            </w:r>
          </w:p>
        </w:tc>
        <w:tc>
          <w:tcPr>
            <w:tcW w:w="0" w:type="dxa"/>
          </w:tcPr>
          <w:p w14:paraId="38158C60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1701" w:type="dxa"/>
          </w:tcPr>
          <w:p w14:paraId="2DB702D6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Server</w:t>
            </w:r>
          </w:p>
        </w:tc>
        <w:tc>
          <w:tcPr>
            <w:tcW w:w="1843" w:type="dxa"/>
          </w:tcPr>
          <w:p w14:paraId="60F49BEA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XML</w:t>
            </w:r>
            <w:r>
              <w:rPr>
                <w:rStyle w:val="Znakapoznpodarou"/>
                <w:bCs/>
                <w:lang w:eastAsia="cs-CZ"/>
              </w:rPr>
              <w:footnoteReference w:id="1"/>
            </w:r>
          </w:p>
        </w:tc>
        <w:tc>
          <w:tcPr>
            <w:tcW w:w="0" w:type="dxa"/>
          </w:tcPr>
          <w:p w14:paraId="230E477C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t>WS (SOAP)</w:t>
            </w:r>
            <w:r>
              <w:rPr>
                <w:rStyle w:val="Znakapoznpodarou"/>
                <w:bCs/>
                <w:lang w:eastAsia="cs-CZ"/>
              </w:rPr>
              <w:footnoteReference w:id="2"/>
            </w:r>
            <w:r>
              <w:rPr>
                <w:bCs/>
                <w:lang w:eastAsia="cs-CZ"/>
              </w:rPr>
              <w:t xml:space="preserve"> </w:t>
            </w:r>
          </w:p>
        </w:tc>
      </w:tr>
    </w:tbl>
    <w:p w14:paraId="28AB755B" w14:textId="77777777" w:rsidR="00C062B6" w:rsidRDefault="00C062B6" w:rsidP="00C062B6"/>
    <w:p w14:paraId="54C1E9D1" w14:textId="77777777" w:rsidR="00C062B6" w:rsidRDefault="00C062B6" w:rsidP="00C062B6">
      <w:r>
        <w:t>Rozhraní bude obsahovat službu:</w:t>
      </w:r>
    </w:p>
    <w:p w14:paraId="2E33D4E3" w14:textId="77777777" w:rsidR="00C062B6" w:rsidRDefault="00C062B6" w:rsidP="00C062B6">
      <w:pPr>
        <w:pStyle w:val="Seznamsodrkami3"/>
      </w:pPr>
      <w:r>
        <w:t>Vrať číselník přístrojů – vrátí kompletní seznam všech přístrojů</w:t>
      </w:r>
    </w:p>
    <w:p w14:paraId="157AD9C4" w14:textId="77777777" w:rsidR="00C062B6" w:rsidRDefault="00C062B6" w:rsidP="00C062B6">
      <w:pPr>
        <w:pStyle w:val="Seznamsodrkami4"/>
      </w:pPr>
      <w:r>
        <w:t>Metoda bude mít vstupní filtrovací kritérium „Prefix nákladového střediska“, pomocí kterého bude možné získat přístroje konkrétní nemocnice.</w:t>
      </w:r>
    </w:p>
    <w:p w14:paraId="2500EAC1" w14:textId="77777777" w:rsidR="00C062B6" w:rsidRDefault="00C062B6" w:rsidP="00C062B6">
      <w:pPr>
        <w:pStyle w:val="Seznamsodrkami4"/>
      </w:pPr>
      <w:r>
        <w:t>Odpověď bude obsahovat seznam přístrojů s definovanými údaji o jednotlivých přístrojích</w:t>
      </w:r>
    </w:p>
    <w:p w14:paraId="2F3AAA95" w14:textId="77777777" w:rsidR="00C062B6" w:rsidRDefault="00C062B6" w:rsidP="00C062B6">
      <w:pPr>
        <w:pStyle w:val="Seznamsodrkami3"/>
      </w:pPr>
    </w:p>
    <w:p w14:paraId="78AEE001" w14:textId="77777777" w:rsidR="00C062B6" w:rsidRDefault="00C062B6" w:rsidP="00C062B6">
      <w:pPr>
        <w:pStyle w:val="Titulek"/>
      </w:pPr>
      <w:bookmarkStart w:id="16" w:name="_Toc33200985"/>
      <w:bookmarkStart w:id="17" w:name="_Toc40372657"/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  <w:r>
        <w:t xml:space="preserve">: </w:t>
      </w:r>
      <w:bookmarkStart w:id="18" w:name="_Ref25859236"/>
      <w:r>
        <w:t>Minimální sada předávaných informací</w:t>
      </w:r>
      <w:bookmarkEnd w:id="16"/>
      <w:bookmarkEnd w:id="17"/>
      <w:bookmarkEnd w:id="18"/>
    </w:p>
    <w:tbl>
      <w:tblPr>
        <w:tblStyle w:val="TabulkaICZ"/>
        <w:tblpPr w:leftFromText="141" w:rightFromText="141" w:vertAnchor="text" w:horzAnchor="margin" w:tblpY="114"/>
        <w:tblW w:w="9067" w:type="dxa"/>
        <w:tblLook w:val="04A0" w:firstRow="1" w:lastRow="0" w:firstColumn="1" w:lastColumn="0" w:noHBand="0" w:noVBand="1"/>
      </w:tblPr>
      <w:tblGrid>
        <w:gridCol w:w="1886"/>
        <w:gridCol w:w="3638"/>
        <w:gridCol w:w="3543"/>
      </w:tblGrid>
      <w:tr w:rsidR="00C062B6" w:rsidRPr="00E37E3E" w14:paraId="2F263876" w14:textId="77777777" w:rsidTr="0045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hideMark/>
          </w:tcPr>
          <w:p w14:paraId="67D48A4F" w14:textId="77777777" w:rsidR="00C062B6" w:rsidRPr="00E37E3E" w:rsidRDefault="00C062B6" w:rsidP="004524B9">
            <w:pPr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Název</w:t>
            </w:r>
          </w:p>
        </w:tc>
        <w:tc>
          <w:tcPr>
            <w:tcW w:w="3638" w:type="dxa"/>
            <w:hideMark/>
          </w:tcPr>
          <w:p w14:paraId="5FCAF3F4" w14:textId="77777777" w:rsidR="00C062B6" w:rsidRPr="00E37E3E" w:rsidRDefault="00C062B6" w:rsidP="00452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Popis</w:t>
            </w:r>
          </w:p>
        </w:tc>
        <w:tc>
          <w:tcPr>
            <w:tcW w:w="0" w:type="dxa"/>
            <w:noWrap/>
            <w:hideMark/>
          </w:tcPr>
          <w:p w14:paraId="07FDD021" w14:textId="77777777" w:rsidR="00C062B6" w:rsidRPr="00E37E3E" w:rsidRDefault="00C062B6" w:rsidP="00452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lang w:eastAsia="cs-CZ"/>
              </w:rPr>
              <w:t>Poznámka</w:t>
            </w:r>
          </w:p>
        </w:tc>
      </w:tr>
      <w:tr w:rsidR="00C062B6" w:rsidRPr="00E37E3E" w14:paraId="551C5114" w14:textId="77777777" w:rsidTr="0045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6850E2BA" w14:textId="77777777" w:rsidR="00C062B6" w:rsidRPr="00DF3305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ID přístroje</w:t>
            </w:r>
          </w:p>
        </w:tc>
        <w:tc>
          <w:tcPr>
            <w:tcW w:w="3638" w:type="dxa"/>
          </w:tcPr>
          <w:p w14:paraId="0216EDF0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7D2">
              <w:t xml:space="preserve">Interní unikátní kód přístroje. </w:t>
            </w:r>
            <w:r>
              <w:t xml:space="preserve">Slouží pro: </w:t>
            </w:r>
          </w:p>
          <w:p w14:paraId="44B2C709" w14:textId="77777777" w:rsidR="00C062B6" w:rsidRDefault="00C062B6" w:rsidP="004524B9">
            <w:pPr>
              <w:pStyle w:val="Seznamsodrkami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Identifikaci přístroje v rámci integrací </w:t>
            </w:r>
          </w:p>
          <w:p w14:paraId="198A7C9D" w14:textId="77777777" w:rsidR="00C062B6" w:rsidRDefault="00C062B6" w:rsidP="004524B9">
            <w:pPr>
              <w:pStyle w:val="Seznamsodrkami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Možnost načtení přístroje čtečkou pomocí </w:t>
            </w:r>
            <w:r w:rsidRPr="00BF47D2">
              <w:t>BAR CODE</w:t>
            </w:r>
          </w:p>
          <w:p w14:paraId="70DB636E" w14:textId="77777777" w:rsidR="00C062B6" w:rsidRDefault="00C062B6" w:rsidP="004524B9">
            <w:pPr>
              <w:pStyle w:val="Seznamsodrkami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826F58" w14:textId="77777777" w:rsidR="00C062B6" w:rsidRPr="0045402F" w:rsidRDefault="00C062B6" w:rsidP="004524B9">
            <w:pPr>
              <w:pStyle w:val="Seznamsodrkami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Záznamy bez inventárního čísla budou při integraci ignorovány.</w:t>
            </w:r>
          </w:p>
        </w:tc>
        <w:tc>
          <w:tcPr>
            <w:tcW w:w="0" w:type="dxa"/>
            <w:noWrap/>
          </w:tcPr>
          <w:p w14:paraId="45F64A86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 xml:space="preserve">Pro tyto účely bude použito inventární číslo přístroje. </w:t>
            </w:r>
          </w:p>
          <w:p w14:paraId="1495E26E" w14:textId="77777777" w:rsidR="00C062B6" w:rsidRPr="00E37E3E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062B6" w:rsidRPr="00E37E3E" w14:paraId="080E22ED" w14:textId="77777777" w:rsidTr="004524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3A5F522B" w14:textId="77777777" w:rsidR="00C062B6" w:rsidRDefault="00C062B6" w:rsidP="004524B9">
            <w:pPr>
              <w:rPr>
                <w:lang w:eastAsia="cs-CZ"/>
              </w:rPr>
            </w:pPr>
            <w:r w:rsidRPr="00BF47D2">
              <w:rPr>
                <w:lang w:eastAsia="cs-CZ"/>
              </w:rPr>
              <w:lastRenderedPageBreak/>
              <w:t>Název přístroje</w:t>
            </w:r>
          </w:p>
        </w:tc>
        <w:tc>
          <w:tcPr>
            <w:tcW w:w="3638" w:type="dxa"/>
          </w:tcPr>
          <w:p w14:paraId="75E016A8" w14:textId="77777777" w:rsidR="00C062B6" w:rsidRPr="00BF47D2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Uživatelské označení přístroje, </w:t>
            </w:r>
            <w:proofErr w:type="gramStart"/>
            <w:r>
              <w:t>například  INKUBÁTOR</w:t>
            </w:r>
            <w:proofErr w:type="gramEnd"/>
            <w:r>
              <w:t xml:space="preserve"> NOVOROZENECKÝ</w:t>
            </w:r>
          </w:p>
        </w:tc>
        <w:tc>
          <w:tcPr>
            <w:tcW w:w="3543" w:type="dxa"/>
            <w:vMerge w:val="restart"/>
            <w:noWrap/>
          </w:tcPr>
          <w:p w14:paraId="30D21F79" w14:textId="77777777" w:rsidR="00C062B6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Název a doplněk dohromady poskytují dostatek informací pro uživatelské rozpoznání přístroje. (Pokud je dostatek informací v názvu nemusí doplněk obsahovat další informace</w:t>
            </w:r>
          </w:p>
        </w:tc>
      </w:tr>
      <w:tr w:rsidR="00C062B6" w:rsidRPr="00E37E3E" w14:paraId="2D00B1FB" w14:textId="77777777" w:rsidTr="0045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215E99E5" w14:textId="77777777" w:rsidR="00C062B6" w:rsidRPr="00BF47D2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Doplněk názvu</w:t>
            </w:r>
          </w:p>
        </w:tc>
        <w:tc>
          <w:tcPr>
            <w:tcW w:w="3638" w:type="dxa"/>
          </w:tcPr>
          <w:p w14:paraId="454297B8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Upřesnění uživatelského </w:t>
            </w:r>
            <w:proofErr w:type="gramStart"/>
            <w:r>
              <w:t>označení  přístroje</w:t>
            </w:r>
            <w:proofErr w:type="gramEnd"/>
            <w:r>
              <w:t xml:space="preserve">. Typicky se jedná o typ přístroje. Například </w:t>
            </w:r>
            <w:r w:rsidRPr="00EA5AAA">
              <w:t xml:space="preserve"> ISOLETTE C2000</w:t>
            </w:r>
          </w:p>
        </w:tc>
        <w:tc>
          <w:tcPr>
            <w:tcW w:w="3543" w:type="dxa"/>
            <w:vMerge/>
            <w:noWrap/>
          </w:tcPr>
          <w:p w14:paraId="26C34A28" w14:textId="77777777" w:rsidR="00C062B6" w:rsidRPr="00BF47D2" w:rsidDel="001A26EF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062B6" w:rsidRPr="00E37E3E" w14:paraId="2EBAFD6F" w14:textId="77777777" w:rsidTr="004524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0EB8AEAC" w14:textId="77777777" w:rsidR="00C062B6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Umístění</w:t>
            </w:r>
          </w:p>
        </w:tc>
        <w:tc>
          <w:tcPr>
            <w:tcW w:w="3638" w:type="dxa"/>
          </w:tcPr>
          <w:p w14:paraId="5E11B0B5" w14:textId="77777777" w:rsidR="00C062B6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7D2">
              <w:t xml:space="preserve">Umístění přístroje v rámci organizační struktury nemocnice - pracoviště. </w:t>
            </w:r>
          </w:p>
          <w:p w14:paraId="67B500BE" w14:textId="77777777" w:rsidR="00C062B6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Unikátní identifikátor organizační jednotky</w:t>
            </w:r>
          </w:p>
        </w:tc>
        <w:tc>
          <w:tcPr>
            <w:tcW w:w="3543" w:type="dxa"/>
            <w:noWrap/>
          </w:tcPr>
          <w:p w14:paraId="25EA75EE" w14:textId="77777777" w:rsidR="00C062B6" w:rsidRPr="00BF47D2" w:rsidDel="001A26EF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BF47D2">
              <w:rPr>
                <w:lang w:eastAsia="cs-CZ"/>
              </w:rPr>
              <w:t xml:space="preserve"> evidenci IS FaMa+ jsou u 90% přístrojů dostupné údaje o inventárních úsecích (příklad 20741142, 933002001024)</w:t>
            </w:r>
          </w:p>
        </w:tc>
      </w:tr>
      <w:tr w:rsidR="00C062B6" w:rsidRPr="00E37E3E" w14:paraId="6DC8F843" w14:textId="77777777" w:rsidTr="0045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56995A39" w14:textId="77777777" w:rsidR="00C062B6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Nákladové středisko</w:t>
            </w:r>
          </w:p>
        </w:tc>
        <w:tc>
          <w:tcPr>
            <w:tcW w:w="3638" w:type="dxa"/>
          </w:tcPr>
          <w:p w14:paraId="542720CF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7D2">
              <w:t>Nákladové středisko umístění přístroje</w:t>
            </w:r>
            <w:r>
              <w:t>.</w:t>
            </w:r>
          </w:p>
          <w:p w14:paraId="7C2298CF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Bude sloužit pro </w:t>
            </w:r>
            <w:proofErr w:type="spellStart"/>
            <w:r>
              <w:t>předfiltrování</w:t>
            </w:r>
            <w:proofErr w:type="spellEnd"/>
            <w:r>
              <w:t xml:space="preserve"> výběru přístrojů při výběru přístroje.</w:t>
            </w:r>
          </w:p>
        </w:tc>
        <w:tc>
          <w:tcPr>
            <w:tcW w:w="3543" w:type="dxa"/>
            <w:noWrap/>
          </w:tcPr>
          <w:p w14:paraId="564D47D1" w14:textId="77777777" w:rsidR="00C062B6" w:rsidRPr="00BF47D2" w:rsidDel="001A26EF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BF47D2">
              <w:rPr>
                <w:lang w:eastAsia="cs-CZ"/>
              </w:rPr>
              <w:t>Tento údaj je dostupný u všech přístrojů</w:t>
            </w:r>
          </w:p>
        </w:tc>
      </w:tr>
      <w:tr w:rsidR="00C062B6" w:rsidRPr="00E37E3E" w14:paraId="184C4807" w14:textId="77777777" w:rsidTr="004524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51E90C4A" w14:textId="77777777" w:rsidR="00C062B6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Platnost od</w:t>
            </w:r>
          </w:p>
        </w:tc>
        <w:tc>
          <w:tcPr>
            <w:tcW w:w="3638" w:type="dxa"/>
          </w:tcPr>
          <w:p w14:paraId="748946BA" w14:textId="77777777" w:rsidR="00C062B6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Začátek platnosti přístroje. Neplatné přístroje se nenabízí uživateli k výběru.</w:t>
            </w:r>
          </w:p>
        </w:tc>
        <w:tc>
          <w:tcPr>
            <w:tcW w:w="3543" w:type="dxa"/>
            <w:noWrap/>
          </w:tcPr>
          <w:p w14:paraId="516B3139" w14:textId="77777777" w:rsidR="00C062B6" w:rsidRPr="00BF47D2" w:rsidDel="001A26EF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Nebude v první fázi naplněno protože ve FaMa není evidován vhodný atribut. Jakmile KUHK určí vhodný atribut začne se předávat.</w:t>
            </w:r>
          </w:p>
        </w:tc>
      </w:tr>
      <w:tr w:rsidR="00C062B6" w:rsidRPr="00E37E3E" w14:paraId="7A7478B1" w14:textId="77777777" w:rsidTr="0045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4173F2BC" w14:textId="77777777" w:rsidR="00C062B6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Platnost do</w:t>
            </w:r>
          </w:p>
        </w:tc>
        <w:tc>
          <w:tcPr>
            <w:tcW w:w="3638" w:type="dxa"/>
          </w:tcPr>
          <w:p w14:paraId="1833E6FF" w14:textId="77777777" w:rsidR="00C062B6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Konec platnosti přístroje. Neplatné přístroje se nenabízí uživateli k výběru.</w:t>
            </w:r>
          </w:p>
        </w:tc>
        <w:tc>
          <w:tcPr>
            <w:tcW w:w="3543" w:type="dxa"/>
            <w:noWrap/>
          </w:tcPr>
          <w:p w14:paraId="1A31902B" w14:textId="77777777" w:rsidR="00C062B6" w:rsidRPr="00BF47D2" w:rsidDel="001A26EF" w:rsidRDefault="00C062B6" w:rsidP="0045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062B6" w:rsidRPr="00E37E3E" w14:paraId="0D7611FD" w14:textId="77777777" w:rsidTr="004524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</w:tcPr>
          <w:p w14:paraId="61470B8B" w14:textId="77777777" w:rsidR="00C062B6" w:rsidRDefault="00C062B6" w:rsidP="004524B9">
            <w:pPr>
              <w:rPr>
                <w:lang w:eastAsia="cs-CZ"/>
              </w:rPr>
            </w:pPr>
            <w:r>
              <w:rPr>
                <w:lang w:eastAsia="cs-CZ"/>
              </w:rPr>
              <w:t>Příští prohlídka</w:t>
            </w:r>
          </w:p>
        </w:tc>
        <w:tc>
          <w:tcPr>
            <w:tcW w:w="3638" w:type="dxa"/>
          </w:tcPr>
          <w:p w14:paraId="7D92CD67" w14:textId="77777777" w:rsidR="00C062B6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Příznak (</w:t>
            </w:r>
            <w:proofErr w:type="spellStart"/>
            <w:r>
              <w:t>boolean</w:t>
            </w:r>
            <w:proofErr w:type="spellEnd"/>
            <w:r>
              <w:t>) platnosti všech prohlídek.</w:t>
            </w:r>
          </w:p>
        </w:tc>
        <w:tc>
          <w:tcPr>
            <w:tcW w:w="3543" w:type="dxa"/>
            <w:noWrap/>
          </w:tcPr>
          <w:p w14:paraId="03DED691" w14:textId="77777777" w:rsidR="00C062B6" w:rsidRDefault="00C062B6" w:rsidP="004524B9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 xml:space="preserve">FaMa eviduje k přístroji více termínů a nemusí být jednoznačné jaká prohlídka nebyla splněna. </w:t>
            </w:r>
          </w:p>
          <w:p w14:paraId="16DA2CC1" w14:textId="77777777" w:rsidR="00C062B6" w:rsidRDefault="00C062B6" w:rsidP="004524B9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Bude předáván pouze příznak o splnění všech prohlídek.</w:t>
            </w:r>
          </w:p>
          <w:p w14:paraId="4AF3A4CE" w14:textId="77777777" w:rsidR="00C062B6" w:rsidRDefault="00C062B6" w:rsidP="004524B9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</w:p>
          <w:p w14:paraId="000651A0" w14:textId="77777777" w:rsidR="00C062B6" w:rsidRPr="00BF47D2" w:rsidDel="001A26EF" w:rsidRDefault="00C062B6" w:rsidP="004524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t xml:space="preserve">Pokud se změní hodnota na </w:t>
            </w:r>
            <w:proofErr w:type="spellStart"/>
            <w:r>
              <w:t>false</w:t>
            </w:r>
            <w:proofErr w:type="spellEnd"/>
            <w:r>
              <w:t>, tak AMISHD zaeviduje jako datum Příští prohlídky aktuální datum a začne zobrazovat neblokující upozornění o propadlé prohlídce.</w:t>
            </w:r>
          </w:p>
        </w:tc>
      </w:tr>
    </w:tbl>
    <w:p w14:paraId="6BDE9888" w14:textId="77777777" w:rsidR="00C062B6" w:rsidRDefault="00C062B6" w:rsidP="00C062B6">
      <w:pPr>
        <w:pStyle w:val="Seznamsodrkami"/>
        <w:numPr>
          <w:ilvl w:val="0"/>
          <w:numId w:val="0"/>
        </w:numPr>
        <w:ind w:left="340" w:hanging="340"/>
      </w:pPr>
    </w:p>
    <w:p w14:paraId="5B06A313" w14:textId="77777777" w:rsidR="00C062B6" w:rsidRPr="00D7580E" w:rsidRDefault="00C062B6" w:rsidP="00D7580E">
      <w:pPr>
        <w:pStyle w:val="Nadpis3"/>
        <w:numPr>
          <w:ilvl w:val="0"/>
          <w:numId w:val="0"/>
        </w:numPr>
        <w:ind w:left="720" w:hanging="720"/>
        <w:rPr>
          <w:color w:val="auto"/>
        </w:rPr>
      </w:pPr>
      <w:r w:rsidRPr="00D7580E">
        <w:rPr>
          <w:color w:val="auto"/>
        </w:rPr>
        <w:t>Další požadavky na zhotovitele:</w:t>
      </w:r>
    </w:p>
    <w:p w14:paraId="28AAFAC0" w14:textId="77777777" w:rsidR="00C062B6" w:rsidRDefault="00C062B6" w:rsidP="00C062B6">
      <w:r>
        <w:t>Součástí dodávky bude:</w:t>
      </w:r>
    </w:p>
    <w:p w14:paraId="42627257" w14:textId="77777777" w:rsidR="00C062B6" w:rsidRDefault="00C062B6" w:rsidP="00C062B6">
      <w:pPr>
        <w:pStyle w:val="Seznamsodrkami3"/>
      </w:pPr>
      <w:r>
        <w:t>Zpracováni popisu rozhraní</w:t>
      </w:r>
    </w:p>
    <w:p w14:paraId="55C93E3C" w14:textId="77777777" w:rsidR="00C062B6" w:rsidRDefault="00C062B6" w:rsidP="00C062B6">
      <w:pPr>
        <w:pStyle w:val="Seznamsodrkami4"/>
      </w:pPr>
      <w:r>
        <w:t>Struktury dotazů podle druhu dotazu</w:t>
      </w:r>
    </w:p>
    <w:p w14:paraId="24655A57" w14:textId="77777777" w:rsidR="00C062B6" w:rsidRPr="00336027" w:rsidRDefault="00C062B6" w:rsidP="00C062B6">
      <w:pPr>
        <w:pStyle w:val="Seznamsodrkami4"/>
      </w:pPr>
      <w:r w:rsidRPr="00336027">
        <w:t>struktury atributů odpovědí na jednotlivé druhy dotazů</w:t>
      </w:r>
    </w:p>
    <w:p w14:paraId="5F478D93" w14:textId="77777777" w:rsidR="00C062B6" w:rsidRPr="00336027" w:rsidRDefault="00C062B6" w:rsidP="00C062B6">
      <w:pPr>
        <w:pStyle w:val="Seznamsodrkami4"/>
      </w:pPr>
      <w:r w:rsidRPr="00336027">
        <w:t>způsob komunikace a chybová hlášení</w:t>
      </w:r>
    </w:p>
    <w:p w14:paraId="570F35AA" w14:textId="77777777" w:rsidR="00C062B6" w:rsidRPr="00336027" w:rsidRDefault="00C062B6" w:rsidP="00C062B6">
      <w:pPr>
        <w:pStyle w:val="Seznamsodrkami4"/>
      </w:pPr>
      <w:r w:rsidRPr="00336027">
        <w:t xml:space="preserve">akceptační </w:t>
      </w:r>
      <w:r>
        <w:t>procedury jednotlivých testů</w:t>
      </w:r>
    </w:p>
    <w:p w14:paraId="7D8A9EDC" w14:textId="77777777" w:rsidR="00C062B6" w:rsidRDefault="00C062B6" w:rsidP="00C062B6">
      <w:pPr>
        <w:pStyle w:val="Seznamsodrkami4"/>
      </w:pPr>
      <w:r w:rsidRPr="00336027">
        <w:t>požadovaná součinnost.</w:t>
      </w:r>
    </w:p>
    <w:p w14:paraId="49FD5189" w14:textId="77777777" w:rsidR="00C062B6" w:rsidRDefault="00C062B6" w:rsidP="00C062B6">
      <w:pPr>
        <w:pStyle w:val="Seznamsodrkami"/>
        <w:numPr>
          <w:ilvl w:val="0"/>
          <w:numId w:val="0"/>
        </w:numPr>
        <w:ind w:left="340" w:hanging="340"/>
      </w:pPr>
      <w:r>
        <w:t>Popis rozhraní bude předložen k jedno kolové akceptaci.</w:t>
      </w:r>
    </w:p>
    <w:p w14:paraId="162DD91A" w14:textId="77777777" w:rsidR="00C062B6" w:rsidRDefault="00C062B6" w:rsidP="00C062B6">
      <w:pPr>
        <w:pStyle w:val="Seznamsodrkami"/>
        <w:numPr>
          <w:ilvl w:val="0"/>
          <w:numId w:val="0"/>
        </w:numPr>
        <w:ind w:left="340" w:hanging="340"/>
      </w:pPr>
    </w:p>
    <w:p w14:paraId="77EE763C" w14:textId="77777777" w:rsidR="00C062B6" w:rsidRDefault="00C062B6" w:rsidP="00D7580E">
      <w:pPr>
        <w:pStyle w:val="Seznamsodrkami3"/>
        <w:keepNext/>
        <w:ind w:left="1020" w:hanging="340"/>
      </w:pPr>
      <w:r>
        <w:t>Upgrade IS FAMA+</w:t>
      </w:r>
    </w:p>
    <w:p w14:paraId="123ADA0E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 xml:space="preserve">Nejprve Zhotovitel vytvoří </w:t>
      </w:r>
      <w:proofErr w:type="spellStart"/>
      <w:r w:rsidRPr="00336027">
        <w:t>upgradované</w:t>
      </w:r>
      <w:proofErr w:type="spellEnd"/>
      <w:r w:rsidRPr="00336027">
        <w:t xml:space="preserve"> řešení na bázi aktuálních LTS verzí se všemi funkčními vlastnostmi současné provozované instance ve svém vývojovém prostředí. </w:t>
      </w:r>
    </w:p>
    <w:p w14:paraId="76CC011B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 xml:space="preserve">Následně Zhotovitel nainstaluje upgrade do testovacího prostředí Objednatele. Pověření zástupci objednatele otestují klíčové vlastnosti upgrade. </w:t>
      </w:r>
    </w:p>
    <w:p w14:paraId="0B536797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 xml:space="preserve">Po akceptaci upgrade v testovacím prostředí bude upgradováno i produkční prostředí Objednatele. </w:t>
      </w:r>
    </w:p>
    <w:p w14:paraId="19B9CC39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>Po předání upgrade do provozního prostředí proběhne 14denní ověřovací provoz.</w:t>
      </w:r>
    </w:p>
    <w:p w14:paraId="07DC5B4F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 xml:space="preserve">Po ukončení ověřovacího provozu bude upgrade protokolárně předán do rutinního provozu. </w:t>
      </w:r>
    </w:p>
    <w:p w14:paraId="2BA7ACCF" w14:textId="77777777" w:rsidR="00C062B6" w:rsidRDefault="00C062B6" w:rsidP="00C062B6">
      <w:pPr>
        <w:pStyle w:val="Seznamsodrkami"/>
        <w:numPr>
          <w:ilvl w:val="0"/>
          <w:numId w:val="0"/>
        </w:numPr>
        <w:ind w:left="340"/>
      </w:pPr>
    </w:p>
    <w:p w14:paraId="5A9D4323" w14:textId="77777777" w:rsidR="00C062B6" w:rsidRDefault="00C062B6" w:rsidP="00C062B6">
      <w:pPr>
        <w:pStyle w:val="Seznamsodrkami3"/>
      </w:pPr>
      <w:r>
        <w:t>Implementace integračního rozhraní</w:t>
      </w:r>
    </w:p>
    <w:p w14:paraId="5E25698F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>Vývoj a výroba integračního rozhraní v podmínkách Zhotovitele podle Popisu rozhraní.</w:t>
      </w:r>
    </w:p>
    <w:p w14:paraId="5C4F769A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>Instalace standardních softwarových prostředků pro tvorbu integračních rozhraní v testovacím a provozním prostředí Objednatele</w:t>
      </w:r>
    </w:p>
    <w:p w14:paraId="6F85E21C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 xml:space="preserve">Implementace a parametrizace integračního rozhraní a testování integračního rozhraní v testovacím prostředí Objednatele dle Popisu rozhraní. </w:t>
      </w:r>
    </w:p>
    <w:p w14:paraId="7E404926" w14:textId="77777777" w:rsidR="00C062B6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>Implementace integračního rozhraní do provozního prostředí Objednatele po akceptaci testovacího prostředí.</w:t>
      </w:r>
    </w:p>
    <w:p w14:paraId="447F9B06" w14:textId="77777777" w:rsidR="00C062B6" w:rsidRDefault="00C062B6" w:rsidP="00C062B6">
      <w:pPr>
        <w:pStyle w:val="Seznamsodrkami"/>
        <w:numPr>
          <w:ilvl w:val="0"/>
          <w:numId w:val="0"/>
        </w:numPr>
        <w:ind w:left="340"/>
      </w:pPr>
    </w:p>
    <w:p w14:paraId="6E6B20A0" w14:textId="77777777" w:rsidR="00C062B6" w:rsidRDefault="00C062B6" w:rsidP="00C062B6">
      <w:pPr>
        <w:pStyle w:val="Seznamsodrkami3"/>
      </w:pPr>
      <w:r>
        <w:t>Podpora během testovacího provozu</w:t>
      </w:r>
    </w:p>
    <w:p w14:paraId="1ECF9D1A" w14:textId="77777777" w:rsidR="00C062B6" w:rsidRPr="00336027" w:rsidRDefault="00C062B6" w:rsidP="00C062B6">
      <w:pPr>
        <w:pStyle w:val="Seznamsodrkami"/>
        <w:numPr>
          <w:ilvl w:val="0"/>
          <w:numId w:val="0"/>
        </w:numPr>
        <w:ind w:left="340"/>
      </w:pPr>
      <w:r w:rsidRPr="00336027">
        <w:t xml:space="preserve">Během ověřovacího provozu, který má délku 1 měsíc, bude Zhotovitel realizovat podporu integračního rozhraní, která zahrnuje odstraňování závad, konzultace s uživateli Objednatele a odpovědnými osobami Dodavatele NIS. </w:t>
      </w:r>
    </w:p>
    <w:p w14:paraId="1344D620" w14:textId="60E53247" w:rsidR="00D7580E" w:rsidRPr="006D70E3" w:rsidRDefault="00C062B6" w:rsidP="006D70E3">
      <w:pPr>
        <w:pStyle w:val="Seznamsodrkami"/>
        <w:numPr>
          <w:ilvl w:val="0"/>
          <w:numId w:val="0"/>
        </w:numPr>
        <w:ind w:left="340"/>
      </w:pPr>
      <w:r w:rsidRPr="00336027">
        <w:t>Po ukončení ověřovacího provozu proběhne předání integračního rozhraní do rutinního prov</w:t>
      </w:r>
      <w:r>
        <w:t>ozu</w:t>
      </w:r>
      <w:r w:rsidR="006D70E3">
        <w:t>.</w:t>
      </w:r>
      <w:r w:rsidR="00D7580E">
        <w:rPr>
          <w:rFonts w:ascii="Arial" w:hAnsi="Arial" w:cs="Arial"/>
          <w:sz w:val="20"/>
          <w:szCs w:val="20"/>
        </w:rPr>
        <w:br w:type="page"/>
      </w:r>
    </w:p>
    <w:p w14:paraId="74D439F7" w14:textId="4F51E180" w:rsidR="00206BDD" w:rsidRDefault="00206BDD" w:rsidP="00206BDD">
      <w:r w:rsidRPr="00D7580E">
        <w:rPr>
          <w:rFonts w:ascii="Arial" w:hAnsi="Arial" w:cs="Arial"/>
          <w:sz w:val="20"/>
          <w:szCs w:val="20"/>
        </w:rPr>
        <w:lastRenderedPageBreak/>
        <w:t>Příloha č. 2 Položkový 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0"/>
        <w:gridCol w:w="2364"/>
        <w:gridCol w:w="2355"/>
        <w:gridCol w:w="2353"/>
      </w:tblGrid>
      <w:tr w:rsidR="00333730" w:rsidRPr="006719A2" w14:paraId="51802A3D" w14:textId="77777777" w:rsidTr="004524B9">
        <w:tc>
          <w:tcPr>
            <w:tcW w:w="9062" w:type="dxa"/>
            <w:gridSpan w:val="4"/>
            <w:shd w:val="clear" w:color="auto" w:fill="FFC000"/>
          </w:tcPr>
          <w:p w14:paraId="35F34A8F" w14:textId="77777777" w:rsidR="00333730" w:rsidRPr="003E2067" w:rsidRDefault="00333730" w:rsidP="004524B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3E2067">
              <w:rPr>
                <w:rFonts w:ascii="Palatino Linotype" w:hAnsi="Palatino Linotype"/>
                <w:b/>
                <w:sz w:val="24"/>
                <w:szCs w:val="24"/>
              </w:rPr>
              <w:t xml:space="preserve">Nabídková cena </w:t>
            </w:r>
          </w:p>
        </w:tc>
      </w:tr>
      <w:tr w:rsidR="00333730" w:rsidRPr="006719A2" w14:paraId="53648E73" w14:textId="77777777" w:rsidTr="004524B9">
        <w:tc>
          <w:tcPr>
            <w:tcW w:w="1990" w:type="dxa"/>
            <w:shd w:val="clear" w:color="auto" w:fill="BFBFBF" w:themeFill="background1" w:themeFillShade="BF"/>
          </w:tcPr>
          <w:p w14:paraId="3CE13B47" w14:textId="77777777" w:rsidR="00333730" w:rsidRPr="00F90AD1" w:rsidRDefault="00333730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Položka</w:t>
            </w: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14:paraId="27ABF9D2" w14:textId="77777777" w:rsidR="00333730" w:rsidRPr="006719A2" w:rsidRDefault="00333730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90AD1">
              <w:rPr>
                <w:rFonts w:ascii="Palatino Linotype" w:hAnsi="Palatino Linotype"/>
                <w:b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v Kč</w:t>
            </w:r>
            <w:r w:rsidRPr="00F90AD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6719A2">
              <w:rPr>
                <w:rFonts w:ascii="Palatino Linotype" w:hAnsi="Palatino Linotype"/>
                <w:sz w:val="20"/>
                <w:szCs w:val="20"/>
              </w:rPr>
              <w:t>bez DPH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0B9BBDC4" w14:textId="77777777" w:rsidR="00333730" w:rsidRPr="006719A2" w:rsidRDefault="00333730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719A2">
              <w:rPr>
                <w:rFonts w:ascii="Palatino Linotype" w:hAnsi="Palatino Linotype"/>
                <w:sz w:val="20"/>
                <w:szCs w:val="20"/>
              </w:rPr>
              <w:t xml:space="preserve">DPH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v Kč </w:t>
            </w:r>
            <w:r w:rsidRPr="006719A2">
              <w:rPr>
                <w:rFonts w:ascii="Palatino Linotype" w:hAnsi="Palatino Linotype"/>
                <w:sz w:val="20"/>
                <w:szCs w:val="20"/>
              </w:rPr>
              <w:t xml:space="preserve">samostatně </w:t>
            </w:r>
          </w:p>
        </w:tc>
        <w:tc>
          <w:tcPr>
            <w:tcW w:w="2353" w:type="dxa"/>
            <w:shd w:val="clear" w:color="auto" w:fill="BFBFBF" w:themeFill="background1" w:themeFillShade="BF"/>
            <w:vAlign w:val="center"/>
          </w:tcPr>
          <w:p w14:paraId="70CBBED3" w14:textId="77777777" w:rsidR="00333730" w:rsidRPr="006719A2" w:rsidRDefault="00333730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719A2">
              <w:rPr>
                <w:rFonts w:ascii="Palatino Linotype" w:hAnsi="Palatino Linotype"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v Kč </w:t>
            </w:r>
            <w:r w:rsidRPr="003C5A23">
              <w:rPr>
                <w:rFonts w:ascii="Palatino Linotype" w:hAnsi="Palatino Linotype"/>
                <w:b/>
                <w:sz w:val="20"/>
                <w:szCs w:val="20"/>
              </w:rPr>
              <w:t>včetně DPH</w:t>
            </w:r>
          </w:p>
        </w:tc>
      </w:tr>
      <w:tr w:rsidR="00333730" w:rsidRPr="006719A2" w14:paraId="130342BA" w14:textId="77777777" w:rsidTr="004524B9">
        <w:trPr>
          <w:trHeight w:val="933"/>
        </w:trPr>
        <w:tc>
          <w:tcPr>
            <w:tcW w:w="1990" w:type="dxa"/>
            <w:vAlign w:val="center"/>
          </w:tcPr>
          <w:p w14:paraId="53B9BDE6" w14:textId="77777777" w:rsidR="00333730" w:rsidRPr="006719A2" w:rsidRDefault="00333730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Integrace FAMA+ a NIS dle podmínek ZD </w:t>
            </w:r>
          </w:p>
        </w:tc>
        <w:tc>
          <w:tcPr>
            <w:tcW w:w="2364" w:type="dxa"/>
            <w:vAlign w:val="center"/>
          </w:tcPr>
          <w:p w14:paraId="17B6FE84" w14:textId="415B9096" w:rsidR="00333730" w:rsidRPr="006719A2" w:rsidRDefault="008E3F58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409.200,- Kč</w:t>
            </w:r>
          </w:p>
        </w:tc>
        <w:tc>
          <w:tcPr>
            <w:tcW w:w="2355" w:type="dxa"/>
            <w:vAlign w:val="center"/>
          </w:tcPr>
          <w:p w14:paraId="624EDF40" w14:textId="779E642F" w:rsidR="00333730" w:rsidRPr="006719A2" w:rsidRDefault="008E3F58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85.932,- Kč</w:t>
            </w:r>
          </w:p>
        </w:tc>
        <w:tc>
          <w:tcPr>
            <w:tcW w:w="2353" w:type="dxa"/>
            <w:vAlign w:val="center"/>
          </w:tcPr>
          <w:p w14:paraId="06D7772A" w14:textId="0723E470" w:rsidR="00333730" w:rsidRPr="006719A2" w:rsidRDefault="008E3F58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495.132,- Kč</w:t>
            </w:r>
          </w:p>
        </w:tc>
      </w:tr>
      <w:tr w:rsidR="00333730" w:rsidRPr="006719A2" w14:paraId="2DBC3EB7" w14:textId="77777777" w:rsidTr="004524B9">
        <w:trPr>
          <w:trHeight w:val="933"/>
        </w:trPr>
        <w:tc>
          <w:tcPr>
            <w:tcW w:w="1990" w:type="dxa"/>
            <w:vAlign w:val="center"/>
          </w:tcPr>
          <w:p w14:paraId="7F23A372" w14:textId="77777777" w:rsidR="00333730" w:rsidRDefault="00333730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Cena celkem</w:t>
            </w:r>
          </w:p>
        </w:tc>
        <w:tc>
          <w:tcPr>
            <w:tcW w:w="2364" w:type="dxa"/>
            <w:vAlign w:val="center"/>
          </w:tcPr>
          <w:p w14:paraId="1542505E" w14:textId="637DA3AA" w:rsidR="00333730" w:rsidRPr="006719A2" w:rsidRDefault="008E3F58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409.200,- Kč</w:t>
            </w:r>
          </w:p>
        </w:tc>
        <w:tc>
          <w:tcPr>
            <w:tcW w:w="2355" w:type="dxa"/>
            <w:vAlign w:val="center"/>
          </w:tcPr>
          <w:p w14:paraId="2C11D4AE" w14:textId="164FF14F" w:rsidR="00333730" w:rsidRPr="006719A2" w:rsidRDefault="008E3F58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85.932,- Kč</w:t>
            </w:r>
          </w:p>
        </w:tc>
        <w:tc>
          <w:tcPr>
            <w:tcW w:w="2353" w:type="dxa"/>
            <w:vAlign w:val="center"/>
          </w:tcPr>
          <w:p w14:paraId="4318E955" w14:textId="0F8ECEA7" w:rsidR="00333730" w:rsidRPr="006719A2" w:rsidRDefault="008E3F58" w:rsidP="0045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</w:pPr>
            <w:r w:rsidRPr="008E3F58">
              <w:rPr>
                <w:rFonts w:ascii="Palatino Linotype" w:hAnsi="Palatino Linotype"/>
                <w:b/>
                <w:sz w:val="20"/>
                <w:szCs w:val="20"/>
              </w:rPr>
              <w:t>495.132,- Kč</w:t>
            </w:r>
          </w:p>
        </w:tc>
      </w:tr>
    </w:tbl>
    <w:p w14:paraId="29BECE58" w14:textId="77777777" w:rsidR="00333730" w:rsidRDefault="00333730" w:rsidP="0033373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7FED3F9" w14:textId="5D04DC31" w:rsidR="00333730" w:rsidRPr="006719A2" w:rsidRDefault="00333730" w:rsidP="0033373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6719A2">
        <w:rPr>
          <w:rFonts w:ascii="Palatino Linotype" w:hAnsi="Palatino Linotype" w:cs="Arial"/>
          <w:sz w:val="20"/>
          <w:szCs w:val="20"/>
        </w:rPr>
        <w:t xml:space="preserve">Za dodavatele dne </w:t>
      </w:r>
      <w:r w:rsidR="008E3F58">
        <w:rPr>
          <w:rFonts w:ascii="Palatino Linotype" w:hAnsi="Palatino Linotype" w:cs="Arial"/>
          <w:sz w:val="20"/>
          <w:szCs w:val="20"/>
        </w:rPr>
        <w:t>2. 3. 2021</w:t>
      </w:r>
    </w:p>
    <w:p w14:paraId="2616AE4E" w14:textId="77777777" w:rsidR="00333730" w:rsidRDefault="00333730" w:rsidP="003337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F29BEAD" w14:textId="77777777" w:rsidR="00333730" w:rsidRPr="006719A2" w:rsidRDefault="00333730" w:rsidP="003337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6719A2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F84D29C" w14:textId="50E1E792" w:rsidR="00333730" w:rsidRPr="006719A2" w:rsidRDefault="006101DB" w:rsidP="003337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proofErr w:type="spellStart"/>
      <w:r w:rsidRPr="006101DB">
        <w:rPr>
          <w:rFonts w:ascii="Palatino Linotype" w:hAnsi="Palatino Linotype" w:cs="Arial"/>
          <w:sz w:val="20"/>
          <w:szCs w:val="20"/>
          <w:highlight w:val="black"/>
        </w:rPr>
        <w:t>XxxxxxxxxXxxxxxxx</w:t>
      </w:r>
      <w:proofErr w:type="spellEnd"/>
      <w:r w:rsidR="008E3F58">
        <w:rPr>
          <w:rFonts w:ascii="Palatino Linotype" w:hAnsi="Palatino Linotype" w:cs="Arial"/>
          <w:sz w:val="20"/>
          <w:szCs w:val="20"/>
        </w:rPr>
        <w:t>, na základě Plné moci</w:t>
      </w:r>
    </w:p>
    <w:p w14:paraId="75906364" w14:textId="0C9DE2E2" w:rsidR="00333730" w:rsidRDefault="008E3F58" w:rsidP="003337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vedoucí odd. Nabídky</w:t>
      </w:r>
    </w:p>
    <w:p w14:paraId="2E1CCA5D" w14:textId="2A0BD9B5" w:rsidR="008E3F58" w:rsidRDefault="008E3F58" w:rsidP="003337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TESCO SW a.s.</w:t>
      </w:r>
    </w:p>
    <w:p w14:paraId="6C6FA235" w14:textId="5B7C70AC" w:rsidR="007715DC" w:rsidRDefault="007715DC" w:rsidP="003337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C956942" w14:textId="1438031B" w:rsidR="007715DC" w:rsidRPr="006D70E3" w:rsidRDefault="007715DC" w:rsidP="007715DC">
      <w:pPr>
        <w:rPr>
          <w:rFonts w:ascii="Palatino Linotype" w:hAnsi="Palatino Linotype" w:cs="Arial"/>
          <w:sz w:val="20"/>
          <w:szCs w:val="20"/>
        </w:rPr>
      </w:pPr>
    </w:p>
    <w:sectPr w:rsidR="007715DC" w:rsidRPr="006D70E3" w:rsidSect="007A0485">
      <w:footerReference w:type="default" r:id="rId10"/>
      <w:pgSz w:w="11906" w:h="16838"/>
      <w:pgMar w:top="851" w:right="1417" w:bottom="993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22B82" w14:textId="77777777" w:rsidR="00792E27" w:rsidRDefault="00792E27" w:rsidP="00DD789C">
      <w:pPr>
        <w:spacing w:after="0" w:line="240" w:lineRule="auto"/>
      </w:pPr>
      <w:r>
        <w:separator/>
      </w:r>
    </w:p>
  </w:endnote>
  <w:endnote w:type="continuationSeparator" w:id="0">
    <w:p w14:paraId="16D5653B" w14:textId="77777777" w:rsidR="00792E27" w:rsidRDefault="00792E27" w:rsidP="00D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851615"/>
      <w:docPartObj>
        <w:docPartGallery w:val="Page Numbers (Bottom of Page)"/>
        <w:docPartUnique/>
      </w:docPartObj>
    </w:sdtPr>
    <w:sdtEndPr/>
    <w:sdtContent>
      <w:p w14:paraId="7E134AA4" w14:textId="791771AE" w:rsidR="004524B9" w:rsidRDefault="004524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DCCEB15" w14:textId="77777777" w:rsidR="004524B9" w:rsidRDefault="004524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9557" w14:textId="77777777" w:rsidR="00792E27" w:rsidRDefault="00792E27" w:rsidP="00DD789C">
      <w:pPr>
        <w:spacing w:after="0" w:line="240" w:lineRule="auto"/>
      </w:pPr>
      <w:r>
        <w:separator/>
      </w:r>
    </w:p>
  </w:footnote>
  <w:footnote w:type="continuationSeparator" w:id="0">
    <w:p w14:paraId="7ABD1386" w14:textId="77777777" w:rsidR="00792E27" w:rsidRDefault="00792E27" w:rsidP="00DD789C">
      <w:pPr>
        <w:spacing w:after="0" w:line="240" w:lineRule="auto"/>
      </w:pPr>
      <w:r>
        <w:continuationSeparator/>
      </w:r>
    </w:p>
  </w:footnote>
  <w:footnote w:id="1">
    <w:p w14:paraId="049E0AC9" w14:textId="77777777" w:rsidR="004524B9" w:rsidRDefault="004524B9" w:rsidP="00C062B6">
      <w:pPr>
        <w:pStyle w:val="Textpoznpodarou"/>
      </w:pPr>
      <w:r>
        <w:rPr>
          <w:rStyle w:val="Znakapoznpodarou"/>
        </w:rPr>
        <w:footnoteRef/>
      </w:r>
      <w:r>
        <w:t xml:space="preserve"> Navržený typ – skutečný typ bude znám až po předání dokumentace společností TescoSW</w:t>
      </w:r>
    </w:p>
  </w:footnote>
  <w:footnote w:id="2">
    <w:p w14:paraId="3E1076BE" w14:textId="77777777" w:rsidR="004524B9" w:rsidRDefault="004524B9" w:rsidP="00C062B6">
      <w:pPr>
        <w:pStyle w:val="Textpoznpodarou"/>
      </w:pPr>
      <w:r>
        <w:rPr>
          <w:rStyle w:val="Znakapoznpodarou"/>
        </w:rPr>
        <w:footnoteRef/>
      </w:r>
      <w:r>
        <w:t xml:space="preserve"> Navržený typ – skutečný typ bude znám až po předání dokumentace společností TescoSW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C1C28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B4876"/>
    <w:multiLevelType w:val="hybridMultilevel"/>
    <w:tmpl w:val="572EE61C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84D2D96"/>
    <w:multiLevelType w:val="hybridMultilevel"/>
    <w:tmpl w:val="78969B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80324D"/>
    <w:multiLevelType w:val="multilevel"/>
    <w:tmpl w:val="CDDCF65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23744756"/>
    <w:multiLevelType w:val="hybridMultilevel"/>
    <w:tmpl w:val="0478D1A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F84424"/>
    <w:multiLevelType w:val="multilevel"/>
    <w:tmpl w:val="B298DD5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213AAE"/>
    <w:multiLevelType w:val="multilevel"/>
    <w:tmpl w:val="A50C25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4A5A84"/>
    <w:multiLevelType w:val="multilevel"/>
    <w:tmpl w:val="45E26CEA"/>
    <w:lvl w:ilvl="0">
      <w:start w:val="1"/>
      <w:numFmt w:val="bullet"/>
      <w:pStyle w:val="Seznamsodrkami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5B9BD5" w:themeColor="accent1"/>
      </w:rPr>
    </w:lvl>
    <w:lvl w:ilvl="1">
      <w:start w:val="1"/>
      <w:numFmt w:val="bullet"/>
      <w:pStyle w:val="Seznamsodrkami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ED7D31" w:themeColor="accent2"/>
      </w:rPr>
    </w:lvl>
    <w:lvl w:ilvl="2">
      <w:start w:val="1"/>
      <w:numFmt w:val="bullet"/>
      <w:pStyle w:val="Seznamsodrkami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22A35" w:themeColor="text2" w:themeShade="80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4433DC8"/>
    <w:multiLevelType w:val="hybridMultilevel"/>
    <w:tmpl w:val="BB1CB0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B4ED6"/>
    <w:multiLevelType w:val="multilevel"/>
    <w:tmpl w:val="57780A1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B0F0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A4E8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  <w:rPr>
        <w:rFonts w:hint="default"/>
        <w:b/>
        <w:i w:val="0"/>
        <w:color w:val="00A4E8"/>
      </w:rPr>
    </w:lvl>
    <w:lvl w:ilvl="4">
      <w:start w:val="1"/>
      <w:numFmt w:val="decimal"/>
      <w:lvlText w:val="%1.%2.%3.%4.%5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  <w:b/>
        <w:i w:val="0"/>
        <w:color w:val="00A4E8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1F0CC7"/>
    <w:multiLevelType w:val="hybridMultilevel"/>
    <w:tmpl w:val="34D2D782"/>
    <w:lvl w:ilvl="0" w:tplc="6A3E5806">
      <w:numFmt w:val="bullet"/>
      <w:lvlText w:val="-"/>
      <w:lvlJc w:val="left"/>
      <w:pPr>
        <w:ind w:left="998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6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11"/>
  </w:num>
  <w:num w:numId="34">
    <w:abstractNumId w:val="5"/>
  </w:num>
  <w:num w:numId="35">
    <w:abstractNumId w:val="5"/>
  </w:num>
  <w:num w:numId="36">
    <w:abstractNumId w:val="2"/>
  </w:num>
  <w:num w:numId="37">
    <w:abstractNumId w:val="5"/>
  </w:num>
  <w:num w:numId="38">
    <w:abstractNumId w:val="0"/>
  </w:num>
  <w:num w:numId="39">
    <w:abstractNumId w:val="3"/>
  </w:num>
  <w:num w:numId="40">
    <w:abstractNumId w:val="8"/>
  </w:num>
  <w:num w:numId="41">
    <w:abstractNumId w:val="10"/>
  </w:num>
  <w:num w:numId="42">
    <w:abstractNumId w:val="1"/>
  </w:num>
  <w:num w:numId="43">
    <w:abstractNumId w:val="4"/>
  </w:num>
  <w:num w:numId="4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65"/>
    <w:rsid w:val="000034D2"/>
    <w:rsid w:val="00006D65"/>
    <w:rsid w:val="0000777E"/>
    <w:rsid w:val="00027DE0"/>
    <w:rsid w:val="00073C51"/>
    <w:rsid w:val="000A62C3"/>
    <w:rsid w:val="000B715E"/>
    <w:rsid w:val="000D013F"/>
    <w:rsid w:val="00105AAA"/>
    <w:rsid w:val="00127A67"/>
    <w:rsid w:val="00131A73"/>
    <w:rsid w:val="00132C7E"/>
    <w:rsid w:val="0013345F"/>
    <w:rsid w:val="00134629"/>
    <w:rsid w:val="001368C3"/>
    <w:rsid w:val="00137535"/>
    <w:rsid w:val="00173999"/>
    <w:rsid w:val="00176CA9"/>
    <w:rsid w:val="00180CD1"/>
    <w:rsid w:val="00195D4E"/>
    <w:rsid w:val="001C3AB3"/>
    <w:rsid w:val="001F611C"/>
    <w:rsid w:val="00206BDD"/>
    <w:rsid w:val="00223C92"/>
    <w:rsid w:val="0023026B"/>
    <w:rsid w:val="00242EDF"/>
    <w:rsid w:val="0025129C"/>
    <w:rsid w:val="0026380B"/>
    <w:rsid w:val="0028550F"/>
    <w:rsid w:val="002875B8"/>
    <w:rsid w:val="00291B4A"/>
    <w:rsid w:val="0029669F"/>
    <w:rsid w:val="00297001"/>
    <w:rsid w:val="002A002A"/>
    <w:rsid w:val="002B6A9D"/>
    <w:rsid w:val="002C0E39"/>
    <w:rsid w:val="002D7BB4"/>
    <w:rsid w:val="002F5B65"/>
    <w:rsid w:val="002F653B"/>
    <w:rsid w:val="003063DF"/>
    <w:rsid w:val="00322479"/>
    <w:rsid w:val="00333730"/>
    <w:rsid w:val="00352C0F"/>
    <w:rsid w:val="003641C9"/>
    <w:rsid w:val="003648EB"/>
    <w:rsid w:val="003975E2"/>
    <w:rsid w:val="003A4E8D"/>
    <w:rsid w:val="003B360E"/>
    <w:rsid w:val="003C210A"/>
    <w:rsid w:val="003C3E51"/>
    <w:rsid w:val="003C6379"/>
    <w:rsid w:val="003D7223"/>
    <w:rsid w:val="00424D73"/>
    <w:rsid w:val="00432C71"/>
    <w:rsid w:val="0044539D"/>
    <w:rsid w:val="004470C6"/>
    <w:rsid w:val="004524B9"/>
    <w:rsid w:val="004577DC"/>
    <w:rsid w:val="004637EC"/>
    <w:rsid w:val="004713EB"/>
    <w:rsid w:val="004862BE"/>
    <w:rsid w:val="00487E19"/>
    <w:rsid w:val="004A4D19"/>
    <w:rsid w:val="004B0EC8"/>
    <w:rsid w:val="004C20FB"/>
    <w:rsid w:val="004C7A50"/>
    <w:rsid w:val="004D2D81"/>
    <w:rsid w:val="004D54DF"/>
    <w:rsid w:val="004E1F0F"/>
    <w:rsid w:val="00505358"/>
    <w:rsid w:val="005137A6"/>
    <w:rsid w:val="00515B87"/>
    <w:rsid w:val="005201B9"/>
    <w:rsid w:val="005237BC"/>
    <w:rsid w:val="0053255B"/>
    <w:rsid w:val="005409A0"/>
    <w:rsid w:val="005B1D05"/>
    <w:rsid w:val="005B1E5F"/>
    <w:rsid w:val="005B21AF"/>
    <w:rsid w:val="005D1715"/>
    <w:rsid w:val="005D5307"/>
    <w:rsid w:val="005E5398"/>
    <w:rsid w:val="006101DB"/>
    <w:rsid w:val="00610407"/>
    <w:rsid w:val="00635B12"/>
    <w:rsid w:val="0066440F"/>
    <w:rsid w:val="006B4995"/>
    <w:rsid w:val="006D70E3"/>
    <w:rsid w:val="007050A9"/>
    <w:rsid w:val="00707A38"/>
    <w:rsid w:val="00750B95"/>
    <w:rsid w:val="00757201"/>
    <w:rsid w:val="00762FE5"/>
    <w:rsid w:val="007715DC"/>
    <w:rsid w:val="007717D3"/>
    <w:rsid w:val="00786D51"/>
    <w:rsid w:val="00792E27"/>
    <w:rsid w:val="007A0485"/>
    <w:rsid w:val="007A7EAF"/>
    <w:rsid w:val="007B2075"/>
    <w:rsid w:val="007E2469"/>
    <w:rsid w:val="00812683"/>
    <w:rsid w:val="0082746A"/>
    <w:rsid w:val="00844538"/>
    <w:rsid w:val="00851C11"/>
    <w:rsid w:val="00870E8D"/>
    <w:rsid w:val="00883A01"/>
    <w:rsid w:val="008B34BB"/>
    <w:rsid w:val="008C06DA"/>
    <w:rsid w:val="008C6F32"/>
    <w:rsid w:val="008E3F58"/>
    <w:rsid w:val="008E668F"/>
    <w:rsid w:val="008E705C"/>
    <w:rsid w:val="008F4885"/>
    <w:rsid w:val="00906045"/>
    <w:rsid w:val="00907F20"/>
    <w:rsid w:val="009179F8"/>
    <w:rsid w:val="0093734C"/>
    <w:rsid w:val="00941C17"/>
    <w:rsid w:val="00945D69"/>
    <w:rsid w:val="00952CAB"/>
    <w:rsid w:val="0095698F"/>
    <w:rsid w:val="00970190"/>
    <w:rsid w:val="009970DC"/>
    <w:rsid w:val="009B514C"/>
    <w:rsid w:val="009B6268"/>
    <w:rsid w:val="009F12F7"/>
    <w:rsid w:val="009F4B0D"/>
    <w:rsid w:val="00A0424F"/>
    <w:rsid w:val="00A12B1A"/>
    <w:rsid w:val="00A364B0"/>
    <w:rsid w:val="00A46734"/>
    <w:rsid w:val="00A736FF"/>
    <w:rsid w:val="00A76D1F"/>
    <w:rsid w:val="00AA3B30"/>
    <w:rsid w:val="00B03A0F"/>
    <w:rsid w:val="00B11F74"/>
    <w:rsid w:val="00B303FD"/>
    <w:rsid w:val="00B30FC6"/>
    <w:rsid w:val="00B41DA0"/>
    <w:rsid w:val="00B63C82"/>
    <w:rsid w:val="00B75C43"/>
    <w:rsid w:val="00B80A7A"/>
    <w:rsid w:val="00B8289C"/>
    <w:rsid w:val="00B91CBD"/>
    <w:rsid w:val="00B93465"/>
    <w:rsid w:val="00BB16AE"/>
    <w:rsid w:val="00BB691D"/>
    <w:rsid w:val="00BC4C81"/>
    <w:rsid w:val="00BE7826"/>
    <w:rsid w:val="00C00E1D"/>
    <w:rsid w:val="00C00FEA"/>
    <w:rsid w:val="00C062B6"/>
    <w:rsid w:val="00C06B3A"/>
    <w:rsid w:val="00C139EA"/>
    <w:rsid w:val="00C31880"/>
    <w:rsid w:val="00C657B1"/>
    <w:rsid w:val="00CC4FEB"/>
    <w:rsid w:val="00D0354D"/>
    <w:rsid w:val="00D16F3A"/>
    <w:rsid w:val="00D16F4F"/>
    <w:rsid w:val="00D360F0"/>
    <w:rsid w:val="00D61688"/>
    <w:rsid w:val="00D7580E"/>
    <w:rsid w:val="00D858FF"/>
    <w:rsid w:val="00D948C2"/>
    <w:rsid w:val="00DA38FB"/>
    <w:rsid w:val="00DA5347"/>
    <w:rsid w:val="00DB4598"/>
    <w:rsid w:val="00DC170D"/>
    <w:rsid w:val="00DC19D0"/>
    <w:rsid w:val="00DD789C"/>
    <w:rsid w:val="00DF5A9C"/>
    <w:rsid w:val="00E1399F"/>
    <w:rsid w:val="00E516BC"/>
    <w:rsid w:val="00E57F54"/>
    <w:rsid w:val="00E708B6"/>
    <w:rsid w:val="00E775C7"/>
    <w:rsid w:val="00E839E6"/>
    <w:rsid w:val="00EA2283"/>
    <w:rsid w:val="00EE3E5D"/>
    <w:rsid w:val="00F15080"/>
    <w:rsid w:val="00F437B8"/>
    <w:rsid w:val="00F45C02"/>
    <w:rsid w:val="00F813CC"/>
    <w:rsid w:val="00F930F2"/>
    <w:rsid w:val="00F957B3"/>
    <w:rsid w:val="00FB449A"/>
    <w:rsid w:val="00FE32FC"/>
    <w:rsid w:val="00FF1862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C32D2"/>
  <w15:chartTrackingRefBased/>
  <w15:docId w15:val="{888DA630-BC70-4A05-8E17-634FDA1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"/>
    <w:basedOn w:val="Normln"/>
    <w:next w:val="Normln"/>
    <w:link w:val="Nadpis1Char"/>
    <w:uiPriority w:val="9"/>
    <w:qFormat/>
    <w:rsid w:val="002F5B6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5B6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Normln"/>
    <w:link w:val="Nadpis3Char"/>
    <w:uiPriority w:val="9"/>
    <w:unhideWhenUsed/>
    <w:qFormat/>
    <w:rsid w:val="002F5B6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B6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B6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B6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B6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B6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B6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basedOn w:val="Standardnpsmoodstavce"/>
    <w:link w:val="Nadpis1"/>
    <w:uiPriority w:val="9"/>
    <w:rsid w:val="002F5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5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"/>
    <w:semiHidden/>
    <w:rsid w:val="002F5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B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B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B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B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B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B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C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2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C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C7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D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89C"/>
  </w:style>
  <w:style w:type="paragraph" w:styleId="Zpat">
    <w:name w:val="footer"/>
    <w:basedOn w:val="Normln"/>
    <w:link w:val="ZpatChar"/>
    <w:uiPriority w:val="99"/>
    <w:unhideWhenUsed/>
    <w:rsid w:val="00DD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89C"/>
  </w:style>
  <w:style w:type="paragraph" w:styleId="Revize">
    <w:name w:val="Revision"/>
    <w:hidden/>
    <w:uiPriority w:val="99"/>
    <w:semiHidden/>
    <w:rsid w:val="00757201"/>
    <w:pPr>
      <w:spacing w:after="0" w:line="240" w:lineRule="auto"/>
    </w:pPr>
  </w:style>
  <w:style w:type="table" w:styleId="Mkatabulky">
    <w:name w:val="Table Grid"/>
    <w:basedOn w:val="Normlntabulka"/>
    <w:uiPriority w:val="59"/>
    <w:rsid w:val="00206BDD"/>
    <w:pPr>
      <w:spacing w:after="0" w:line="240" w:lineRule="auto"/>
    </w:pPr>
    <w:rPr>
      <w:rFonts w:ascii="Arial" w:eastAsia="Arial" w:hAnsi="Arial" w:cs="Arial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"/>
    <w:qFormat/>
    <w:rsid w:val="00206BDD"/>
    <w:pPr>
      <w:numPr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2">
    <w:name w:val="List Bullet 2"/>
    <w:basedOn w:val="Normln"/>
    <w:uiPriority w:val="9"/>
    <w:qFormat/>
    <w:rsid w:val="00206BDD"/>
    <w:pPr>
      <w:numPr>
        <w:ilvl w:val="1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3">
    <w:name w:val="List Bullet 3"/>
    <w:basedOn w:val="Normln"/>
    <w:uiPriority w:val="9"/>
    <w:qFormat/>
    <w:rsid w:val="00206BDD"/>
    <w:pPr>
      <w:numPr>
        <w:ilvl w:val="2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4">
    <w:name w:val="List Bullet 4"/>
    <w:basedOn w:val="Normln"/>
    <w:uiPriority w:val="9"/>
    <w:rsid w:val="00206BDD"/>
    <w:pPr>
      <w:numPr>
        <w:ilvl w:val="3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5">
    <w:name w:val="List Bullet 5"/>
    <w:basedOn w:val="Normln"/>
    <w:uiPriority w:val="9"/>
    <w:rsid w:val="00206BDD"/>
    <w:pPr>
      <w:numPr>
        <w:ilvl w:val="4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206BDD"/>
    <w:pPr>
      <w:keepNext/>
      <w:keepLines/>
      <w:spacing w:before="220" w:after="120" w:line="240" w:lineRule="auto"/>
      <w:jc w:val="both"/>
    </w:pPr>
    <w:rPr>
      <w:b/>
      <w:bCs/>
      <w:sz w:val="18"/>
      <w:szCs w:val="18"/>
    </w:rPr>
  </w:style>
  <w:style w:type="table" w:customStyle="1" w:styleId="TabulkaICZ">
    <w:name w:val="Tabulka ICZ"/>
    <w:basedOn w:val="Normlntabulka"/>
    <w:uiPriority w:val="99"/>
    <w:rsid w:val="00206BDD"/>
    <w:pPr>
      <w:spacing w:after="0" w:line="240" w:lineRule="auto"/>
      <w:ind w:left="57" w:right="57"/>
      <w:contextualSpacing/>
    </w:p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44546A" w:themeColor="text2"/>
          <w:tl2br w:val="nil"/>
          <w:tr2bl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44546A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E7E6E6" w:themeFill="background2"/>
      </w:tcPr>
    </w:tblStyle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206BDD"/>
    <w:rPr>
      <w:b/>
      <w:bCs/>
      <w:sz w:val="18"/>
      <w:szCs w:val="18"/>
    </w:rPr>
  </w:style>
  <w:style w:type="character" w:styleId="Siln">
    <w:name w:val="Strong"/>
    <w:basedOn w:val="Standardnpsmoodstavce"/>
    <w:uiPriority w:val="6"/>
    <w:qFormat/>
    <w:rsid w:val="00206B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237B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37B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62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62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62B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9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7A0485"/>
    <w:pPr>
      <w:tabs>
        <w:tab w:val="left" w:pos="480"/>
        <w:tab w:val="right" w:leader="dot" w:pos="9060"/>
      </w:tabs>
      <w:spacing w:before="180" w:after="60" w:line="240" w:lineRule="auto"/>
      <w:jc w:val="both"/>
    </w:pPr>
    <w:rPr>
      <w:rFonts w:ascii="Century Gothic" w:eastAsia="Times New Roman" w:hAnsi="Century Gothic" w:cs="Times New Roman"/>
      <w:b/>
      <w:caps/>
      <w:noProof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rsid w:val="007A0485"/>
    <w:pPr>
      <w:tabs>
        <w:tab w:val="left" w:pos="880"/>
        <w:tab w:val="right" w:leader="dot" w:pos="9060"/>
      </w:tabs>
      <w:spacing w:before="120" w:after="60" w:line="240" w:lineRule="auto"/>
      <w:ind w:left="221"/>
      <w:jc w:val="both"/>
    </w:pPr>
    <w:rPr>
      <w:rFonts w:ascii="Century Gothic" w:eastAsia="Times New Roman" w:hAnsi="Century Gothic" w:cs="Times New Roman"/>
      <w:noProof/>
      <w:sz w:val="24"/>
      <w:szCs w:val="24"/>
      <w:lang w:eastAsia="cs-CZ"/>
    </w:rPr>
  </w:style>
  <w:style w:type="paragraph" w:customStyle="1" w:styleId="NPNadpis0">
    <w:name w:val="NP_Nadpis 0"/>
    <w:basedOn w:val="Normln"/>
    <w:qFormat/>
    <w:rsid w:val="007A0485"/>
    <w:pPr>
      <w:pageBreakBefore/>
      <w:spacing w:before="120" w:line="240" w:lineRule="auto"/>
      <w:jc w:val="both"/>
    </w:pPr>
    <w:rPr>
      <w:rFonts w:ascii="Century Gothic" w:eastAsia="Times New Roman" w:hAnsi="Century Gothic" w:cs="Times New Roman"/>
      <w:b/>
      <w:caps/>
      <w:color w:val="6A89A8"/>
      <w:sz w:val="48"/>
      <w:szCs w:val="32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4524B9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524B9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524B9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4524B9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4524B9"/>
    <w:pPr>
      <w:spacing w:after="100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524B9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524B9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524B9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524B9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524B9"/>
    <w:pPr>
      <w:spacing w:after="100"/>
      <w:ind w:left="1760"/>
    </w:pPr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5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68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mikolajova@tescosw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.leonov@tescosw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hkhk@zh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5248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KHK</dc:creator>
  <cp:keywords/>
  <dc:description/>
  <cp:lastModifiedBy>Charlotte Brunnerová</cp:lastModifiedBy>
  <cp:revision>3</cp:revision>
  <cp:lastPrinted>2021-02-09T06:45:00Z</cp:lastPrinted>
  <dcterms:created xsi:type="dcterms:W3CDTF">2021-03-30T07:50:00Z</dcterms:created>
  <dcterms:modified xsi:type="dcterms:W3CDTF">2021-03-30T11:27:00Z</dcterms:modified>
</cp:coreProperties>
</file>