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39DE" w:rsidRDefault="002E4672">
      <w:pPr>
        <w:numPr>
          <w:ilvl w:val="0"/>
          <w:numId w:val="1"/>
        </w:numPr>
        <w:tabs>
          <w:tab w:val="left" w:pos="-1985"/>
        </w:tabs>
        <w:spacing w:before="120"/>
        <w:ind w:hanging="720"/>
        <w:jc w:val="both"/>
        <w:rPr>
          <w:rFonts w:ascii="Arial" w:eastAsia="Arial" w:hAnsi="Arial" w:cs="Arial"/>
          <w:sz w:val="18"/>
          <w:szCs w:val="18"/>
        </w:rPr>
      </w:pPr>
      <w:r>
        <w:rPr>
          <w:rFonts w:ascii="Arial" w:eastAsia="Arial" w:hAnsi="Arial" w:cs="Arial"/>
          <w:b/>
          <w:sz w:val="18"/>
          <w:szCs w:val="18"/>
        </w:rPr>
        <w:t>Smluvní strany</w:t>
      </w:r>
    </w:p>
    <w:p w:rsidR="000A39DE" w:rsidRDefault="002E4672">
      <w:pPr>
        <w:numPr>
          <w:ilvl w:val="1"/>
          <w:numId w:val="1"/>
        </w:numPr>
        <w:tabs>
          <w:tab w:val="left" w:pos="2267"/>
          <w:tab w:val="left" w:pos="-1985"/>
        </w:tabs>
        <w:spacing w:before="120"/>
        <w:ind w:left="566" w:hanging="720"/>
        <w:jc w:val="both"/>
        <w:rPr>
          <w:rFonts w:ascii="Arial" w:eastAsia="Arial" w:hAnsi="Arial" w:cs="Arial"/>
          <w:b/>
          <w:sz w:val="18"/>
          <w:szCs w:val="18"/>
        </w:rPr>
      </w:pPr>
      <w:r>
        <w:rPr>
          <w:rFonts w:ascii="Arial" w:eastAsia="Arial" w:hAnsi="Arial" w:cs="Arial"/>
          <w:b/>
          <w:sz w:val="18"/>
          <w:szCs w:val="18"/>
        </w:rPr>
        <w:t>Objednatel</w:t>
      </w:r>
      <w:r>
        <w:rPr>
          <w:rFonts w:ascii="Arial" w:eastAsia="Arial" w:hAnsi="Arial" w:cs="Arial"/>
          <w:b/>
          <w:sz w:val="18"/>
          <w:szCs w:val="18"/>
        </w:rPr>
        <w:tab/>
      </w:r>
      <w:r>
        <w:rPr>
          <w:rFonts w:ascii="Arial" w:eastAsia="Arial" w:hAnsi="Arial" w:cs="Arial"/>
          <w:sz w:val="18"/>
          <w:szCs w:val="18"/>
        </w:rPr>
        <w:t>:</w:t>
      </w:r>
      <w:r>
        <w:rPr>
          <w:rFonts w:ascii="Arial" w:eastAsia="Arial" w:hAnsi="Arial" w:cs="Arial"/>
          <w:b/>
          <w:sz w:val="18"/>
          <w:szCs w:val="18"/>
        </w:rPr>
        <w:tab/>
        <w:t>Město Kutná Hora</w:t>
      </w:r>
    </w:p>
    <w:p w:rsidR="000A39DE" w:rsidRDefault="002E4672">
      <w:pPr>
        <w:tabs>
          <w:tab w:val="left" w:pos="563"/>
          <w:tab w:val="left" w:pos="2267"/>
          <w:tab w:val="left" w:pos="540"/>
          <w:tab w:val="left" w:pos="2880"/>
        </w:tabs>
        <w:ind w:left="720" w:hanging="156"/>
        <w:jc w:val="both"/>
        <w:rPr>
          <w:rFonts w:ascii="Arial" w:eastAsia="Arial" w:hAnsi="Arial" w:cs="Arial"/>
          <w:sz w:val="18"/>
          <w:szCs w:val="18"/>
        </w:rPr>
      </w:pPr>
      <w:r>
        <w:rPr>
          <w:rFonts w:ascii="Arial" w:eastAsia="Arial" w:hAnsi="Arial" w:cs="Arial"/>
          <w:sz w:val="18"/>
          <w:szCs w:val="18"/>
        </w:rPr>
        <w:t>LAU 2</w:t>
      </w:r>
      <w:r>
        <w:rPr>
          <w:rFonts w:ascii="Arial" w:eastAsia="Arial" w:hAnsi="Arial" w:cs="Arial"/>
          <w:sz w:val="18"/>
          <w:szCs w:val="18"/>
        </w:rPr>
        <w:tab/>
        <w:t>:</w:t>
      </w:r>
      <w:r>
        <w:rPr>
          <w:rFonts w:ascii="Arial" w:eastAsia="Arial" w:hAnsi="Arial" w:cs="Arial"/>
          <w:sz w:val="18"/>
          <w:szCs w:val="18"/>
        </w:rPr>
        <w:tab/>
      </w:r>
      <w:r>
        <w:rPr>
          <w:rFonts w:ascii="Arial" w:eastAsia="Arial" w:hAnsi="Arial" w:cs="Arial"/>
          <w:color w:val="202122"/>
          <w:sz w:val="19"/>
          <w:szCs w:val="19"/>
          <w:shd w:val="clear" w:color="auto" w:fill="F8F9FA"/>
        </w:rPr>
        <w:t>CZ0205 533955</w:t>
      </w:r>
    </w:p>
    <w:p w:rsidR="000A39DE" w:rsidRDefault="002E4672">
      <w:pPr>
        <w:tabs>
          <w:tab w:val="left" w:pos="563"/>
          <w:tab w:val="left" w:pos="2267"/>
          <w:tab w:val="left" w:pos="540"/>
          <w:tab w:val="left" w:pos="2880"/>
        </w:tabs>
        <w:ind w:left="720" w:hanging="156"/>
        <w:jc w:val="both"/>
        <w:rPr>
          <w:rFonts w:ascii="Arial" w:eastAsia="Arial" w:hAnsi="Arial" w:cs="Arial"/>
          <w:sz w:val="18"/>
          <w:szCs w:val="18"/>
        </w:rPr>
      </w:pPr>
      <w:r>
        <w:rPr>
          <w:rFonts w:ascii="Arial" w:eastAsia="Arial" w:hAnsi="Arial" w:cs="Arial"/>
          <w:sz w:val="18"/>
          <w:szCs w:val="18"/>
        </w:rPr>
        <w:t>se sídlem</w:t>
      </w:r>
      <w:r>
        <w:rPr>
          <w:rFonts w:ascii="Arial" w:eastAsia="Arial" w:hAnsi="Arial" w:cs="Arial"/>
          <w:sz w:val="18"/>
          <w:szCs w:val="18"/>
        </w:rPr>
        <w:tab/>
        <w:t>:</w:t>
      </w:r>
      <w:r>
        <w:rPr>
          <w:rFonts w:ascii="Arial" w:eastAsia="Arial" w:hAnsi="Arial" w:cs="Arial"/>
          <w:sz w:val="18"/>
          <w:szCs w:val="18"/>
        </w:rPr>
        <w:tab/>
        <w:t xml:space="preserve">Havlíčkovo náměstí 552/1, 284 01 </w:t>
      </w:r>
    </w:p>
    <w:p w:rsidR="000A39DE" w:rsidRDefault="002E4672">
      <w:pPr>
        <w:tabs>
          <w:tab w:val="left" w:pos="2267"/>
          <w:tab w:val="left" w:pos="540"/>
          <w:tab w:val="left" w:pos="567"/>
          <w:tab w:val="left" w:pos="2880"/>
        </w:tabs>
        <w:ind w:left="720" w:hanging="156"/>
        <w:jc w:val="both"/>
        <w:rPr>
          <w:rFonts w:ascii="Arial" w:eastAsia="Arial" w:hAnsi="Arial" w:cs="Arial"/>
          <w:sz w:val="18"/>
          <w:szCs w:val="18"/>
        </w:rPr>
      </w:pPr>
      <w:r>
        <w:rPr>
          <w:rFonts w:ascii="Arial" w:eastAsia="Arial" w:hAnsi="Arial" w:cs="Arial"/>
          <w:sz w:val="18"/>
          <w:szCs w:val="18"/>
        </w:rPr>
        <w:t>IČ</w:t>
      </w:r>
      <w:r>
        <w:rPr>
          <w:rFonts w:ascii="Arial" w:eastAsia="Arial" w:hAnsi="Arial" w:cs="Arial"/>
          <w:sz w:val="18"/>
          <w:szCs w:val="18"/>
        </w:rPr>
        <w:tab/>
        <w:t>:</w:t>
      </w:r>
      <w:r>
        <w:rPr>
          <w:rFonts w:ascii="Arial" w:eastAsia="Arial" w:hAnsi="Arial" w:cs="Arial"/>
          <w:sz w:val="18"/>
          <w:szCs w:val="18"/>
        </w:rPr>
        <w:tab/>
        <w:t>00236195</w:t>
      </w:r>
    </w:p>
    <w:p w:rsidR="000A39DE" w:rsidRDefault="002E4672">
      <w:pPr>
        <w:tabs>
          <w:tab w:val="left" w:pos="2267"/>
          <w:tab w:val="left" w:pos="540"/>
          <w:tab w:val="left" w:pos="567"/>
          <w:tab w:val="left" w:pos="2880"/>
        </w:tabs>
        <w:ind w:left="720" w:hanging="156"/>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t xml:space="preserve">: </w:t>
      </w:r>
      <w:r>
        <w:rPr>
          <w:rFonts w:ascii="Arial" w:eastAsia="Arial" w:hAnsi="Arial" w:cs="Arial"/>
          <w:sz w:val="18"/>
          <w:szCs w:val="18"/>
        </w:rPr>
        <w:tab/>
        <w:t>CZ00236195</w:t>
      </w:r>
    </w:p>
    <w:p w:rsidR="000A39DE" w:rsidRDefault="000A39DE">
      <w:pPr>
        <w:tabs>
          <w:tab w:val="left" w:pos="2267"/>
          <w:tab w:val="left" w:pos="540"/>
          <w:tab w:val="left" w:pos="567"/>
          <w:tab w:val="left" w:pos="2160"/>
          <w:tab w:val="left" w:pos="2880"/>
        </w:tabs>
        <w:jc w:val="both"/>
        <w:rPr>
          <w:rFonts w:ascii="Arial" w:eastAsia="Arial" w:hAnsi="Arial" w:cs="Arial"/>
          <w:i/>
          <w:sz w:val="18"/>
          <w:szCs w:val="18"/>
        </w:rPr>
      </w:pPr>
    </w:p>
    <w:p w:rsidR="000A39DE" w:rsidRDefault="002E4672">
      <w:pPr>
        <w:tabs>
          <w:tab w:val="left" w:pos="2267"/>
          <w:tab w:val="left" w:pos="2160"/>
          <w:tab w:val="left" w:pos="2880"/>
        </w:tabs>
        <w:spacing w:line="276" w:lineRule="auto"/>
        <w:ind w:left="540"/>
        <w:jc w:val="both"/>
        <w:rPr>
          <w:rFonts w:ascii="Arial" w:eastAsia="Arial" w:hAnsi="Arial" w:cs="Arial"/>
          <w:i/>
          <w:sz w:val="18"/>
          <w:szCs w:val="18"/>
        </w:rPr>
      </w:pPr>
      <w:r>
        <w:rPr>
          <w:rFonts w:ascii="Arial" w:eastAsia="Arial" w:hAnsi="Arial" w:cs="Arial"/>
          <w:i/>
          <w:sz w:val="18"/>
          <w:szCs w:val="18"/>
        </w:rPr>
        <w:tab/>
        <w:t>Pověřený k jednání ve věcech</w:t>
      </w:r>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technických</w:t>
      </w:r>
      <w:r>
        <w:rPr>
          <w:rFonts w:ascii="Arial" w:eastAsia="Arial" w:hAnsi="Arial" w:cs="Arial"/>
          <w:sz w:val="18"/>
          <w:szCs w:val="18"/>
        </w:rPr>
        <w:tab/>
        <w:t>:</w:t>
      </w:r>
      <w:r>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tel</w:t>
      </w:r>
      <w:r>
        <w:rPr>
          <w:rFonts w:ascii="Arial" w:eastAsia="Arial" w:hAnsi="Arial" w:cs="Arial"/>
          <w:sz w:val="18"/>
          <w:szCs w:val="18"/>
        </w:rPr>
        <w:tab/>
        <w:t>:</w:t>
      </w:r>
      <w:r>
        <w:rPr>
          <w:rFonts w:ascii="Arial" w:eastAsia="Arial" w:hAnsi="Arial" w:cs="Arial"/>
          <w:sz w:val="18"/>
          <w:szCs w:val="18"/>
        </w:rPr>
        <w:tab/>
        <w:t>+420</w:t>
      </w:r>
      <w:r w:rsidR="00D3193D">
        <w:rPr>
          <w:rFonts w:ascii="Arial" w:eastAsia="Arial" w:hAnsi="Arial" w:cs="Arial"/>
          <w:sz w:val="18"/>
          <w:szCs w:val="18"/>
        </w:rPr>
        <w:t> </w:t>
      </w:r>
      <w:proofErr w:type="spellStart"/>
      <w:r w:rsidR="003458B6">
        <w:rPr>
          <w:rFonts w:ascii="Arial" w:eastAsia="Arial" w:hAnsi="Arial" w:cs="Arial"/>
          <w:sz w:val="18"/>
          <w:szCs w:val="18"/>
        </w:rPr>
        <w:t>xxx</w:t>
      </w:r>
      <w:proofErr w:type="spellEnd"/>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rPr>
        <w:tab/>
        <w:t>:</w:t>
      </w:r>
      <w:r>
        <w:rPr>
          <w:rFonts w:ascii="Arial" w:eastAsia="Arial" w:hAnsi="Arial" w:cs="Arial"/>
          <w:sz w:val="18"/>
          <w:szCs w:val="18"/>
        </w:rPr>
        <w:tab/>
      </w:r>
      <w:r w:rsidR="003458B6">
        <w:rPr>
          <w:rFonts w:ascii="Arial" w:eastAsia="Arial" w:hAnsi="Arial" w:cs="Arial"/>
          <w:sz w:val="18"/>
          <w:szCs w:val="18"/>
        </w:rPr>
        <w:t>xxx</w:t>
      </w:r>
      <w:r w:rsidR="00D3193D">
        <w:rPr>
          <w:rFonts w:ascii="Arial" w:eastAsia="Arial" w:hAnsi="Arial" w:cs="Arial"/>
          <w:sz w:val="18"/>
          <w:szCs w:val="18"/>
        </w:rPr>
        <w:t>@mu.kutnahora.cz</w:t>
      </w:r>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obchodních</w:t>
      </w:r>
      <w:r>
        <w:rPr>
          <w:rFonts w:ascii="Arial" w:eastAsia="Arial" w:hAnsi="Arial" w:cs="Arial"/>
          <w:sz w:val="18"/>
          <w:szCs w:val="18"/>
        </w:rPr>
        <w:tab/>
        <w:t>:</w:t>
      </w:r>
      <w:r>
        <w:rPr>
          <w:rFonts w:ascii="Arial" w:eastAsia="Arial" w:hAnsi="Arial" w:cs="Arial"/>
          <w:sz w:val="18"/>
          <w:szCs w:val="18"/>
        </w:rPr>
        <w:tab/>
      </w:r>
      <w:proofErr w:type="spellStart"/>
      <w:r w:rsidR="003458B6">
        <w:rPr>
          <w:rFonts w:ascii="Arial" w:eastAsia="Arial" w:hAnsi="Arial" w:cs="Arial"/>
          <w:sz w:val="18"/>
          <w:szCs w:val="18"/>
        </w:rPr>
        <w:t>xxx</w:t>
      </w:r>
      <w:proofErr w:type="spellEnd"/>
      <w:r w:rsidR="00D3193D">
        <w:rPr>
          <w:rFonts w:ascii="Arial" w:eastAsia="Arial" w:hAnsi="Arial" w:cs="Arial"/>
          <w:sz w:val="18"/>
          <w:szCs w:val="18"/>
        </w:rPr>
        <w:t>, starosta města</w:t>
      </w:r>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tel</w:t>
      </w:r>
      <w:r>
        <w:rPr>
          <w:rFonts w:ascii="Arial" w:eastAsia="Arial" w:hAnsi="Arial" w:cs="Arial"/>
          <w:sz w:val="18"/>
          <w:szCs w:val="18"/>
        </w:rPr>
        <w:tab/>
        <w:t>:</w:t>
      </w:r>
      <w:r>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rPr>
        <w:tab/>
        <w:t>:</w:t>
      </w:r>
      <w:r>
        <w:rPr>
          <w:rFonts w:ascii="Arial" w:eastAsia="Arial" w:hAnsi="Arial" w:cs="Arial"/>
          <w:sz w:val="18"/>
          <w:szCs w:val="18"/>
        </w:rPr>
        <w:tab/>
      </w:r>
      <w:r w:rsidR="003458B6">
        <w:rPr>
          <w:rFonts w:ascii="Arial" w:eastAsia="Arial" w:hAnsi="Arial" w:cs="Arial"/>
          <w:sz w:val="18"/>
          <w:szCs w:val="18"/>
        </w:rPr>
        <w:t>xxx</w:t>
      </w:r>
      <w:r w:rsidR="00D3193D">
        <w:rPr>
          <w:rFonts w:ascii="Arial" w:eastAsia="Arial" w:hAnsi="Arial" w:cs="Arial"/>
          <w:sz w:val="18"/>
          <w:szCs w:val="18"/>
        </w:rPr>
        <w:t>@mu.kutnahora.cz</w:t>
      </w:r>
    </w:p>
    <w:p w:rsidR="000A39DE" w:rsidRDefault="000A39DE">
      <w:pPr>
        <w:tabs>
          <w:tab w:val="left" w:pos="567"/>
          <w:tab w:val="left" w:pos="2160"/>
          <w:tab w:val="left" w:pos="2880"/>
        </w:tabs>
        <w:jc w:val="both"/>
        <w:rPr>
          <w:rFonts w:ascii="Arial" w:eastAsia="Arial" w:hAnsi="Arial" w:cs="Arial"/>
          <w:sz w:val="18"/>
          <w:szCs w:val="18"/>
        </w:rPr>
      </w:pPr>
    </w:p>
    <w:p w:rsidR="000A39DE" w:rsidRDefault="002E4672">
      <w:pPr>
        <w:tabs>
          <w:tab w:val="left" w:pos="567"/>
        </w:tabs>
        <w:jc w:val="both"/>
        <w:rPr>
          <w:rFonts w:ascii="Arial" w:eastAsia="Arial" w:hAnsi="Arial" w:cs="Arial"/>
          <w:sz w:val="18"/>
          <w:szCs w:val="18"/>
        </w:rPr>
      </w:pPr>
      <w:r>
        <w:rPr>
          <w:rFonts w:ascii="Arial" w:eastAsia="Arial" w:hAnsi="Arial" w:cs="Arial"/>
          <w:sz w:val="18"/>
          <w:szCs w:val="18"/>
        </w:rPr>
        <w:tab/>
        <w:t xml:space="preserve">dále jen </w:t>
      </w:r>
      <w:r>
        <w:rPr>
          <w:rFonts w:ascii="Arial" w:eastAsia="Arial" w:hAnsi="Arial" w:cs="Arial"/>
          <w:b/>
          <w:sz w:val="18"/>
          <w:szCs w:val="18"/>
        </w:rPr>
        <w:t>Objednatel</w:t>
      </w:r>
      <w:r>
        <w:rPr>
          <w:rFonts w:ascii="Arial" w:eastAsia="Arial" w:hAnsi="Arial" w:cs="Arial"/>
          <w:sz w:val="18"/>
          <w:szCs w:val="18"/>
        </w:rPr>
        <w:t xml:space="preserve"> na straně jedné</w:t>
      </w:r>
    </w:p>
    <w:p w:rsidR="000A39DE" w:rsidRDefault="000A39DE">
      <w:pPr>
        <w:tabs>
          <w:tab w:val="left" w:pos="567"/>
        </w:tabs>
        <w:jc w:val="both"/>
        <w:rPr>
          <w:rFonts w:ascii="Arial" w:eastAsia="Arial" w:hAnsi="Arial" w:cs="Arial"/>
          <w:sz w:val="18"/>
          <w:szCs w:val="18"/>
        </w:rPr>
      </w:pPr>
    </w:p>
    <w:p w:rsidR="000A39DE" w:rsidRDefault="002E4672">
      <w:pPr>
        <w:tabs>
          <w:tab w:val="left" w:pos="567"/>
        </w:tabs>
        <w:jc w:val="both"/>
        <w:rPr>
          <w:rFonts w:ascii="Arial" w:eastAsia="Arial" w:hAnsi="Arial" w:cs="Arial"/>
          <w:sz w:val="18"/>
          <w:szCs w:val="18"/>
        </w:rPr>
      </w:pPr>
      <w:r>
        <w:rPr>
          <w:rFonts w:ascii="Arial" w:eastAsia="Arial" w:hAnsi="Arial" w:cs="Arial"/>
          <w:sz w:val="18"/>
          <w:szCs w:val="18"/>
        </w:rPr>
        <w:t xml:space="preserve">a </w:t>
      </w:r>
    </w:p>
    <w:p w:rsidR="000A39DE" w:rsidRDefault="000A39DE">
      <w:pPr>
        <w:tabs>
          <w:tab w:val="left" w:pos="567"/>
        </w:tabs>
        <w:ind w:left="2127" w:hanging="2127"/>
        <w:jc w:val="both"/>
        <w:rPr>
          <w:rFonts w:ascii="Arial" w:eastAsia="Arial" w:hAnsi="Arial" w:cs="Arial"/>
          <w:sz w:val="18"/>
          <w:szCs w:val="18"/>
        </w:rPr>
      </w:pPr>
    </w:p>
    <w:p w:rsidR="000A39DE" w:rsidRDefault="002E4672">
      <w:pPr>
        <w:numPr>
          <w:ilvl w:val="1"/>
          <w:numId w:val="1"/>
        </w:numPr>
        <w:tabs>
          <w:tab w:val="left" w:pos="2273"/>
          <w:tab w:val="left" w:pos="-1985"/>
        </w:tabs>
        <w:spacing w:before="120"/>
        <w:ind w:left="566" w:hanging="720"/>
        <w:jc w:val="both"/>
        <w:rPr>
          <w:rFonts w:ascii="Arial" w:eastAsia="Arial" w:hAnsi="Arial" w:cs="Arial"/>
          <w:b/>
          <w:sz w:val="18"/>
          <w:szCs w:val="18"/>
        </w:rPr>
      </w:pPr>
      <w:r>
        <w:rPr>
          <w:rFonts w:ascii="Arial" w:eastAsia="Arial" w:hAnsi="Arial" w:cs="Arial"/>
          <w:b/>
          <w:sz w:val="18"/>
          <w:szCs w:val="18"/>
        </w:rPr>
        <w:t>Poskytovatel</w:t>
      </w:r>
      <w:r>
        <w:rPr>
          <w:rFonts w:ascii="Arial" w:eastAsia="Arial" w:hAnsi="Arial" w:cs="Arial"/>
          <w:b/>
          <w:sz w:val="18"/>
          <w:szCs w:val="18"/>
        </w:rPr>
        <w:tab/>
      </w:r>
      <w:r>
        <w:rPr>
          <w:rFonts w:ascii="Arial" w:eastAsia="Arial" w:hAnsi="Arial" w:cs="Arial"/>
          <w:sz w:val="18"/>
          <w:szCs w:val="18"/>
        </w:rPr>
        <w:t>:</w:t>
      </w:r>
      <w:r>
        <w:rPr>
          <w:rFonts w:ascii="Arial" w:eastAsia="Arial" w:hAnsi="Arial" w:cs="Arial"/>
          <w:b/>
          <w:sz w:val="18"/>
          <w:szCs w:val="18"/>
        </w:rPr>
        <w:tab/>
        <w:t xml:space="preserve">BFS </w:t>
      </w:r>
      <w:proofErr w:type="spellStart"/>
      <w:r>
        <w:rPr>
          <w:rFonts w:ascii="Arial" w:eastAsia="Arial" w:hAnsi="Arial" w:cs="Arial"/>
          <w:b/>
          <w:sz w:val="18"/>
          <w:szCs w:val="18"/>
        </w:rPr>
        <w:t>Industry</w:t>
      </w:r>
      <w:proofErr w:type="spellEnd"/>
      <w:r>
        <w:rPr>
          <w:rFonts w:ascii="Arial" w:eastAsia="Arial" w:hAnsi="Arial" w:cs="Arial"/>
          <w:b/>
          <w:sz w:val="18"/>
          <w:szCs w:val="18"/>
        </w:rPr>
        <w:t>, s.r.o.</w:t>
      </w:r>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 xml:space="preserve">se sídlem </w:t>
      </w:r>
      <w:r>
        <w:rPr>
          <w:rFonts w:ascii="Arial" w:eastAsia="Arial" w:hAnsi="Arial" w:cs="Arial"/>
          <w:sz w:val="18"/>
          <w:szCs w:val="18"/>
        </w:rPr>
        <w:tab/>
        <w:t>:</w:t>
      </w:r>
      <w:r>
        <w:rPr>
          <w:rFonts w:ascii="Arial" w:eastAsia="Arial" w:hAnsi="Arial" w:cs="Arial"/>
          <w:sz w:val="18"/>
          <w:szCs w:val="18"/>
        </w:rPr>
        <w:tab/>
        <w:t>Hillebrantova 1277/5, Praha 5 Košíře 158 00</w:t>
      </w:r>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IČ</w:t>
      </w:r>
      <w:r>
        <w:rPr>
          <w:rFonts w:ascii="Arial" w:eastAsia="Arial" w:hAnsi="Arial" w:cs="Arial"/>
          <w:sz w:val="18"/>
          <w:szCs w:val="18"/>
        </w:rPr>
        <w:tab/>
        <w:t>:</w:t>
      </w:r>
      <w:r>
        <w:rPr>
          <w:rFonts w:ascii="Arial" w:eastAsia="Arial" w:hAnsi="Arial" w:cs="Arial"/>
          <w:sz w:val="18"/>
          <w:szCs w:val="18"/>
        </w:rPr>
        <w:tab/>
        <w:t>01931156</w:t>
      </w:r>
      <w:r>
        <w:rPr>
          <w:rFonts w:ascii="Arial" w:eastAsia="Arial" w:hAnsi="Arial" w:cs="Arial"/>
          <w:sz w:val="18"/>
          <w:szCs w:val="18"/>
        </w:rPr>
        <w:tab/>
      </w:r>
    </w:p>
    <w:p w:rsidR="000A39DE" w:rsidRDefault="002E4672">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t>:</w:t>
      </w:r>
      <w:r>
        <w:rPr>
          <w:rFonts w:ascii="Arial" w:eastAsia="Arial" w:hAnsi="Arial" w:cs="Arial"/>
          <w:sz w:val="18"/>
          <w:szCs w:val="18"/>
        </w:rPr>
        <w:tab/>
        <w:t>CZ 01931156</w:t>
      </w:r>
    </w:p>
    <w:p w:rsidR="000A39DE" w:rsidRDefault="002E4672">
      <w:pPr>
        <w:pBdr>
          <w:top w:val="nil"/>
          <w:left w:val="nil"/>
          <w:bottom w:val="nil"/>
          <w:right w:val="nil"/>
          <w:between w:val="nil"/>
        </w:pBdr>
        <w:tabs>
          <w:tab w:val="left" w:pos="2127"/>
          <w:tab w:val="left" w:pos="2835"/>
        </w:tabs>
        <w:ind w:left="540" w:hanging="540"/>
        <w:rPr>
          <w:rFonts w:ascii="Arial" w:eastAsia="Arial" w:hAnsi="Arial" w:cs="Arial"/>
          <w:sz w:val="18"/>
          <w:szCs w:val="18"/>
        </w:rPr>
      </w:pPr>
      <w:r>
        <w:rPr>
          <w:rFonts w:ascii="Arial" w:eastAsia="Arial" w:hAnsi="Arial" w:cs="Arial"/>
          <w:sz w:val="18"/>
          <w:szCs w:val="18"/>
        </w:rPr>
        <w:tab/>
        <w:t>zápis v OR</w:t>
      </w:r>
      <w:r>
        <w:rPr>
          <w:rFonts w:ascii="Arial" w:eastAsia="Arial" w:hAnsi="Arial" w:cs="Arial"/>
          <w:sz w:val="18"/>
          <w:szCs w:val="18"/>
        </w:rPr>
        <w:tab/>
        <w:t>:</w:t>
      </w:r>
      <w:r>
        <w:rPr>
          <w:rFonts w:ascii="Arial" w:eastAsia="Arial" w:hAnsi="Arial" w:cs="Arial"/>
          <w:sz w:val="18"/>
          <w:szCs w:val="18"/>
        </w:rPr>
        <w:tab/>
        <w:t>u Městského soudu v Praze, oddíl C, vložka 213494</w:t>
      </w:r>
    </w:p>
    <w:p w:rsidR="000A39DE" w:rsidRDefault="002E4672">
      <w:pPr>
        <w:pBdr>
          <w:top w:val="nil"/>
          <w:left w:val="nil"/>
          <w:bottom w:val="nil"/>
          <w:right w:val="nil"/>
          <w:between w:val="nil"/>
        </w:pBdr>
        <w:tabs>
          <w:tab w:val="left" w:pos="2127"/>
          <w:tab w:val="left" w:pos="2835"/>
        </w:tabs>
        <w:ind w:left="540" w:hanging="540"/>
        <w:rPr>
          <w:rFonts w:ascii="Arial" w:eastAsia="Arial" w:hAnsi="Arial" w:cs="Arial"/>
          <w:sz w:val="18"/>
          <w:szCs w:val="18"/>
        </w:rPr>
      </w:pPr>
      <w:r>
        <w:rPr>
          <w:rFonts w:ascii="Arial" w:eastAsia="Arial" w:hAnsi="Arial" w:cs="Arial"/>
          <w:sz w:val="18"/>
          <w:szCs w:val="18"/>
        </w:rPr>
        <w:tab/>
        <w:t xml:space="preserve">jednající </w:t>
      </w:r>
      <w:r>
        <w:rPr>
          <w:rFonts w:ascii="Arial" w:eastAsia="Arial" w:hAnsi="Arial" w:cs="Arial"/>
          <w:sz w:val="18"/>
          <w:szCs w:val="18"/>
        </w:rPr>
        <w:tab/>
        <w:t xml:space="preserve">: </w:t>
      </w:r>
      <w:r>
        <w:rPr>
          <w:rFonts w:ascii="Arial" w:eastAsia="Arial" w:hAnsi="Arial" w:cs="Arial"/>
          <w:sz w:val="18"/>
          <w:szCs w:val="18"/>
        </w:rPr>
        <w:tab/>
      </w:r>
      <w:proofErr w:type="spellStart"/>
      <w:r w:rsidR="003458B6">
        <w:rPr>
          <w:rFonts w:ascii="Arial" w:eastAsia="Arial" w:hAnsi="Arial" w:cs="Arial"/>
          <w:sz w:val="18"/>
          <w:szCs w:val="18"/>
        </w:rPr>
        <w:t>xxx</w:t>
      </w:r>
      <w:proofErr w:type="spellEnd"/>
      <w:r>
        <w:rPr>
          <w:rFonts w:ascii="Arial" w:eastAsia="Arial" w:hAnsi="Arial" w:cs="Arial"/>
          <w:sz w:val="18"/>
          <w:szCs w:val="18"/>
        </w:rPr>
        <w:br/>
      </w:r>
    </w:p>
    <w:p w:rsidR="000A39DE" w:rsidRDefault="002E4672">
      <w:pPr>
        <w:pBdr>
          <w:top w:val="nil"/>
          <w:left w:val="nil"/>
          <w:bottom w:val="nil"/>
          <w:right w:val="nil"/>
          <w:between w:val="nil"/>
        </w:pBdr>
        <w:tabs>
          <w:tab w:val="left" w:pos="2160"/>
          <w:tab w:val="left" w:pos="2880"/>
        </w:tabs>
        <w:spacing w:line="276" w:lineRule="auto"/>
        <w:ind w:left="540"/>
        <w:rPr>
          <w:rFonts w:ascii="Arial" w:eastAsia="Arial" w:hAnsi="Arial" w:cs="Arial"/>
          <w:i/>
          <w:sz w:val="18"/>
          <w:szCs w:val="18"/>
        </w:rPr>
      </w:pPr>
      <w:r>
        <w:rPr>
          <w:rFonts w:ascii="Arial" w:eastAsia="Arial" w:hAnsi="Arial" w:cs="Arial"/>
          <w:i/>
          <w:sz w:val="18"/>
          <w:szCs w:val="18"/>
        </w:rPr>
        <w:t>Pověřený k jednání ve věcech</w:t>
      </w:r>
    </w:p>
    <w:p w:rsidR="000A39DE" w:rsidRDefault="002E4672">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technických</w:t>
      </w:r>
      <w:r>
        <w:rPr>
          <w:rFonts w:ascii="Arial" w:eastAsia="Arial" w:hAnsi="Arial" w:cs="Arial"/>
          <w:sz w:val="18"/>
          <w:szCs w:val="18"/>
        </w:rPr>
        <w:tab/>
        <w:t>:</w:t>
      </w:r>
      <w:r>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2E4672">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2E4672">
      <w:pPr>
        <w:pBdr>
          <w:top w:val="nil"/>
          <w:left w:val="nil"/>
          <w:bottom w:val="nil"/>
          <w:right w:val="nil"/>
          <w:between w:val="nil"/>
        </w:pBdr>
        <w:tabs>
          <w:tab w:val="left" w:pos="2160"/>
          <w:tab w:val="left" w:pos="2880"/>
        </w:tabs>
        <w:spacing w:line="276" w:lineRule="auto"/>
        <w:ind w:left="540"/>
        <w:rPr>
          <w:rFonts w:ascii="Arial" w:eastAsia="Arial" w:hAnsi="Arial" w:cs="Arial"/>
          <w:sz w:val="18"/>
          <w:szCs w:val="18"/>
        </w:rPr>
      </w:pPr>
      <w:r>
        <w:rPr>
          <w:rFonts w:ascii="Arial" w:eastAsia="Arial" w:hAnsi="Arial" w:cs="Arial"/>
          <w:sz w:val="18"/>
          <w:szCs w:val="18"/>
        </w:rPr>
        <w:t>obchodních</w:t>
      </w:r>
      <w:r>
        <w:rPr>
          <w:rFonts w:ascii="Arial" w:eastAsia="Arial" w:hAnsi="Arial" w:cs="Arial"/>
          <w:sz w:val="18"/>
          <w:szCs w:val="18"/>
        </w:rPr>
        <w:tab/>
        <w:t>:</w:t>
      </w:r>
      <w:r>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2E4672">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tel</w:t>
      </w:r>
      <w:r>
        <w:rPr>
          <w:rFonts w:ascii="Arial" w:eastAsia="Arial" w:hAnsi="Arial" w:cs="Arial"/>
          <w:sz w:val="18"/>
          <w:szCs w:val="18"/>
        </w:rPr>
        <w:tab/>
        <w:t>:</w:t>
      </w:r>
      <w:r>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3458B6">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rPr>
        <w:tab/>
        <w:t>:</w:t>
      </w:r>
      <w:r>
        <w:rPr>
          <w:rFonts w:ascii="Arial" w:eastAsia="Arial" w:hAnsi="Arial" w:cs="Arial"/>
          <w:sz w:val="18"/>
          <w:szCs w:val="18"/>
        </w:rPr>
        <w:tab/>
        <w:t>xxx</w:t>
      </w:r>
      <w:r w:rsidR="002E4672">
        <w:rPr>
          <w:rFonts w:ascii="Arial" w:eastAsia="Arial" w:hAnsi="Arial" w:cs="Arial"/>
          <w:sz w:val="18"/>
          <w:szCs w:val="18"/>
        </w:rPr>
        <w:t>@bfsindustry.cz</w:t>
      </w:r>
    </w:p>
    <w:p w:rsidR="000A39DE" w:rsidRDefault="000A39DE">
      <w:pPr>
        <w:tabs>
          <w:tab w:val="left" w:pos="2267"/>
          <w:tab w:val="left" w:pos="540"/>
          <w:tab w:val="left" w:pos="563"/>
          <w:tab w:val="left" w:pos="2880"/>
        </w:tabs>
        <w:ind w:left="720" w:hanging="156"/>
        <w:jc w:val="both"/>
        <w:rPr>
          <w:rFonts w:ascii="Arial" w:eastAsia="Arial" w:hAnsi="Arial" w:cs="Arial"/>
          <w:sz w:val="18"/>
          <w:szCs w:val="18"/>
        </w:rPr>
      </w:pPr>
    </w:p>
    <w:p w:rsidR="000A39DE" w:rsidRDefault="000A39DE">
      <w:pPr>
        <w:tabs>
          <w:tab w:val="left" w:pos="567"/>
        </w:tabs>
        <w:jc w:val="both"/>
        <w:rPr>
          <w:rFonts w:ascii="Arial" w:eastAsia="Arial" w:hAnsi="Arial" w:cs="Arial"/>
          <w:sz w:val="18"/>
          <w:szCs w:val="18"/>
        </w:rPr>
      </w:pPr>
    </w:p>
    <w:p w:rsidR="000A39DE" w:rsidRDefault="002E4672">
      <w:pPr>
        <w:tabs>
          <w:tab w:val="left" w:pos="567"/>
        </w:tabs>
        <w:jc w:val="both"/>
        <w:rPr>
          <w:rFonts w:ascii="Arial" w:eastAsia="Arial" w:hAnsi="Arial" w:cs="Arial"/>
          <w:sz w:val="18"/>
          <w:szCs w:val="18"/>
        </w:rPr>
      </w:pPr>
      <w:r>
        <w:rPr>
          <w:rFonts w:ascii="Arial" w:eastAsia="Arial" w:hAnsi="Arial" w:cs="Arial"/>
          <w:sz w:val="18"/>
          <w:szCs w:val="18"/>
        </w:rPr>
        <w:tab/>
        <w:t xml:space="preserve">dále jen </w:t>
      </w:r>
      <w:r>
        <w:rPr>
          <w:rFonts w:ascii="Arial" w:eastAsia="Arial" w:hAnsi="Arial" w:cs="Arial"/>
          <w:b/>
          <w:sz w:val="18"/>
          <w:szCs w:val="18"/>
        </w:rPr>
        <w:t xml:space="preserve">Poskytovatel </w:t>
      </w:r>
      <w:r>
        <w:rPr>
          <w:rFonts w:ascii="Arial" w:eastAsia="Arial" w:hAnsi="Arial" w:cs="Arial"/>
          <w:sz w:val="18"/>
          <w:szCs w:val="18"/>
        </w:rPr>
        <w:t xml:space="preserve">na straně druhé </w:t>
      </w:r>
    </w:p>
    <w:p w:rsidR="000A39DE" w:rsidRDefault="000A39DE">
      <w:pPr>
        <w:tabs>
          <w:tab w:val="left" w:pos="567"/>
        </w:tabs>
        <w:jc w:val="both"/>
        <w:rPr>
          <w:rFonts w:ascii="Arial" w:eastAsia="Arial" w:hAnsi="Arial" w:cs="Arial"/>
          <w:sz w:val="18"/>
          <w:szCs w:val="18"/>
        </w:rPr>
      </w:pPr>
    </w:p>
    <w:p w:rsidR="000A39DE" w:rsidRDefault="000A39DE">
      <w:pPr>
        <w:tabs>
          <w:tab w:val="left" w:pos="567"/>
        </w:tabs>
        <w:jc w:val="both"/>
        <w:rPr>
          <w:rFonts w:ascii="Arial" w:eastAsia="Arial" w:hAnsi="Arial" w:cs="Arial"/>
          <w:sz w:val="18"/>
          <w:szCs w:val="18"/>
        </w:rPr>
      </w:pPr>
    </w:p>
    <w:p w:rsidR="000A39DE" w:rsidRDefault="002E4672">
      <w:pPr>
        <w:jc w:val="center"/>
        <w:rPr>
          <w:rFonts w:ascii="Arial" w:eastAsia="Arial" w:hAnsi="Arial" w:cs="Arial"/>
          <w:sz w:val="18"/>
          <w:szCs w:val="18"/>
        </w:rPr>
      </w:pPr>
      <w:r>
        <w:rPr>
          <w:rFonts w:ascii="Arial" w:eastAsia="Arial" w:hAnsi="Arial" w:cs="Arial"/>
          <w:sz w:val="18"/>
          <w:szCs w:val="18"/>
        </w:rPr>
        <w:t>uzavírají dnešního dne, měsíce a roku tuto</w:t>
      </w:r>
    </w:p>
    <w:p w:rsidR="000A39DE" w:rsidRDefault="000A39DE">
      <w:pPr>
        <w:jc w:val="both"/>
        <w:rPr>
          <w:rFonts w:ascii="Arial" w:eastAsia="Arial" w:hAnsi="Arial" w:cs="Arial"/>
          <w:sz w:val="20"/>
          <w:szCs w:val="20"/>
        </w:rPr>
      </w:pPr>
    </w:p>
    <w:p w:rsidR="000A39DE" w:rsidRDefault="000A39DE">
      <w:pPr>
        <w:jc w:val="both"/>
        <w:rPr>
          <w:rFonts w:ascii="Arial" w:eastAsia="Arial" w:hAnsi="Arial" w:cs="Arial"/>
          <w:sz w:val="20"/>
          <w:szCs w:val="20"/>
        </w:rPr>
      </w:pPr>
    </w:p>
    <w:p w:rsidR="000A39DE" w:rsidRDefault="002E4672">
      <w:pPr>
        <w:spacing w:line="360" w:lineRule="auto"/>
        <w:jc w:val="center"/>
        <w:rPr>
          <w:rFonts w:ascii="Arial" w:eastAsia="Arial" w:hAnsi="Arial" w:cs="Arial"/>
          <w:b/>
          <w:sz w:val="20"/>
          <w:szCs w:val="20"/>
        </w:rPr>
      </w:pPr>
      <w:r>
        <w:rPr>
          <w:rFonts w:ascii="Arial" w:eastAsia="Arial" w:hAnsi="Arial" w:cs="Arial"/>
          <w:b/>
          <w:sz w:val="28"/>
          <w:szCs w:val="28"/>
        </w:rPr>
        <w:t>Smlouvu o Dílo</w:t>
      </w:r>
      <w:r>
        <w:rPr>
          <w:rFonts w:ascii="Arial" w:eastAsia="Arial" w:hAnsi="Arial" w:cs="Arial"/>
          <w:b/>
          <w:sz w:val="28"/>
          <w:szCs w:val="28"/>
        </w:rPr>
        <w:br/>
        <w:t>Pasportizace soustavy CZT v Kutné Hoře – vyhodnocení současného technického stavu</w:t>
      </w:r>
      <w:r>
        <w:rPr>
          <w:rFonts w:ascii="Arial" w:eastAsia="Arial" w:hAnsi="Arial" w:cs="Arial"/>
          <w:b/>
          <w:sz w:val="28"/>
          <w:szCs w:val="28"/>
        </w:rPr>
        <w:br/>
      </w:r>
    </w:p>
    <w:p w:rsidR="000A39DE" w:rsidRDefault="002E4672">
      <w:pPr>
        <w:jc w:val="center"/>
        <w:rPr>
          <w:rFonts w:ascii="Arial" w:eastAsia="Arial" w:hAnsi="Arial" w:cs="Arial"/>
          <w:sz w:val="18"/>
          <w:szCs w:val="18"/>
        </w:rPr>
      </w:pPr>
      <w:r>
        <w:rPr>
          <w:rFonts w:ascii="Arial" w:eastAsia="Arial" w:hAnsi="Arial" w:cs="Arial"/>
          <w:sz w:val="18"/>
          <w:szCs w:val="18"/>
        </w:rPr>
        <w:t>v souladu s ustanovením § 2586 a násl. zák. č. 89/2012 Sb., občanského zákoníku (NOZ),</w:t>
      </w:r>
      <w:r>
        <w:rPr>
          <w:rFonts w:ascii="Arial" w:eastAsia="Arial" w:hAnsi="Arial" w:cs="Arial"/>
          <w:sz w:val="18"/>
          <w:szCs w:val="18"/>
        </w:rPr>
        <w:br/>
        <w:t xml:space="preserve"> v platném znění:</w:t>
      </w:r>
    </w:p>
    <w:p w:rsidR="000A39DE" w:rsidRDefault="002E4672">
      <w:pPr>
        <w:numPr>
          <w:ilvl w:val="0"/>
          <w:numId w:val="2"/>
        </w:numPr>
        <w:pBdr>
          <w:top w:val="nil"/>
          <w:left w:val="nil"/>
          <w:bottom w:val="nil"/>
          <w:right w:val="nil"/>
          <w:between w:val="nil"/>
        </w:pBdr>
        <w:spacing w:before="240"/>
        <w:ind w:hanging="720"/>
        <w:rPr>
          <w:rFonts w:ascii="Arial" w:eastAsia="Arial" w:hAnsi="Arial" w:cs="Arial"/>
          <w:b/>
          <w:color w:val="000000"/>
          <w:sz w:val="18"/>
          <w:szCs w:val="18"/>
        </w:rPr>
      </w:pPr>
      <w:r>
        <w:rPr>
          <w:rFonts w:ascii="Arial" w:eastAsia="Arial" w:hAnsi="Arial" w:cs="Arial"/>
          <w:b/>
          <w:color w:val="000000"/>
          <w:sz w:val="18"/>
          <w:szCs w:val="18"/>
        </w:rPr>
        <w:t>Předmět plnění</w:t>
      </w:r>
    </w:p>
    <w:p w:rsidR="000A39DE" w:rsidRDefault="002E4672">
      <w:pPr>
        <w:numPr>
          <w:ilvl w:val="1"/>
          <w:numId w:val="2"/>
        </w:numPr>
        <w:tabs>
          <w:tab w:val="left" w:pos="720"/>
        </w:tabs>
        <w:spacing w:before="120"/>
        <w:ind w:hanging="720"/>
        <w:jc w:val="both"/>
        <w:rPr>
          <w:b/>
          <w:sz w:val="18"/>
          <w:szCs w:val="18"/>
        </w:rPr>
      </w:pPr>
      <w:r>
        <w:rPr>
          <w:rFonts w:ascii="Arial" w:eastAsia="Arial" w:hAnsi="Arial" w:cs="Arial"/>
          <w:sz w:val="18"/>
          <w:szCs w:val="18"/>
        </w:rPr>
        <w:t>Poskytovatel se touto Smlouvou zavazuje vyhotovit a předat Objednateli Dílo – Dokumentaci Pasportizace soustavy CZT v Kutné Hoře – vyhodnocení současného technického stavu, dále jen „Dílo“ v rozsahu:</w:t>
      </w:r>
    </w:p>
    <w:p w:rsidR="000A39DE" w:rsidRDefault="000A39DE">
      <w:pPr>
        <w:tabs>
          <w:tab w:val="left" w:pos="720"/>
        </w:tabs>
        <w:jc w:val="both"/>
        <w:rPr>
          <w:rFonts w:ascii="Arial" w:eastAsia="Arial" w:hAnsi="Arial" w:cs="Arial"/>
          <w:sz w:val="18"/>
          <w:szCs w:val="18"/>
        </w:rPr>
      </w:pPr>
    </w:p>
    <w:p w:rsidR="000A39DE" w:rsidRDefault="002E4672">
      <w:pPr>
        <w:numPr>
          <w:ilvl w:val="2"/>
          <w:numId w:val="2"/>
        </w:numPr>
        <w:tabs>
          <w:tab w:val="left" w:pos="720"/>
        </w:tabs>
        <w:ind w:left="567" w:firstLine="719"/>
        <w:jc w:val="both"/>
        <w:rPr>
          <w:rFonts w:ascii="Arial" w:eastAsia="Arial" w:hAnsi="Arial" w:cs="Arial"/>
          <w:sz w:val="18"/>
          <w:szCs w:val="18"/>
        </w:rPr>
      </w:pPr>
      <w:r>
        <w:rPr>
          <w:rFonts w:ascii="Arial" w:eastAsia="Arial" w:hAnsi="Arial" w:cs="Arial"/>
          <w:sz w:val="18"/>
          <w:szCs w:val="18"/>
        </w:rPr>
        <w:t>Vyhodnocení současného technického stavu částí CZT.</w:t>
      </w:r>
    </w:p>
    <w:p w:rsidR="000A39DE" w:rsidRDefault="002E4672">
      <w:pPr>
        <w:numPr>
          <w:ilvl w:val="2"/>
          <w:numId w:val="2"/>
        </w:numPr>
        <w:tabs>
          <w:tab w:val="left" w:pos="720"/>
        </w:tabs>
        <w:ind w:left="567" w:firstLine="719"/>
        <w:jc w:val="both"/>
        <w:rPr>
          <w:rFonts w:ascii="Arial" w:eastAsia="Arial" w:hAnsi="Arial" w:cs="Arial"/>
          <w:sz w:val="18"/>
          <w:szCs w:val="18"/>
        </w:rPr>
      </w:pPr>
      <w:r>
        <w:rPr>
          <w:rFonts w:ascii="Arial" w:eastAsia="Arial" w:hAnsi="Arial" w:cs="Arial"/>
          <w:sz w:val="18"/>
          <w:szCs w:val="18"/>
        </w:rPr>
        <w:t>Vyhodnocení životnosti částí CZT.</w:t>
      </w:r>
    </w:p>
    <w:p w:rsidR="000A39DE" w:rsidRDefault="002E4672">
      <w:pPr>
        <w:numPr>
          <w:ilvl w:val="2"/>
          <w:numId w:val="2"/>
        </w:numPr>
        <w:tabs>
          <w:tab w:val="left" w:pos="720"/>
        </w:tabs>
        <w:ind w:left="567" w:firstLine="719"/>
        <w:jc w:val="both"/>
        <w:rPr>
          <w:rFonts w:ascii="Arial" w:eastAsia="Arial" w:hAnsi="Arial" w:cs="Arial"/>
          <w:sz w:val="18"/>
          <w:szCs w:val="18"/>
        </w:rPr>
      </w:pPr>
      <w:r>
        <w:rPr>
          <w:rFonts w:ascii="Arial" w:eastAsia="Arial" w:hAnsi="Arial" w:cs="Arial"/>
          <w:sz w:val="18"/>
          <w:szCs w:val="18"/>
        </w:rPr>
        <w:t>Identifikace důvodu zvýšených tepelných ztrát soustavy.</w:t>
      </w:r>
    </w:p>
    <w:p w:rsidR="000A39DE" w:rsidRDefault="002E4672">
      <w:pPr>
        <w:numPr>
          <w:ilvl w:val="2"/>
          <w:numId w:val="2"/>
        </w:numPr>
        <w:tabs>
          <w:tab w:val="left" w:pos="720"/>
        </w:tabs>
        <w:ind w:left="567" w:firstLine="719"/>
        <w:jc w:val="both"/>
        <w:rPr>
          <w:rFonts w:ascii="Arial" w:eastAsia="Arial" w:hAnsi="Arial" w:cs="Arial"/>
          <w:sz w:val="18"/>
          <w:szCs w:val="18"/>
        </w:rPr>
      </w:pPr>
      <w:r>
        <w:rPr>
          <w:rFonts w:ascii="Arial" w:eastAsia="Arial" w:hAnsi="Arial" w:cs="Arial"/>
          <w:sz w:val="18"/>
          <w:szCs w:val="18"/>
        </w:rPr>
        <w:t>Přesný výpočet těchto ztrát.</w:t>
      </w:r>
    </w:p>
    <w:p w:rsidR="000A39DE" w:rsidRDefault="002E4672">
      <w:pPr>
        <w:numPr>
          <w:ilvl w:val="2"/>
          <w:numId w:val="2"/>
        </w:numPr>
        <w:tabs>
          <w:tab w:val="left" w:pos="720"/>
        </w:tabs>
        <w:ind w:left="567" w:firstLine="719"/>
        <w:jc w:val="both"/>
        <w:rPr>
          <w:rFonts w:ascii="Arial" w:eastAsia="Arial" w:hAnsi="Arial" w:cs="Arial"/>
          <w:sz w:val="18"/>
          <w:szCs w:val="18"/>
        </w:rPr>
      </w:pPr>
      <w:r>
        <w:rPr>
          <w:rFonts w:ascii="Arial" w:eastAsia="Arial" w:hAnsi="Arial" w:cs="Arial"/>
          <w:sz w:val="18"/>
          <w:szCs w:val="18"/>
        </w:rPr>
        <w:t>Návrh opatření pro snížení tepelných ztrát.</w:t>
      </w:r>
    </w:p>
    <w:p w:rsidR="000A39DE" w:rsidRDefault="000A39DE">
      <w:pPr>
        <w:tabs>
          <w:tab w:val="left" w:pos="720"/>
        </w:tabs>
        <w:ind w:left="1287"/>
        <w:jc w:val="both"/>
        <w:rPr>
          <w:rFonts w:ascii="Arial" w:eastAsia="Arial" w:hAnsi="Arial" w:cs="Arial"/>
          <w:sz w:val="18"/>
          <w:szCs w:val="18"/>
        </w:rPr>
      </w:pPr>
    </w:p>
    <w:p w:rsidR="000A39DE" w:rsidRDefault="002E4672">
      <w:pPr>
        <w:pBdr>
          <w:top w:val="nil"/>
          <w:left w:val="nil"/>
          <w:bottom w:val="nil"/>
          <w:right w:val="nil"/>
          <w:between w:val="nil"/>
        </w:pBdr>
        <w:ind w:left="709"/>
        <w:jc w:val="both"/>
        <w:rPr>
          <w:color w:val="000000"/>
          <w:sz w:val="20"/>
          <w:szCs w:val="20"/>
        </w:rPr>
      </w:pPr>
      <w:r>
        <w:rPr>
          <w:rFonts w:ascii="Arial" w:eastAsia="Arial" w:hAnsi="Arial" w:cs="Arial"/>
          <w:color w:val="000000"/>
          <w:sz w:val="18"/>
          <w:szCs w:val="18"/>
        </w:rPr>
        <w:lastRenderedPageBreak/>
        <w:t xml:space="preserve">Místem plnění je Kutná Hora - Kotelna Hlouška a </w:t>
      </w:r>
      <w:proofErr w:type="spellStart"/>
      <w:r>
        <w:rPr>
          <w:rFonts w:ascii="Arial" w:eastAsia="Arial" w:hAnsi="Arial" w:cs="Arial"/>
          <w:color w:val="000000"/>
          <w:sz w:val="18"/>
          <w:szCs w:val="18"/>
        </w:rPr>
        <w:t>Šipší</w:t>
      </w:r>
      <w:proofErr w:type="spellEnd"/>
      <w:r>
        <w:rPr>
          <w:rFonts w:ascii="Arial" w:eastAsia="Arial" w:hAnsi="Arial" w:cs="Arial"/>
          <w:color w:val="000000"/>
          <w:sz w:val="18"/>
          <w:szCs w:val="18"/>
        </w:rPr>
        <w:t xml:space="preserve"> a dále domovní předávací stanice a ostatní technologie dle adres evidovaných k období říjen 2020 a uvedených v přílohách Dokumentace průběhu poptávkového řízení.</w:t>
      </w:r>
    </w:p>
    <w:p w:rsidR="000A39DE" w:rsidRDefault="002E4672">
      <w:pPr>
        <w:numPr>
          <w:ilvl w:val="0"/>
          <w:numId w:val="2"/>
        </w:numPr>
        <w:pBdr>
          <w:top w:val="nil"/>
          <w:left w:val="nil"/>
          <w:bottom w:val="nil"/>
          <w:right w:val="nil"/>
          <w:between w:val="nil"/>
        </w:pBdr>
        <w:spacing w:before="240"/>
        <w:ind w:hanging="720"/>
        <w:rPr>
          <w:rFonts w:ascii="Arial" w:eastAsia="Arial" w:hAnsi="Arial" w:cs="Arial"/>
          <w:b/>
          <w:sz w:val="18"/>
          <w:szCs w:val="18"/>
        </w:rPr>
      </w:pPr>
      <w:r>
        <w:rPr>
          <w:rFonts w:ascii="Arial" w:eastAsia="Arial" w:hAnsi="Arial" w:cs="Arial"/>
          <w:b/>
          <w:color w:val="000000"/>
          <w:sz w:val="18"/>
          <w:szCs w:val="18"/>
        </w:rPr>
        <w:t>Termíny</w:t>
      </w:r>
      <w:r>
        <w:rPr>
          <w:rFonts w:ascii="Arial" w:eastAsia="Arial" w:hAnsi="Arial" w:cs="Arial"/>
          <w:b/>
          <w:sz w:val="18"/>
          <w:szCs w:val="18"/>
        </w:rPr>
        <w:t xml:space="preserve"> plnění</w:t>
      </w:r>
    </w:p>
    <w:p w:rsidR="000A39DE" w:rsidRPr="008F279B" w:rsidRDefault="002E4672">
      <w:pPr>
        <w:numPr>
          <w:ilvl w:val="1"/>
          <w:numId w:val="2"/>
        </w:numPr>
        <w:tabs>
          <w:tab w:val="right" w:pos="9072"/>
        </w:tabs>
        <w:spacing w:before="120"/>
        <w:ind w:hanging="720"/>
        <w:jc w:val="both"/>
        <w:rPr>
          <w:b/>
          <w:color w:val="FF0000"/>
          <w:sz w:val="18"/>
          <w:szCs w:val="18"/>
        </w:rPr>
      </w:pPr>
      <w:r>
        <w:rPr>
          <w:rFonts w:ascii="Arial" w:eastAsia="Arial" w:hAnsi="Arial" w:cs="Arial"/>
          <w:sz w:val="18"/>
          <w:szCs w:val="18"/>
        </w:rPr>
        <w:t>Předání Díla</w:t>
      </w:r>
      <w:r>
        <w:rPr>
          <w:rFonts w:ascii="Arial" w:eastAsia="Arial" w:hAnsi="Arial" w:cs="Arial"/>
          <w:sz w:val="18"/>
          <w:szCs w:val="18"/>
        </w:rPr>
        <w:tab/>
      </w:r>
      <w:r w:rsidR="008F279B" w:rsidRPr="00D3193D">
        <w:rPr>
          <w:rFonts w:ascii="Arial" w:eastAsia="Arial" w:hAnsi="Arial" w:cs="Arial"/>
          <w:b/>
          <w:sz w:val="18"/>
          <w:szCs w:val="18"/>
        </w:rPr>
        <w:t xml:space="preserve">nejdéle </w:t>
      </w:r>
      <w:r w:rsidRPr="00D3193D">
        <w:rPr>
          <w:rFonts w:ascii="Arial" w:eastAsia="Arial" w:hAnsi="Arial" w:cs="Arial"/>
          <w:b/>
          <w:sz w:val="18"/>
          <w:szCs w:val="18"/>
        </w:rPr>
        <w:t xml:space="preserve">do </w:t>
      </w:r>
      <w:r w:rsidR="008F279B" w:rsidRPr="00D3193D">
        <w:rPr>
          <w:rFonts w:ascii="Arial" w:eastAsia="Arial" w:hAnsi="Arial" w:cs="Arial"/>
          <w:b/>
          <w:sz w:val="18"/>
          <w:szCs w:val="18"/>
        </w:rPr>
        <w:t>15</w:t>
      </w:r>
      <w:r w:rsidRPr="00D3193D">
        <w:rPr>
          <w:rFonts w:ascii="Arial" w:eastAsia="Arial" w:hAnsi="Arial" w:cs="Arial"/>
          <w:b/>
          <w:sz w:val="18"/>
          <w:szCs w:val="18"/>
        </w:rPr>
        <w:t>.</w:t>
      </w:r>
      <w:r w:rsidR="008F279B" w:rsidRPr="00D3193D">
        <w:rPr>
          <w:rFonts w:ascii="Arial" w:eastAsia="Arial" w:hAnsi="Arial" w:cs="Arial"/>
          <w:b/>
          <w:sz w:val="18"/>
          <w:szCs w:val="18"/>
        </w:rPr>
        <w:t xml:space="preserve"> 6</w:t>
      </w:r>
      <w:r w:rsidRPr="00D3193D">
        <w:rPr>
          <w:rFonts w:ascii="Arial" w:eastAsia="Arial" w:hAnsi="Arial" w:cs="Arial"/>
          <w:b/>
          <w:sz w:val="18"/>
          <w:szCs w:val="18"/>
        </w:rPr>
        <w:t>. 2021</w:t>
      </w:r>
    </w:p>
    <w:p w:rsidR="000A39DE" w:rsidRDefault="002E4672">
      <w:pPr>
        <w:numPr>
          <w:ilvl w:val="0"/>
          <w:numId w:val="2"/>
        </w:numPr>
        <w:pBdr>
          <w:top w:val="nil"/>
          <w:left w:val="nil"/>
          <w:bottom w:val="nil"/>
          <w:right w:val="nil"/>
          <w:between w:val="nil"/>
        </w:pBdr>
        <w:spacing w:before="240"/>
        <w:ind w:hanging="720"/>
        <w:rPr>
          <w:rFonts w:ascii="Arial" w:eastAsia="Arial" w:hAnsi="Arial" w:cs="Arial"/>
          <w:sz w:val="18"/>
          <w:szCs w:val="18"/>
        </w:rPr>
      </w:pPr>
      <w:r>
        <w:rPr>
          <w:rFonts w:ascii="Arial" w:eastAsia="Arial" w:hAnsi="Arial" w:cs="Arial"/>
          <w:b/>
          <w:color w:val="000000"/>
          <w:sz w:val="18"/>
          <w:szCs w:val="18"/>
        </w:rPr>
        <w:t>Cena</w:t>
      </w:r>
      <w:r>
        <w:rPr>
          <w:rFonts w:ascii="Arial" w:eastAsia="Arial" w:hAnsi="Arial" w:cs="Arial"/>
          <w:b/>
          <w:sz w:val="18"/>
          <w:szCs w:val="18"/>
        </w:rPr>
        <w:t xml:space="preserve"> vyhotovení Díla a platební podmínky</w:t>
      </w:r>
    </w:p>
    <w:p w:rsidR="000A39DE" w:rsidRDefault="002E4672">
      <w:pPr>
        <w:numPr>
          <w:ilvl w:val="1"/>
          <w:numId w:val="2"/>
        </w:numPr>
        <w:spacing w:before="120"/>
        <w:ind w:hanging="720"/>
        <w:jc w:val="both"/>
        <w:rPr>
          <w:b/>
          <w:sz w:val="18"/>
          <w:szCs w:val="18"/>
        </w:rPr>
      </w:pPr>
      <w:bookmarkStart w:id="0" w:name="_heading=h.gjdgxs" w:colFirst="0" w:colLast="0"/>
      <w:bookmarkEnd w:id="0"/>
      <w:r>
        <w:rPr>
          <w:rFonts w:ascii="Arial" w:eastAsia="Arial" w:hAnsi="Arial" w:cs="Arial"/>
          <w:sz w:val="18"/>
          <w:szCs w:val="18"/>
        </w:rPr>
        <w:t xml:space="preserve">Smluvní strany sjednávají za vyhotovení Díla dle čl. </w:t>
      </w:r>
      <w:proofErr w:type="gramStart"/>
      <w:r>
        <w:rPr>
          <w:rFonts w:ascii="Arial" w:eastAsia="Arial" w:hAnsi="Arial" w:cs="Arial"/>
          <w:sz w:val="18"/>
          <w:szCs w:val="18"/>
        </w:rPr>
        <w:t>2.1. této</w:t>
      </w:r>
      <w:proofErr w:type="gramEnd"/>
      <w:r>
        <w:rPr>
          <w:rFonts w:ascii="Arial" w:eastAsia="Arial" w:hAnsi="Arial" w:cs="Arial"/>
          <w:sz w:val="18"/>
          <w:szCs w:val="18"/>
        </w:rPr>
        <w:t xml:space="preserve"> Smlouvy pevnou cenu ve výši </w:t>
      </w:r>
      <w:r>
        <w:rPr>
          <w:rFonts w:ascii="Arial" w:eastAsia="Arial" w:hAnsi="Arial" w:cs="Arial"/>
          <w:b/>
          <w:sz w:val="18"/>
          <w:szCs w:val="18"/>
        </w:rPr>
        <w:t>289.000,-Kč</w:t>
      </w:r>
      <w:r>
        <w:rPr>
          <w:rFonts w:ascii="Arial" w:eastAsia="Arial" w:hAnsi="Arial" w:cs="Arial"/>
          <w:sz w:val="18"/>
          <w:szCs w:val="18"/>
        </w:rPr>
        <w:t xml:space="preserve"> (slovy: dvě stě osmdesát devět tisíc korun českých) bez DPH. </w:t>
      </w:r>
    </w:p>
    <w:p w:rsidR="000A39DE" w:rsidRDefault="002E4672">
      <w:pPr>
        <w:spacing w:before="120"/>
        <w:ind w:left="720"/>
        <w:jc w:val="both"/>
        <w:rPr>
          <w:rFonts w:ascii="Arial" w:eastAsia="Arial" w:hAnsi="Arial" w:cs="Arial"/>
          <w:sz w:val="18"/>
          <w:szCs w:val="18"/>
        </w:rPr>
      </w:pPr>
      <w:r>
        <w:rPr>
          <w:rFonts w:ascii="Arial" w:eastAsia="Arial" w:hAnsi="Arial" w:cs="Arial"/>
          <w:sz w:val="18"/>
          <w:szCs w:val="18"/>
        </w:rPr>
        <w:t>Objednatel připouští úpravu výše uvedené ceny pouze v tom případě, že v průběhu plnění díla dojde ke změně daňových předpisů majících vliv na konečnou nabídkovou cenu. Jiné podmínky pro překročení ceny nejsou přípustné.</w:t>
      </w:r>
    </w:p>
    <w:p w:rsidR="000A39DE" w:rsidRDefault="002E4672">
      <w:pPr>
        <w:numPr>
          <w:ilvl w:val="1"/>
          <w:numId w:val="2"/>
        </w:numPr>
        <w:spacing w:before="120"/>
        <w:ind w:hanging="720"/>
        <w:jc w:val="both"/>
        <w:rPr>
          <w:b/>
          <w:sz w:val="18"/>
          <w:szCs w:val="18"/>
        </w:rPr>
      </w:pPr>
      <w:bookmarkStart w:id="1" w:name="_heading=h.1fob9te" w:colFirst="0" w:colLast="0"/>
      <w:bookmarkEnd w:id="1"/>
      <w:r>
        <w:rPr>
          <w:rFonts w:ascii="Arial" w:eastAsia="Arial" w:hAnsi="Arial" w:cs="Arial"/>
          <w:sz w:val="18"/>
          <w:szCs w:val="18"/>
        </w:rPr>
        <w:t>Cena za Dílo bude uhrazena bezhotovostním převodem na účet</w:t>
      </w:r>
      <w:r w:rsidRPr="00A70D21">
        <w:rPr>
          <w:rFonts w:ascii="Arial" w:eastAsia="Arial" w:hAnsi="Arial" w:cs="Arial"/>
          <w:color w:val="FF0000"/>
          <w:sz w:val="18"/>
          <w:szCs w:val="18"/>
        </w:rPr>
        <w:t xml:space="preserve"> </w:t>
      </w:r>
      <w:r w:rsidR="00A70D21" w:rsidRPr="00D3193D">
        <w:rPr>
          <w:rFonts w:ascii="Arial" w:eastAsia="Arial" w:hAnsi="Arial" w:cs="Arial"/>
          <w:sz w:val="18"/>
          <w:szCs w:val="18"/>
        </w:rPr>
        <w:t xml:space="preserve">Poskytovatele </w:t>
      </w:r>
      <w:r>
        <w:rPr>
          <w:rFonts w:ascii="Arial" w:eastAsia="Arial" w:hAnsi="Arial" w:cs="Arial"/>
          <w:sz w:val="18"/>
          <w:szCs w:val="18"/>
        </w:rPr>
        <w:t>jednorázově po předání díla</w:t>
      </w:r>
      <w:r w:rsidR="00A70D21">
        <w:rPr>
          <w:rFonts w:ascii="Arial" w:eastAsia="Arial" w:hAnsi="Arial" w:cs="Arial"/>
          <w:sz w:val="18"/>
          <w:szCs w:val="18"/>
        </w:rPr>
        <w:t xml:space="preserve"> </w:t>
      </w:r>
      <w:r w:rsidR="00A70D21" w:rsidRPr="00D3193D">
        <w:rPr>
          <w:rFonts w:ascii="Arial" w:eastAsia="Arial" w:hAnsi="Arial" w:cs="Arial"/>
          <w:sz w:val="18"/>
          <w:szCs w:val="18"/>
        </w:rPr>
        <w:t>Poskytovatelem</w:t>
      </w:r>
      <w:r w:rsidR="00A70D21" w:rsidRPr="00A70D21">
        <w:rPr>
          <w:rFonts w:ascii="Arial" w:eastAsia="Arial" w:hAnsi="Arial" w:cs="Arial"/>
          <w:color w:val="FF0000"/>
          <w:sz w:val="18"/>
          <w:szCs w:val="18"/>
        </w:rPr>
        <w:t xml:space="preserve"> </w:t>
      </w:r>
      <w:r>
        <w:rPr>
          <w:rFonts w:ascii="Arial" w:eastAsia="Arial" w:hAnsi="Arial" w:cs="Arial"/>
          <w:sz w:val="18"/>
          <w:szCs w:val="18"/>
        </w:rPr>
        <w:t xml:space="preserve"> a jeho převzetí objednatelem.</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Smluvní strany se dohodly, že veškeré Poskytovatelem vystavené daňové doklady - faktury budou mít lhůtu splatnosti 30 dnů ode dne jejich doručení Objednateli.</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Smluvní strany se současně dohodly, že zasílání daňových dokladů bude probíhat pouze elektronickou formou. Objednatel je oprávněn vrátit fakturu Poskytovateli, bude-li obsahovat nesprávné údaje. V tom případě se na fakturu hledí jako na nedoručenou. Za nesprávné údaje se považují zejména:</w:t>
      </w:r>
    </w:p>
    <w:p w:rsidR="000A39DE" w:rsidRDefault="002E4672">
      <w:pPr>
        <w:numPr>
          <w:ilvl w:val="2"/>
          <w:numId w:val="2"/>
        </w:numPr>
        <w:spacing w:before="240"/>
        <w:ind w:hanging="556"/>
        <w:jc w:val="both"/>
        <w:rPr>
          <w:rFonts w:ascii="Arial" w:eastAsia="Arial" w:hAnsi="Arial" w:cs="Arial"/>
          <w:sz w:val="18"/>
          <w:szCs w:val="18"/>
        </w:rPr>
      </w:pPr>
      <w:r>
        <w:rPr>
          <w:rFonts w:ascii="Arial" w:eastAsia="Arial" w:hAnsi="Arial" w:cs="Arial"/>
          <w:sz w:val="18"/>
          <w:szCs w:val="18"/>
        </w:rPr>
        <w:t>faktura nemá náležitosti daňového dokladu v souladu s příslušnými právními předpisy;</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údaje na faktuře neodpovídají obsahu této Smlouvy,</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splatnost neodpovídá dohodnutým podmínkám.</w:t>
      </w:r>
    </w:p>
    <w:p w:rsidR="000A39DE" w:rsidRDefault="002E4672">
      <w:pPr>
        <w:numPr>
          <w:ilvl w:val="0"/>
          <w:numId w:val="2"/>
        </w:numPr>
        <w:pBdr>
          <w:top w:val="nil"/>
          <w:left w:val="nil"/>
          <w:bottom w:val="nil"/>
          <w:right w:val="nil"/>
          <w:between w:val="nil"/>
        </w:pBdr>
        <w:spacing w:before="240"/>
        <w:ind w:hanging="720"/>
        <w:rPr>
          <w:rFonts w:ascii="Arial" w:eastAsia="Arial" w:hAnsi="Arial" w:cs="Arial"/>
          <w:sz w:val="18"/>
          <w:szCs w:val="18"/>
        </w:rPr>
      </w:pPr>
      <w:r>
        <w:rPr>
          <w:rFonts w:ascii="Arial" w:eastAsia="Arial" w:hAnsi="Arial" w:cs="Arial"/>
          <w:b/>
          <w:color w:val="000000"/>
          <w:sz w:val="18"/>
          <w:szCs w:val="18"/>
        </w:rPr>
        <w:t>Práva</w:t>
      </w:r>
      <w:r>
        <w:rPr>
          <w:rFonts w:ascii="Arial" w:eastAsia="Arial" w:hAnsi="Arial" w:cs="Arial"/>
          <w:b/>
          <w:sz w:val="18"/>
          <w:szCs w:val="18"/>
        </w:rPr>
        <w:t xml:space="preserve"> a povinnosti Poskytovatele</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Poskytovatel je při plnění Díla a vyhodnocování výstupů povinen dodržovat závazné předpisy a ujednání této Smlouvy, pokyny Objednatele, stanoviska a rozhodnutí příslušných orgánů státní správy a vycházet z podkladů předaných mu Objednatelem nebo obstaraných v rámci plnění této Smlouvy.</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Poskytovatel je oprávněn použít ke splnění svého závazku podle této Smlouvy další osoby. Za služby poskytnuté třetí stranou však nese odpovědnost Poskytovatel, a to tak, jako by závazek plnil sám. Poskytovatel je povinen zajistit, že tyto další osoby budou zavázány stejnými povinnostmi ohledně mlčenlivosti a zachování obchodního tajemství jako Poskytovatel.</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Poskytovatel je povinen vyhotovit Dílo řádně a s odbornou péčí.</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Finální verze Díla bude Objednateli předána v jednom originálním (1) pare a jednou na digitálním nosiči USB. </w:t>
      </w:r>
    </w:p>
    <w:p w:rsidR="000A39DE" w:rsidRDefault="002E4672">
      <w:pPr>
        <w:numPr>
          <w:ilvl w:val="0"/>
          <w:numId w:val="2"/>
        </w:numPr>
        <w:pBdr>
          <w:top w:val="nil"/>
          <w:left w:val="nil"/>
          <w:bottom w:val="nil"/>
          <w:right w:val="nil"/>
          <w:between w:val="nil"/>
        </w:pBdr>
        <w:spacing w:before="240"/>
        <w:ind w:hanging="720"/>
        <w:rPr>
          <w:rFonts w:ascii="Arial" w:eastAsia="Arial" w:hAnsi="Arial" w:cs="Arial"/>
          <w:sz w:val="18"/>
          <w:szCs w:val="18"/>
        </w:rPr>
      </w:pPr>
      <w:r>
        <w:rPr>
          <w:rFonts w:ascii="Arial" w:eastAsia="Arial" w:hAnsi="Arial" w:cs="Arial"/>
          <w:b/>
          <w:color w:val="000000"/>
          <w:sz w:val="18"/>
          <w:szCs w:val="18"/>
        </w:rPr>
        <w:t>Protiplnění</w:t>
      </w:r>
      <w:r>
        <w:rPr>
          <w:rFonts w:ascii="Arial" w:eastAsia="Arial" w:hAnsi="Arial" w:cs="Arial"/>
          <w:b/>
          <w:sz w:val="18"/>
          <w:szCs w:val="18"/>
        </w:rPr>
        <w:t xml:space="preserve"> Objednatele</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Objednatel se zavazuje k plné součinnosti v rámci provádění Díla Poskytovatelem, zejména pak:</w:t>
      </w:r>
    </w:p>
    <w:p w:rsidR="000A39DE" w:rsidRDefault="002E4672">
      <w:pPr>
        <w:numPr>
          <w:ilvl w:val="2"/>
          <w:numId w:val="2"/>
        </w:numPr>
        <w:spacing w:before="240"/>
        <w:ind w:hanging="556"/>
        <w:jc w:val="both"/>
        <w:rPr>
          <w:rFonts w:ascii="Arial" w:eastAsia="Arial" w:hAnsi="Arial" w:cs="Arial"/>
          <w:sz w:val="18"/>
          <w:szCs w:val="18"/>
        </w:rPr>
      </w:pPr>
      <w:r>
        <w:rPr>
          <w:rFonts w:ascii="Arial" w:eastAsia="Arial" w:hAnsi="Arial" w:cs="Arial"/>
          <w:sz w:val="18"/>
          <w:szCs w:val="18"/>
        </w:rPr>
        <w:t>poskytnutí veškeré dostupné technické dokumentace týkající se předmětu plnění Díla;</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součinnost Objednatele v rámci poskytování informací;</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zajištění přístupu do všech objektů, které jsou v rámci této Smlouvy považovány za místo plnění;</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nebo spoluúčasti na technických jednáních Objednatele s třetími stranami;</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vystavení pověření pro Poskytovatele pro jednání se třetími stranami majícími právní vztah k místu plnění;</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 xml:space="preserve">vyjadřovat se bez zbytečného odkladu v průběhu zpracování závazně k návrhům nebo pracovním verzím Zhotovitele.  </w:t>
      </w:r>
    </w:p>
    <w:p w:rsidR="000A39DE" w:rsidRDefault="002E4672">
      <w:pPr>
        <w:numPr>
          <w:ilvl w:val="0"/>
          <w:numId w:val="2"/>
        </w:numPr>
        <w:pBdr>
          <w:top w:val="nil"/>
          <w:left w:val="nil"/>
          <w:bottom w:val="nil"/>
          <w:right w:val="nil"/>
          <w:between w:val="nil"/>
        </w:pBdr>
        <w:spacing w:before="240"/>
        <w:ind w:hanging="720"/>
        <w:rPr>
          <w:rFonts w:ascii="Arial" w:eastAsia="Arial" w:hAnsi="Arial" w:cs="Arial"/>
          <w:sz w:val="18"/>
          <w:szCs w:val="18"/>
        </w:rPr>
      </w:pPr>
      <w:r>
        <w:rPr>
          <w:rFonts w:ascii="Arial" w:eastAsia="Arial" w:hAnsi="Arial" w:cs="Arial"/>
          <w:b/>
          <w:color w:val="000000"/>
          <w:sz w:val="18"/>
          <w:szCs w:val="18"/>
        </w:rPr>
        <w:t>Trvání</w:t>
      </w:r>
      <w:r>
        <w:rPr>
          <w:rFonts w:ascii="Arial" w:eastAsia="Arial" w:hAnsi="Arial" w:cs="Arial"/>
          <w:b/>
          <w:sz w:val="18"/>
          <w:szCs w:val="18"/>
        </w:rPr>
        <w:t xml:space="preserve"> Smlouvy</w:t>
      </w:r>
    </w:p>
    <w:p w:rsidR="000A39DE" w:rsidRDefault="002E4672">
      <w:pPr>
        <w:numPr>
          <w:ilvl w:val="1"/>
          <w:numId w:val="2"/>
        </w:numPr>
        <w:spacing w:before="120"/>
        <w:ind w:hanging="720"/>
        <w:jc w:val="both"/>
        <w:rPr>
          <w:b/>
          <w:sz w:val="18"/>
          <w:szCs w:val="18"/>
        </w:rPr>
      </w:pPr>
      <w:r>
        <w:rPr>
          <w:rFonts w:ascii="Arial" w:eastAsia="Arial" w:hAnsi="Arial" w:cs="Arial"/>
          <w:sz w:val="18"/>
          <w:szCs w:val="18"/>
        </w:rPr>
        <w:lastRenderedPageBreak/>
        <w:t>Smluvní strany mohou ukončit tuto Smlouvu na základě písemné dohody stran, nebo odstoupením jedné ze smluvních stran od této Smlouvy, a to vše za podmínek níže specifikovaných v tomto článku.</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Obě smluvní strany mají dále právo od Smlouvy odstoupit v případě podstatného porušení smluvních povinností, když k řádnému a oprávněnému odstoupení od této Smlouvy může dojít pouze v případě, kdy odstupující nejprve upozorní druhou smluvní stranu na podstatné porušení smluvní povinnosti a poskytne jí současně dodatečný náhradní termín k odstranění zjištěného vadného stavu, tj. teprve po marném uplynutí dodatečného náhradního </w:t>
      </w:r>
      <w:proofErr w:type="gramStart"/>
      <w:r>
        <w:rPr>
          <w:rFonts w:ascii="Arial" w:eastAsia="Arial" w:hAnsi="Arial" w:cs="Arial"/>
          <w:sz w:val="18"/>
          <w:szCs w:val="18"/>
        </w:rPr>
        <w:t>čtrnácti</w:t>
      </w:r>
      <w:proofErr w:type="gramEnd"/>
      <w:r>
        <w:rPr>
          <w:rFonts w:ascii="Arial" w:eastAsia="Arial" w:hAnsi="Arial" w:cs="Arial"/>
          <w:sz w:val="18"/>
          <w:szCs w:val="18"/>
        </w:rPr>
        <w:t xml:space="preserve"> denního termínu a zároveň neodstranění vadného stavu je možné odstoupit od této Smlouvy. Obě smluvní strany mají dále právo odstoupit od této Smlouvy v případě, že bude zjištěn úpadek jedné ze smluvních stran nebo dojde k zamítnutí insolvenčního návrhu pro nedostatek majetku.</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Smluvní strany se dohodly, že za podstatné porušení smluvních povinností této Smlouvy, a za důvod pro odstoupení od Smlouvy bude považováno zejména:</w:t>
      </w:r>
    </w:p>
    <w:p w:rsidR="000A39DE" w:rsidRDefault="002E4672">
      <w:pPr>
        <w:numPr>
          <w:ilvl w:val="2"/>
          <w:numId w:val="2"/>
        </w:numPr>
        <w:spacing w:before="240"/>
        <w:ind w:hanging="556"/>
        <w:jc w:val="both"/>
        <w:rPr>
          <w:rFonts w:ascii="Arial" w:eastAsia="Arial" w:hAnsi="Arial" w:cs="Arial"/>
          <w:sz w:val="18"/>
          <w:szCs w:val="18"/>
        </w:rPr>
      </w:pPr>
      <w:r>
        <w:rPr>
          <w:rFonts w:ascii="Arial" w:eastAsia="Arial" w:hAnsi="Arial" w:cs="Arial"/>
          <w:sz w:val="18"/>
          <w:szCs w:val="18"/>
        </w:rPr>
        <w:t>jestliže bude Poskytovatel v prodlení s dílčím plněním díla, které bylo oboustranně odsouhlaseno pro daný termín, o více jak 30 pracovních dnů a nejsou pro tento posun termínu relevantní důvody;</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pokud Objednatel bude v prodlení s úhradou svých splatných závazků vůči Poskytovateli v souladu s touto Smlouvou o více jak 30 dnů;</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pokud Objednatel nebude řádně poskytovat Poskytovateli potřebnou součinnost k plnění této Smlouvy;</w:t>
      </w:r>
    </w:p>
    <w:p w:rsidR="000A39DE" w:rsidRDefault="002E4672">
      <w:pPr>
        <w:numPr>
          <w:ilvl w:val="2"/>
          <w:numId w:val="2"/>
        </w:numPr>
        <w:ind w:hanging="556"/>
        <w:jc w:val="both"/>
        <w:rPr>
          <w:rFonts w:ascii="Arial" w:eastAsia="Arial" w:hAnsi="Arial" w:cs="Arial"/>
          <w:sz w:val="18"/>
          <w:szCs w:val="18"/>
        </w:rPr>
      </w:pPr>
      <w:r>
        <w:rPr>
          <w:rFonts w:ascii="Arial" w:eastAsia="Arial" w:hAnsi="Arial" w:cs="Arial"/>
          <w:sz w:val="18"/>
          <w:szCs w:val="18"/>
        </w:rPr>
        <w:t xml:space="preserve">pokud Poskytovatel nezhotoví Dílo řádně v souladu s touto Smlouvou, zejména v rozporu s čl. </w:t>
      </w:r>
      <w:proofErr w:type="gramStart"/>
      <w:r>
        <w:rPr>
          <w:rFonts w:ascii="Arial" w:eastAsia="Arial" w:hAnsi="Arial" w:cs="Arial"/>
          <w:sz w:val="18"/>
          <w:szCs w:val="18"/>
        </w:rPr>
        <w:t>5.4. této</w:t>
      </w:r>
      <w:proofErr w:type="gramEnd"/>
      <w:r>
        <w:rPr>
          <w:rFonts w:ascii="Arial" w:eastAsia="Arial" w:hAnsi="Arial" w:cs="Arial"/>
          <w:sz w:val="18"/>
          <w:szCs w:val="18"/>
        </w:rPr>
        <w:t xml:space="preserve"> Smlouvy.</w:t>
      </w:r>
    </w:p>
    <w:p w:rsidR="000A39DE" w:rsidRDefault="002E4672">
      <w:pPr>
        <w:widowControl w:val="0"/>
        <w:numPr>
          <w:ilvl w:val="1"/>
          <w:numId w:val="2"/>
        </w:numPr>
        <w:spacing w:before="120"/>
        <w:ind w:hanging="720"/>
        <w:jc w:val="both"/>
        <w:rPr>
          <w:b/>
          <w:sz w:val="18"/>
          <w:szCs w:val="18"/>
        </w:rPr>
      </w:pPr>
      <w:r>
        <w:rPr>
          <w:rFonts w:ascii="Arial" w:eastAsia="Arial" w:hAnsi="Arial" w:cs="Arial"/>
          <w:sz w:val="18"/>
          <w:szCs w:val="18"/>
        </w:rPr>
        <w:t>Smluvní strany se dohodly, že odstoupení od Smlouvy je účinné dnem doručení písemného oznámení druhé smluvní straně.</w:t>
      </w:r>
    </w:p>
    <w:p w:rsidR="000A39DE" w:rsidRDefault="002E4672">
      <w:pPr>
        <w:numPr>
          <w:ilvl w:val="0"/>
          <w:numId w:val="2"/>
        </w:numPr>
        <w:pBdr>
          <w:top w:val="nil"/>
          <w:left w:val="nil"/>
          <w:bottom w:val="nil"/>
          <w:right w:val="nil"/>
          <w:between w:val="nil"/>
        </w:pBdr>
        <w:spacing w:before="240"/>
        <w:ind w:hanging="720"/>
        <w:rPr>
          <w:sz w:val="18"/>
          <w:szCs w:val="18"/>
        </w:rPr>
      </w:pPr>
      <w:r>
        <w:rPr>
          <w:rFonts w:ascii="Arial" w:eastAsia="Arial" w:hAnsi="Arial" w:cs="Arial"/>
          <w:b/>
          <w:sz w:val="18"/>
          <w:szCs w:val="18"/>
        </w:rPr>
        <w:t>Mlčenlivost</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Smluvní strany berou na vědomí, že tato Smlouva, veškeré informace a skutečnosti v návaznosti na ní jsou předmětem obchodního tajemství Objednatele a považují se za důvěrné ve smyslu </w:t>
      </w:r>
      <w:proofErr w:type="spellStart"/>
      <w:r>
        <w:rPr>
          <w:rFonts w:ascii="Arial" w:eastAsia="Arial" w:hAnsi="Arial" w:cs="Arial"/>
          <w:sz w:val="18"/>
          <w:szCs w:val="18"/>
        </w:rPr>
        <w:t>ust</w:t>
      </w:r>
      <w:proofErr w:type="spellEnd"/>
      <w:r>
        <w:rPr>
          <w:rFonts w:ascii="Arial" w:eastAsia="Arial" w:hAnsi="Arial" w:cs="Arial"/>
          <w:sz w:val="18"/>
          <w:szCs w:val="18"/>
        </w:rPr>
        <w:t xml:space="preserve">. § 1730 odst. 2 NOZ. Technická dokumentace týkající se provádění Díla, popisy nebo části popisů technologických procesů a vzorců, technických vzorců, technického a obchodního know-how, informace o provozních metodách, procedurách a pracovních postupech, jsou předmětem obchodního tajemství Objednatele a považují se za důvěrné ve smyslu </w:t>
      </w:r>
      <w:proofErr w:type="spellStart"/>
      <w:r>
        <w:rPr>
          <w:rFonts w:ascii="Arial" w:eastAsia="Arial" w:hAnsi="Arial" w:cs="Arial"/>
          <w:sz w:val="18"/>
          <w:szCs w:val="18"/>
        </w:rPr>
        <w:t>ust</w:t>
      </w:r>
      <w:proofErr w:type="spellEnd"/>
      <w:r>
        <w:rPr>
          <w:rFonts w:ascii="Arial" w:eastAsia="Arial" w:hAnsi="Arial" w:cs="Arial"/>
          <w:sz w:val="18"/>
          <w:szCs w:val="18"/>
        </w:rPr>
        <w:t>. § 1730 odst. 2 NOZ v případě, že jsou explicitně označena jako “Důvěrné” nebo “</w:t>
      </w:r>
      <w:proofErr w:type="spellStart"/>
      <w:r>
        <w:rPr>
          <w:rFonts w:ascii="Arial" w:eastAsia="Arial" w:hAnsi="Arial" w:cs="Arial"/>
          <w:sz w:val="18"/>
          <w:szCs w:val="18"/>
        </w:rPr>
        <w:t>Confidential</w:t>
      </w:r>
      <w:proofErr w:type="spellEnd"/>
      <w:r>
        <w:rPr>
          <w:rFonts w:ascii="Arial" w:eastAsia="Arial" w:hAnsi="Arial" w:cs="Arial"/>
          <w:sz w:val="18"/>
          <w:szCs w:val="18"/>
        </w:rPr>
        <w:t xml:space="preserve">”. </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Nestanoví-li tato Smlouva jinak, zůstávají veškeré důvěrné informace a obchodní tajemství výhradním vlastnictvím Objednatele a Poskytovatel se zavazuje vyvinout pro zachování jejich důvěrnosti stejné úsilí, jako by se jednalo o její vlastní důvěrné informace. Výjimku tvoří informace vyžádané třetími osobami, jejichž oprávnění vyplývá z příslušných právních předpisů. Poskytovatel se zavazuje zachovávat absolutní mlčenlivost o všech skutečnostech, které se o Objednateli a jeho obchodních záměrech a jiných zájmech při plnění této Smlouvy dozvěděl, pokud jejich poskytnutí třetí osobě není nezbytné pro splnění předmětu této Smlouvy, nebo k jejich poskytnutí Objednatel nedal výslovný souhlas. Tímto ustanovením není dotčeno oprávnění Poskytovatele poskytnout dokumenty týkající se díla nebo sdělovat údaje týkající se díla advokátům, daňovým poradcům, auditorům či jiným osobám vázaným na základě zvláštního právního předpisu povinností mlčenlivosti. Tyto osoby musí být na povinnost mlčenlivosti upozorněny. Poskytovatel je oprávněn uvedené dokumenty a údaje poskytnout a sdělit rovněž svým zaměstnancům a subdodavatelům pověřeným k plnění předmětu této Smlouvy, pokud se tito zaměstnanci a subdodavatelé zaváží k mlčenlivosti a utajení údajů za stejných podmínek, jaké jsou uvedeny v této Smlouvě.</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Smluvní strany vědomy si obsahu článku </w:t>
      </w:r>
      <w:proofErr w:type="gramStart"/>
      <w:r>
        <w:rPr>
          <w:rFonts w:ascii="Arial" w:eastAsia="Arial" w:hAnsi="Arial" w:cs="Arial"/>
          <w:sz w:val="18"/>
          <w:szCs w:val="18"/>
        </w:rPr>
        <w:t>8.1</w:t>
      </w:r>
      <w:proofErr w:type="gramEnd"/>
      <w:r>
        <w:rPr>
          <w:rFonts w:ascii="Arial" w:eastAsia="Arial" w:hAnsi="Arial" w:cs="Arial"/>
          <w:sz w:val="18"/>
          <w:szCs w:val="18"/>
        </w:rPr>
        <w:t>. a 8.2. po vzájemné dohodě souhlasí s tím, že je poskytovatel oprávněn po předchozím písemném oznámení objednateli přizvat k plnění Díla i nezávislého experta, který bude zavázán stejnými povinnostmi ohledně mlčenlivosti a zachování obchodního tajemství jako Poskytovatel.</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Smluvní strany se dohodly, že na základě uzavření této Smlouvy, je možné v rámci prezentace a referenčních listů společnosti </w:t>
      </w:r>
      <w:r w:rsidR="00C66A61" w:rsidRPr="00D3193D">
        <w:rPr>
          <w:rFonts w:ascii="Arial" w:eastAsia="Arial" w:hAnsi="Arial" w:cs="Arial"/>
          <w:sz w:val="18"/>
          <w:szCs w:val="18"/>
        </w:rPr>
        <w:t>Poskytovatele</w:t>
      </w:r>
      <w:r w:rsidRPr="00D3193D">
        <w:rPr>
          <w:rFonts w:ascii="Arial" w:eastAsia="Arial" w:hAnsi="Arial" w:cs="Arial"/>
          <w:sz w:val="18"/>
          <w:szCs w:val="18"/>
        </w:rPr>
        <w:t>,</w:t>
      </w:r>
      <w:r>
        <w:rPr>
          <w:rFonts w:ascii="Arial" w:eastAsia="Arial" w:hAnsi="Arial" w:cs="Arial"/>
          <w:sz w:val="18"/>
          <w:szCs w:val="18"/>
        </w:rPr>
        <w:t xml:space="preserve"> veřejně publikovat protistranu jako svého obchodního partnera a veřejně publikovat vyhotovené Dílo formou názvu, fotodokumentace, videa a případně technických informací, které nebudou v přímém rozporu s ustanovením čl. 8.1 a 8.2 této Smlouvy.</w:t>
      </w:r>
    </w:p>
    <w:p w:rsidR="000A39DE" w:rsidRDefault="002E4672">
      <w:pPr>
        <w:numPr>
          <w:ilvl w:val="0"/>
          <w:numId w:val="2"/>
        </w:numPr>
        <w:pBdr>
          <w:top w:val="nil"/>
          <w:left w:val="nil"/>
          <w:bottom w:val="nil"/>
          <w:right w:val="nil"/>
          <w:between w:val="nil"/>
        </w:pBdr>
        <w:spacing w:before="240"/>
        <w:ind w:hanging="720"/>
        <w:rPr>
          <w:rFonts w:ascii="Arial" w:eastAsia="Arial" w:hAnsi="Arial" w:cs="Arial"/>
          <w:sz w:val="18"/>
          <w:szCs w:val="18"/>
        </w:rPr>
      </w:pPr>
      <w:bookmarkStart w:id="2" w:name="_heading=h.3znysh7" w:colFirst="0" w:colLast="0"/>
      <w:bookmarkEnd w:id="2"/>
      <w:r>
        <w:rPr>
          <w:rFonts w:ascii="Arial" w:eastAsia="Arial" w:hAnsi="Arial" w:cs="Arial"/>
          <w:b/>
          <w:color w:val="000000"/>
          <w:sz w:val="18"/>
          <w:szCs w:val="18"/>
        </w:rPr>
        <w:lastRenderedPageBreak/>
        <w:t>Sankce</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V případě prodlení Poskytovatele s dodávkou Díla Objednateli se Poskytovatel zavazuje uhradit Objednateli smluvní pokutu ve výši 0,1 % z částky ceny Díla za každý započatý den prodlení.</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V případě prodlení Objednatele s úhradou pohledávky Poskytovatele dle čl. 4. této Smlouvy, se Objednatel zavazuje uhradit Poskytovateli smluvní pokutu ve výši 0,1 % z dlužné částky za každý započatý den prodlení. </w:t>
      </w:r>
    </w:p>
    <w:p w:rsidR="000A39DE" w:rsidRPr="00A70D21" w:rsidRDefault="002E4672">
      <w:pPr>
        <w:numPr>
          <w:ilvl w:val="1"/>
          <w:numId w:val="2"/>
        </w:numPr>
        <w:spacing w:before="120"/>
        <w:ind w:hanging="720"/>
        <w:jc w:val="both"/>
        <w:rPr>
          <w:b/>
          <w:sz w:val="18"/>
          <w:szCs w:val="18"/>
        </w:rPr>
      </w:pPr>
      <w:r>
        <w:rPr>
          <w:rFonts w:ascii="Arial" w:eastAsia="Arial" w:hAnsi="Arial" w:cs="Arial"/>
          <w:sz w:val="18"/>
          <w:szCs w:val="18"/>
        </w:rPr>
        <w:t>V případě porušení povinností smluvních stran vyplývajících a převzatých na základě ujednání specifikovaného v článku 8. této Smlouvy, je ta strana, která tu kterou smluvní povinnost poruší, povinna zaplatit druhé straně smluvní pokutu ve výši 10.000,- Kč za každý jednotlivý prokázaný případ takového porušení smluvní povinnosti. Smluvní pokuta je splatná vždy nejpozději do 14 dnů ode dne doručení výzvy k zaplacení smluvní pokuty druhé smluvní straně.</w:t>
      </w:r>
    </w:p>
    <w:p w:rsidR="00A70D21" w:rsidRPr="00D3193D" w:rsidRDefault="00A70D21">
      <w:pPr>
        <w:numPr>
          <w:ilvl w:val="1"/>
          <w:numId w:val="2"/>
        </w:numPr>
        <w:spacing w:before="120"/>
        <w:ind w:hanging="720"/>
        <w:jc w:val="both"/>
        <w:rPr>
          <w:b/>
          <w:sz w:val="18"/>
          <w:szCs w:val="18"/>
        </w:rPr>
      </w:pPr>
      <w:r w:rsidRPr="00D3193D">
        <w:rPr>
          <w:rFonts w:ascii="Arial" w:eastAsia="Arial" w:hAnsi="Arial" w:cs="Arial"/>
          <w:sz w:val="18"/>
          <w:szCs w:val="18"/>
        </w:rPr>
        <w:t xml:space="preserve">Zaplacením smluvní pokuty není dotčeno právo na náhradu škody, a to ani v části převyšující smluvní pokutu. </w:t>
      </w:r>
    </w:p>
    <w:p w:rsidR="000A39DE" w:rsidRDefault="002E4672">
      <w:pPr>
        <w:rPr>
          <w:rFonts w:ascii="Arial" w:eastAsia="Arial" w:hAnsi="Arial" w:cs="Arial"/>
          <w:b/>
          <w:color w:val="000000"/>
          <w:sz w:val="18"/>
          <w:szCs w:val="18"/>
        </w:rPr>
      </w:pPr>
      <w:r>
        <w:br w:type="page"/>
      </w:r>
    </w:p>
    <w:p w:rsidR="000A39DE" w:rsidRDefault="002E4672">
      <w:pPr>
        <w:numPr>
          <w:ilvl w:val="0"/>
          <w:numId w:val="2"/>
        </w:numPr>
        <w:pBdr>
          <w:top w:val="nil"/>
          <w:left w:val="nil"/>
          <w:bottom w:val="nil"/>
          <w:right w:val="nil"/>
          <w:between w:val="nil"/>
        </w:pBdr>
        <w:spacing w:before="240"/>
        <w:ind w:hanging="720"/>
        <w:rPr>
          <w:rFonts w:ascii="Arial" w:eastAsia="Arial" w:hAnsi="Arial" w:cs="Arial"/>
          <w:b/>
          <w:color w:val="000000"/>
          <w:sz w:val="18"/>
          <w:szCs w:val="18"/>
        </w:rPr>
      </w:pPr>
      <w:r>
        <w:rPr>
          <w:rFonts w:ascii="Arial" w:eastAsia="Arial" w:hAnsi="Arial" w:cs="Arial"/>
          <w:b/>
          <w:color w:val="000000"/>
          <w:sz w:val="18"/>
          <w:szCs w:val="18"/>
        </w:rPr>
        <w:lastRenderedPageBreak/>
        <w:t>Řešení sporů</w:t>
      </w:r>
    </w:p>
    <w:p w:rsidR="000A39DE" w:rsidRPr="00A70D21" w:rsidRDefault="002E4672">
      <w:pPr>
        <w:numPr>
          <w:ilvl w:val="1"/>
          <w:numId w:val="2"/>
        </w:numPr>
        <w:spacing w:before="120"/>
        <w:ind w:hanging="720"/>
        <w:jc w:val="both"/>
        <w:rPr>
          <w:b/>
          <w:strike/>
          <w:sz w:val="18"/>
          <w:szCs w:val="18"/>
        </w:rPr>
      </w:pPr>
      <w:r>
        <w:rPr>
          <w:rFonts w:ascii="Arial" w:eastAsia="Arial" w:hAnsi="Arial" w:cs="Arial"/>
          <w:sz w:val="18"/>
          <w:szCs w:val="18"/>
        </w:rPr>
        <w:t xml:space="preserve">Veškeré spory, které vzniknou na základě nebo v souvislosti s touto Smlouvou budou s konečnou platností rozhodovány </w:t>
      </w:r>
      <w:r w:rsidRPr="00D3193D">
        <w:rPr>
          <w:rFonts w:ascii="Arial" w:eastAsia="Arial" w:hAnsi="Arial" w:cs="Arial"/>
          <w:sz w:val="18"/>
          <w:szCs w:val="18"/>
        </w:rPr>
        <w:t xml:space="preserve">věcně </w:t>
      </w:r>
      <w:r w:rsidR="00A70D21" w:rsidRPr="00D3193D">
        <w:rPr>
          <w:rFonts w:ascii="Arial" w:eastAsia="Arial" w:hAnsi="Arial" w:cs="Arial"/>
          <w:sz w:val="18"/>
          <w:szCs w:val="18"/>
        </w:rPr>
        <w:t xml:space="preserve">a místně příslušným soudem. </w:t>
      </w:r>
    </w:p>
    <w:p w:rsidR="000A39DE" w:rsidRDefault="002E4672">
      <w:pPr>
        <w:numPr>
          <w:ilvl w:val="0"/>
          <w:numId w:val="2"/>
        </w:numPr>
        <w:pBdr>
          <w:top w:val="nil"/>
          <w:left w:val="nil"/>
          <w:bottom w:val="nil"/>
          <w:right w:val="nil"/>
          <w:between w:val="nil"/>
        </w:pBdr>
        <w:spacing w:before="240"/>
        <w:ind w:hanging="720"/>
        <w:rPr>
          <w:rFonts w:ascii="Arial" w:eastAsia="Arial" w:hAnsi="Arial" w:cs="Arial"/>
          <w:b/>
          <w:color w:val="000000"/>
          <w:sz w:val="18"/>
          <w:szCs w:val="18"/>
        </w:rPr>
      </w:pPr>
      <w:r>
        <w:rPr>
          <w:rFonts w:ascii="Arial" w:eastAsia="Arial" w:hAnsi="Arial" w:cs="Arial"/>
          <w:b/>
          <w:color w:val="000000"/>
          <w:sz w:val="18"/>
          <w:szCs w:val="18"/>
        </w:rPr>
        <w:t>Závěrečná ustanovení</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Tato Smlouva nabývá platnosti dnem jejího podpisu oběma smluvními stranami.</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Tato Smlouva a práva a povinnosti z ní vzniklá, včetně práv a povinností z porušení této Smlouvy, se budou řídit zákonem č. 89/2012 Sb., občanský zákoník.</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Práva vzniklá z této Smlouvy nesmí být postoupena bez předchozího písemného souhlasu druhé strany.</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Ukáže-li se některé z ustanovení této Smlouvy zdánlivým (nicotným), posoudí se vliv této vady na ostatní ustanovení Smlouvy obdobně podle § 576 občanského zákoníku.</w:t>
      </w:r>
    </w:p>
    <w:p w:rsidR="000A39DE" w:rsidRPr="00D3193D" w:rsidRDefault="002E4672" w:rsidP="00BB7136">
      <w:pPr>
        <w:numPr>
          <w:ilvl w:val="1"/>
          <w:numId w:val="2"/>
        </w:numPr>
        <w:spacing w:before="120"/>
        <w:ind w:hanging="720"/>
        <w:jc w:val="both"/>
        <w:rPr>
          <w:b/>
          <w:sz w:val="18"/>
          <w:szCs w:val="18"/>
        </w:rPr>
      </w:pPr>
      <w:r w:rsidRPr="00D3193D">
        <w:rPr>
          <w:rFonts w:ascii="Arial" w:eastAsia="Arial" w:hAnsi="Arial" w:cs="Arial"/>
          <w:sz w:val="18"/>
          <w:szCs w:val="18"/>
        </w:rPr>
        <w:t>Ustanovení této Smlouvy mohou být měněna a doplňována pouze formou písemných dodatků po dohodě a podepsaných oběma smluvními stranami.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 xml:space="preserve">Doručováno </w:t>
      </w:r>
      <w:proofErr w:type="gramStart"/>
      <w:r>
        <w:rPr>
          <w:rFonts w:ascii="Arial" w:eastAsia="Arial" w:hAnsi="Arial" w:cs="Arial"/>
          <w:sz w:val="18"/>
          <w:szCs w:val="18"/>
        </w:rPr>
        <w:t>bude</w:t>
      </w:r>
      <w:proofErr w:type="gramEnd"/>
      <w:r>
        <w:rPr>
          <w:rFonts w:ascii="Arial" w:eastAsia="Arial" w:hAnsi="Arial" w:cs="Arial"/>
          <w:sz w:val="18"/>
          <w:szCs w:val="18"/>
        </w:rPr>
        <w:t xml:space="preserve"> na adresu </w:t>
      </w:r>
      <w:proofErr w:type="gramStart"/>
      <w:r>
        <w:rPr>
          <w:rFonts w:ascii="Arial" w:eastAsia="Arial" w:hAnsi="Arial" w:cs="Arial"/>
          <w:sz w:val="18"/>
          <w:szCs w:val="18"/>
        </w:rPr>
        <w:t>viz</w:t>
      </w:r>
      <w:proofErr w:type="gramEnd"/>
      <w:r>
        <w:rPr>
          <w:rFonts w:ascii="Arial" w:eastAsia="Arial" w:hAnsi="Arial" w:cs="Arial"/>
          <w:sz w:val="18"/>
          <w:szCs w:val="18"/>
        </w:rPr>
        <w:t xml:space="preserve"> níže, případně dále na uvedenou emailovou adresu.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Ustanovení § 570 odst. 1 a 573 OZ se nepoužije.</w:t>
      </w:r>
    </w:p>
    <w:p w:rsidR="000A39DE" w:rsidRDefault="000A39DE">
      <w:pPr>
        <w:tabs>
          <w:tab w:val="left" w:pos="567"/>
          <w:tab w:val="left" w:pos="2160"/>
          <w:tab w:val="left" w:pos="2880"/>
        </w:tabs>
        <w:ind w:left="709"/>
        <w:jc w:val="both"/>
        <w:rPr>
          <w:rFonts w:ascii="Arial" w:eastAsia="Arial" w:hAnsi="Arial" w:cs="Arial"/>
          <w:sz w:val="18"/>
          <w:szCs w:val="18"/>
        </w:rPr>
      </w:pPr>
    </w:p>
    <w:p w:rsidR="000A39DE" w:rsidRDefault="002E4672">
      <w:pPr>
        <w:tabs>
          <w:tab w:val="left" w:pos="567"/>
          <w:tab w:val="left" w:pos="2160"/>
          <w:tab w:val="left" w:pos="2880"/>
        </w:tabs>
        <w:ind w:left="709"/>
        <w:jc w:val="both"/>
        <w:rPr>
          <w:rFonts w:ascii="Arial" w:eastAsia="Arial" w:hAnsi="Arial" w:cs="Arial"/>
          <w:b/>
          <w:sz w:val="18"/>
          <w:szCs w:val="18"/>
          <w:u w:val="single"/>
        </w:rPr>
      </w:pPr>
      <w:r>
        <w:rPr>
          <w:rFonts w:ascii="Arial" w:eastAsia="Arial" w:hAnsi="Arial" w:cs="Arial"/>
          <w:b/>
          <w:sz w:val="18"/>
          <w:szCs w:val="18"/>
        </w:rPr>
        <w:t>Objednatel:</w:t>
      </w: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Město Kutná Hora</w:t>
      </w: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Havlíčkovo náměstí 552/1, 284 01</w:t>
      </w:r>
    </w:p>
    <w:p w:rsidR="000A39DE" w:rsidRDefault="000A39DE">
      <w:pPr>
        <w:tabs>
          <w:tab w:val="left" w:pos="567"/>
          <w:tab w:val="left" w:pos="2160"/>
          <w:tab w:val="left" w:pos="2880"/>
        </w:tabs>
        <w:ind w:left="709"/>
        <w:jc w:val="both"/>
        <w:rPr>
          <w:rFonts w:ascii="Arial" w:eastAsia="Arial" w:hAnsi="Arial" w:cs="Arial"/>
          <w:sz w:val="18"/>
          <w:szCs w:val="18"/>
        </w:rPr>
      </w:pPr>
    </w:p>
    <w:p w:rsidR="000A39DE" w:rsidRDefault="002E4672">
      <w:pPr>
        <w:tabs>
          <w:tab w:val="left" w:pos="567"/>
          <w:tab w:val="left" w:pos="2160"/>
          <w:tab w:val="left" w:pos="2880"/>
        </w:tabs>
        <w:ind w:left="709"/>
        <w:jc w:val="both"/>
        <w:rPr>
          <w:rFonts w:ascii="Arial" w:eastAsia="Arial" w:hAnsi="Arial" w:cs="Arial"/>
          <w:b/>
          <w:sz w:val="18"/>
          <w:szCs w:val="18"/>
        </w:rPr>
      </w:pPr>
      <w:r>
        <w:rPr>
          <w:rFonts w:ascii="Arial" w:eastAsia="Arial" w:hAnsi="Arial" w:cs="Arial"/>
          <w:b/>
          <w:sz w:val="18"/>
          <w:szCs w:val="18"/>
        </w:rPr>
        <w:t>Poskytovatel:</w:t>
      </w: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 xml:space="preserve">BFS </w:t>
      </w:r>
      <w:proofErr w:type="spellStart"/>
      <w:r>
        <w:rPr>
          <w:rFonts w:ascii="Arial" w:eastAsia="Arial" w:hAnsi="Arial" w:cs="Arial"/>
          <w:sz w:val="18"/>
          <w:szCs w:val="18"/>
        </w:rPr>
        <w:t>Industry</w:t>
      </w:r>
      <w:proofErr w:type="spellEnd"/>
      <w:r>
        <w:rPr>
          <w:rFonts w:ascii="Arial" w:eastAsia="Arial" w:hAnsi="Arial" w:cs="Arial"/>
          <w:sz w:val="18"/>
          <w:szCs w:val="18"/>
        </w:rPr>
        <w:t>, s.r.o.</w:t>
      </w: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U Golfu 680, Praha Horní Měcholupy 109 00</w:t>
      </w:r>
    </w:p>
    <w:p w:rsidR="000A39DE" w:rsidRDefault="000A39DE">
      <w:pPr>
        <w:tabs>
          <w:tab w:val="left" w:pos="567"/>
          <w:tab w:val="left" w:pos="2160"/>
          <w:tab w:val="left" w:pos="2880"/>
        </w:tabs>
        <w:ind w:left="709"/>
        <w:jc w:val="both"/>
        <w:rPr>
          <w:rFonts w:ascii="Arial" w:eastAsia="Arial" w:hAnsi="Arial" w:cs="Arial"/>
          <w:sz w:val="18"/>
          <w:szCs w:val="18"/>
        </w:rPr>
      </w:pP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Doručování korespondence a dat technického charakteru, nemající přímého dopadu na změnu ustanovení této Smlouvy, bude prováděno výhradně elektronickou formou na následující emailové adresy:</w:t>
      </w:r>
    </w:p>
    <w:p w:rsidR="000A39DE" w:rsidRDefault="000A39DE">
      <w:pPr>
        <w:tabs>
          <w:tab w:val="left" w:pos="567"/>
          <w:tab w:val="left" w:pos="2160"/>
          <w:tab w:val="left" w:pos="2880"/>
        </w:tabs>
        <w:ind w:left="709"/>
        <w:jc w:val="both"/>
        <w:rPr>
          <w:rFonts w:ascii="Arial" w:eastAsia="Arial" w:hAnsi="Arial" w:cs="Arial"/>
          <w:sz w:val="18"/>
          <w:szCs w:val="18"/>
        </w:rPr>
      </w:pP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 xml:space="preserve">Objednatel: </w:t>
      </w:r>
      <w:r w:rsidR="00D3193D">
        <w:rPr>
          <w:rFonts w:ascii="Arial" w:eastAsia="Arial" w:hAnsi="Arial" w:cs="Arial"/>
          <w:sz w:val="18"/>
          <w:szCs w:val="18"/>
        </w:rPr>
        <w:t xml:space="preserve">   marhanova@mu.kutnahora.cz</w:t>
      </w:r>
    </w:p>
    <w:p w:rsidR="000A39DE" w:rsidRDefault="002E4672">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 xml:space="preserve">Poskytovatel: </w:t>
      </w:r>
      <w:r>
        <w:rPr>
          <w:rFonts w:ascii="Arial" w:eastAsia="Arial" w:hAnsi="Arial" w:cs="Arial"/>
          <w:color w:val="000000"/>
          <w:sz w:val="18"/>
          <w:szCs w:val="18"/>
        </w:rPr>
        <w:t>funda@bfsindustry.cz</w:t>
      </w:r>
    </w:p>
    <w:p w:rsidR="000A39DE" w:rsidRDefault="000A39DE">
      <w:pPr>
        <w:tabs>
          <w:tab w:val="left" w:pos="567"/>
          <w:tab w:val="left" w:pos="2160"/>
          <w:tab w:val="left" w:pos="2880"/>
        </w:tabs>
        <w:ind w:left="709"/>
        <w:jc w:val="both"/>
        <w:rPr>
          <w:rFonts w:ascii="Arial" w:eastAsia="Arial" w:hAnsi="Arial" w:cs="Arial"/>
          <w:sz w:val="18"/>
          <w:szCs w:val="18"/>
        </w:rPr>
      </w:pPr>
    </w:p>
    <w:p w:rsidR="000A39DE" w:rsidRDefault="002E4672">
      <w:pPr>
        <w:numPr>
          <w:ilvl w:val="1"/>
          <w:numId w:val="2"/>
        </w:numPr>
        <w:spacing w:before="120"/>
        <w:ind w:hanging="720"/>
        <w:jc w:val="both"/>
        <w:rPr>
          <w:b/>
          <w:sz w:val="18"/>
          <w:szCs w:val="18"/>
        </w:rPr>
      </w:pPr>
      <w:r>
        <w:rPr>
          <w:rFonts w:ascii="Arial" w:eastAsia="Arial" w:hAnsi="Arial" w:cs="Arial"/>
          <w:sz w:val="18"/>
          <w:szCs w:val="18"/>
        </w:rPr>
        <w:t>Smluvní strany se dohodly, že na smluvní vztah uzavřený mezi nimi na základě této Smlouvy se neuplatní ustanovení § 1726, 1748, § 2050, § 2051, § 2603, § 2609, § 2628 a § 2629 NOZ.</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Objednatel se může vzdát svých práv pouze výslovným písemným jednáním. Neuplatnění práva Objednatelem, byť opakované, není vzdáním se práva ani poskytnutím dodatečné lhůty k plnění. Platí, že jakékoli vzdání se práva, byť opakované, Objednatelem nezakládá změnu Smlouvy a týká se pouze práva konkrétně specifikovaného v listině, kterým se Objednatel práva vzdává.</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Obě smluvní strany tímto prohlašují a potvrzují, že veškerá ustanovení a podmínky této Smlouvy byly dohodnuty mezi smluvními stranami svobodně, vážně a jsou vyjádřením jejich vůle a na důkaz toho připojují níže své podpisy. Poskytovatel podpisem této Smlouvy přebírá na sebe nebezpečí změny okolností ve smyslu ustanovení § 1765 občanského zákoníku a není oprávněn se domáhat vůči Objednateli obnovení jednání o Smlouvě.</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Strany výslovně potvrzují, že jsou podnikateli a uzavírají tuto Smlouvu při svém podnikání, a na tuto Smlouvu se tudíž neuplatní ustanovení § 1793 až 1795 NOZ (neúměrné zkrácení) ani § 1796 NOZ (lichva).</w:t>
      </w:r>
    </w:p>
    <w:p w:rsidR="000A39DE" w:rsidRDefault="002E4672">
      <w:pPr>
        <w:numPr>
          <w:ilvl w:val="1"/>
          <w:numId w:val="2"/>
        </w:numPr>
        <w:spacing w:before="120"/>
        <w:ind w:hanging="720"/>
        <w:jc w:val="both"/>
        <w:rPr>
          <w:b/>
          <w:sz w:val="18"/>
          <w:szCs w:val="18"/>
        </w:rPr>
      </w:pPr>
      <w:r>
        <w:rPr>
          <w:rFonts w:ascii="Arial" w:eastAsia="Arial" w:hAnsi="Arial" w:cs="Arial"/>
          <w:sz w:val="18"/>
          <w:szCs w:val="18"/>
        </w:rPr>
        <w:t>Tato Smlouva je vyhotovena ve dvou stejnopisech v českém jazyce, z nichž každá ze smluvních stran obdrží po jednom stejnopisu. V případě pochybností vzniklých z překladu do jazyka anglického mají ve všech případech přednost ustanovení v jazyce českém.</w:t>
      </w:r>
    </w:p>
    <w:p w:rsidR="000A39DE" w:rsidRDefault="002E4672">
      <w:pPr>
        <w:numPr>
          <w:ilvl w:val="1"/>
          <w:numId w:val="2"/>
        </w:numPr>
        <w:spacing w:before="120"/>
        <w:ind w:hanging="720"/>
        <w:jc w:val="both"/>
        <w:rPr>
          <w:b/>
          <w:sz w:val="18"/>
          <w:szCs w:val="18"/>
        </w:rPr>
      </w:pPr>
      <w:r>
        <w:rPr>
          <w:rFonts w:ascii="Arial" w:eastAsia="Arial" w:hAnsi="Arial" w:cs="Arial"/>
          <w:sz w:val="18"/>
          <w:szCs w:val="18"/>
        </w:rPr>
        <w:lastRenderedPageBreak/>
        <w:t xml:space="preserve">V případě omezení na základě opatření ve spojitosti s pandemií COVID-19 nebo v případě nařízení karantény nebo onemocnění klíčových pracovníků Zhotovitele nebo pracovníků Objednatele součinných při vykonávání činnosti dle Smlouvy se o dobu trvání těchto nezbytných opatření prodlužují smluvní </w:t>
      </w:r>
      <w:r w:rsidR="004B7BB0">
        <w:rPr>
          <w:rFonts w:ascii="Arial" w:eastAsia="Arial" w:hAnsi="Arial" w:cs="Arial"/>
          <w:sz w:val="18"/>
          <w:szCs w:val="18"/>
        </w:rPr>
        <w:t>termíny pro plnění dle čl. 3</w:t>
      </w:r>
      <w:r>
        <w:rPr>
          <w:rFonts w:ascii="Arial" w:eastAsia="Arial" w:hAnsi="Arial" w:cs="Arial"/>
          <w:sz w:val="18"/>
          <w:szCs w:val="18"/>
        </w:rPr>
        <w:t>této Smlouvy. Obě strany však vyvinou maximální úsilí pro naplnění předmětu Díla v řádném termínu.</w:t>
      </w:r>
    </w:p>
    <w:p w:rsidR="000A39DE" w:rsidRPr="00C66A61" w:rsidRDefault="002E4672">
      <w:pPr>
        <w:numPr>
          <w:ilvl w:val="1"/>
          <w:numId w:val="2"/>
        </w:numPr>
        <w:pBdr>
          <w:top w:val="nil"/>
          <w:left w:val="nil"/>
          <w:bottom w:val="nil"/>
          <w:right w:val="nil"/>
          <w:between w:val="nil"/>
        </w:pBdr>
        <w:spacing w:before="120"/>
        <w:ind w:hanging="720"/>
        <w:jc w:val="both"/>
        <w:rPr>
          <w:b/>
          <w:sz w:val="18"/>
          <w:szCs w:val="18"/>
        </w:rPr>
      </w:pPr>
      <w:r>
        <w:rPr>
          <w:rFonts w:ascii="Arial" w:eastAsia="Arial" w:hAnsi="Arial" w:cs="Arial"/>
          <w:sz w:val="18"/>
          <w:szCs w:val="18"/>
        </w:rPr>
        <w:t xml:space="preserve">Účastníci Smlouvy prohlašují, že si Smlouvu přečetli, že je výrazem jejich pravé a svobodné vůle, na důkaz čehož připojují své podpisy. </w:t>
      </w:r>
    </w:p>
    <w:p w:rsidR="00C66A61" w:rsidRPr="00D3193D" w:rsidRDefault="00C66A61">
      <w:pPr>
        <w:numPr>
          <w:ilvl w:val="1"/>
          <w:numId w:val="2"/>
        </w:numPr>
        <w:pBdr>
          <w:top w:val="nil"/>
          <w:left w:val="nil"/>
          <w:bottom w:val="nil"/>
          <w:right w:val="nil"/>
          <w:between w:val="nil"/>
        </w:pBdr>
        <w:spacing w:before="120"/>
        <w:ind w:hanging="720"/>
        <w:jc w:val="both"/>
        <w:rPr>
          <w:rFonts w:ascii="Arial" w:hAnsi="Arial" w:cs="Arial"/>
          <w:b/>
          <w:sz w:val="18"/>
          <w:szCs w:val="18"/>
        </w:rPr>
      </w:pPr>
      <w:r w:rsidRPr="00D3193D">
        <w:rPr>
          <w:rFonts w:ascii="Arial" w:eastAsia="Arial" w:hAnsi="Arial" w:cs="Arial"/>
          <w:sz w:val="18"/>
          <w:szCs w:val="18"/>
        </w:rPr>
        <w:t>Tato smlouva byla schválena usnesením Rady města Kutná Hora č</w:t>
      </w:r>
      <w:r w:rsidR="00D3193D" w:rsidRPr="00D3193D">
        <w:rPr>
          <w:rFonts w:ascii="Arial" w:eastAsia="Arial" w:hAnsi="Arial" w:cs="Arial"/>
          <w:sz w:val="18"/>
          <w:szCs w:val="18"/>
        </w:rPr>
        <w:t xml:space="preserve"> 218</w:t>
      </w:r>
      <w:r w:rsidR="008418A2">
        <w:rPr>
          <w:rFonts w:ascii="Arial" w:eastAsia="Arial" w:hAnsi="Arial" w:cs="Arial"/>
          <w:sz w:val="18"/>
          <w:szCs w:val="18"/>
        </w:rPr>
        <w:t>/</w:t>
      </w:r>
      <w:r w:rsidR="00D3193D" w:rsidRPr="00D3193D">
        <w:rPr>
          <w:rFonts w:ascii="Arial" w:eastAsia="Arial" w:hAnsi="Arial" w:cs="Arial"/>
          <w:sz w:val="18"/>
          <w:szCs w:val="18"/>
        </w:rPr>
        <w:t xml:space="preserve">21 </w:t>
      </w:r>
      <w:r w:rsidRPr="00D3193D">
        <w:rPr>
          <w:rFonts w:ascii="Arial" w:eastAsia="Arial" w:hAnsi="Arial" w:cs="Arial"/>
          <w:sz w:val="18"/>
          <w:szCs w:val="18"/>
        </w:rPr>
        <w:t>ze dne</w:t>
      </w:r>
      <w:r w:rsidR="00D3193D" w:rsidRPr="00D3193D">
        <w:rPr>
          <w:rFonts w:ascii="Arial" w:eastAsia="Arial" w:hAnsi="Arial" w:cs="Arial"/>
          <w:sz w:val="18"/>
          <w:szCs w:val="18"/>
        </w:rPr>
        <w:t xml:space="preserve"> 24. 3. 2021</w:t>
      </w:r>
      <w:r w:rsidRPr="00D3193D">
        <w:rPr>
          <w:rFonts w:ascii="Arial" w:eastAsia="Arial" w:hAnsi="Arial" w:cs="Arial"/>
          <w:sz w:val="18"/>
          <w:szCs w:val="18"/>
        </w:rPr>
        <w:t>.</w:t>
      </w:r>
    </w:p>
    <w:p w:rsidR="00C66A61" w:rsidRPr="00D3193D" w:rsidRDefault="00C66A61" w:rsidP="00C66A61">
      <w:pPr>
        <w:numPr>
          <w:ilvl w:val="1"/>
          <w:numId w:val="2"/>
        </w:numPr>
        <w:pBdr>
          <w:top w:val="nil"/>
          <w:left w:val="nil"/>
          <w:bottom w:val="nil"/>
          <w:right w:val="nil"/>
          <w:between w:val="nil"/>
        </w:pBdr>
        <w:spacing w:before="120"/>
        <w:ind w:hanging="720"/>
        <w:jc w:val="both"/>
        <w:rPr>
          <w:rFonts w:ascii="Arial" w:hAnsi="Arial" w:cs="Arial"/>
          <w:b/>
          <w:sz w:val="18"/>
          <w:szCs w:val="18"/>
        </w:rPr>
      </w:pPr>
      <w:r w:rsidRPr="00D3193D">
        <w:rPr>
          <w:rFonts w:ascii="Arial" w:hAnsi="Arial" w:cs="Arial"/>
          <w:sz w:val="18"/>
          <w:szCs w:val="18"/>
        </w:rPr>
        <w:t>Smluvní strany berou na vědomí, že tato smlouva bude zveřejněna v registru smluv podle zákona č. 340/2015 Sb., o zvláštních podmínkách účinnosti některých smluv, uveřejňování těchto smluv a o registru smluv (zákon o registru smluv). 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 Smlouva nabývá účinnosti nejdříve dnem uveřejnění v registru smluv v souladu s § 6 odst. 1 zákona č. 340/2015 Sb., o zvláštních podmínkách účinnosti některých smluv, uveřejňování těchto smluv a o registru smluv (zákon o registru smluv).</w:t>
      </w:r>
    </w:p>
    <w:p w:rsidR="000A39DE" w:rsidRPr="00D3193D" w:rsidRDefault="000A39DE">
      <w:pPr>
        <w:tabs>
          <w:tab w:val="left" w:pos="567"/>
          <w:tab w:val="left" w:pos="4680"/>
        </w:tabs>
        <w:spacing w:before="120"/>
        <w:jc w:val="both"/>
        <w:rPr>
          <w:rFonts w:ascii="Arial" w:eastAsia="Arial" w:hAnsi="Arial" w:cs="Arial"/>
          <w:sz w:val="18"/>
          <w:szCs w:val="18"/>
        </w:rPr>
      </w:pPr>
    </w:p>
    <w:p w:rsidR="000A39DE" w:rsidRDefault="000A39DE">
      <w:pPr>
        <w:tabs>
          <w:tab w:val="left" w:pos="567"/>
          <w:tab w:val="left" w:pos="4680"/>
        </w:tabs>
        <w:spacing w:before="120"/>
        <w:jc w:val="both"/>
        <w:rPr>
          <w:rFonts w:ascii="Arial" w:eastAsia="Arial" w:hAnsi="Arial" w:cs="Arial"/>
          <w:sz w:val="18"/>
          <w:szCs w:val="18"/>
        </w:rPr>
      </w:pPr>
    </w:p>
    <w:p w:rsidR="000A39DE" w:rsidRDefault="000A39DE">
      <w:pPr>
        <w:tabs>
          <w:tab w:val="left" w:pos="567"/>
          <w:tab w:val="left" w:pos="4680"/>
        </w:tabs>
        <w:spacing w:before="120"/>
        <w:jc w:val="both"/>
        <w:rPr>
          <w:rFonts w:ascii="Arial" w:eastAsia="Arial" w:hAnsi="Arial" w:cs="Arial"/>
          <w:sz w:val="18"/>
          <w:szCs w:val="18"/>
        </w:rPr>
      </w:pPr>
    </w:p>
    <w:p w:rsidR="000A39DE" w:rsidRDefault="002E4672">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ab/>
        <w:t xml:space="preserve">Datum: </w:t>
      </w:r>
      <w:proofErr w:type="gramStart"/>
      <w:r w:rsidR="003458B6">
        <w:rPr>
          <w:rFonts w:ascii="Arial" w:eastAsia="Arial" w:hAnsi="Arial" w:cs="Arial"/>
          <w:sz w:val="18"/>
          <w:szCs w:val="18"/>
        </w:rPr>
        <w:t>31.3.2021</w:t>
      </w:r>
      <w:proofErr w:type="gramEnd"/>
      <w:r w:rsidR="003458B6">
        <w:rPr>
          <w:rFonts w:ascii="Arial" w:eastAsia="Arial" w:hAnsi="Arial" w:cs="Arial"/>
          <w:sz w:val="18"/>
          <w:szCs w:val="18"/>
        </w:rPr>
        <w:tab/>
        <w:t xml:space="preserve">Datum: </w:t>
      </w:r>
      <w:proofErr w:type="gramStart"/>
      <w:r w:rsidR="003458B6">
        <w:rPr>
          <w:rFonts w:ascii="Arial" w:eastAsia="Arial" w:hAnsi="Arial" w:cs="Arial"/>
          <w:sz w:val="18"/>
          <w:szCs w:val="18"/>
        </w:rPr>
        <w:t>26.3.2021</w:t>
      </w:r>
      <w:proofErr w:type="gramEnd"/>
    </w:p>
    <w:p w:rsidR="000A39DE" w:rsidRDefault="000A39DE">
      <w:pPr>
        <w:tabs>
          <w:tab w:val="left" w:pos="567"/>
          <w:tab w:val="left" w:pos="4680"/>
        </w:tabs>
        <w:spacing w:before="120"/>
        <w:jc w:val="both"/>
        <w:rPr>
          <w:rFonts w:ascii="Arial" w:eastAsia="Arial" w:hAnsi="Arial" w:cs="Arial"/>
          <w:sz w:val="18"/>
          <w:szCs w:val="18"/>
        </w:rPr>
      </w:pPr>
    </w:p>
    <w:p w:rsidR="000A39DE" w:rsidRDefault="002E4672">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ab/>
        <w:t>Za Objednatele</w:t>
      </w:r>
      <w:r>
        <w:rPr>
          <w:rFonts w:ascii="Arial" w:eastAsia="Arial" w:hAnsi="Arial" w:cs="Arial"/>
          <w:sz w:val="18"/>
          <w:szCs w:val="18"/>
        </w:rPr>
        <w:tab/>
        <w:t>Za Poskytovatele</w:t>
      </w:r>
    </w:p>
    <w:p w:rsidR="000A39DE" w:rsidRDefault="000A39DE">
      <w:pPr>
        <w:tabs>
          <w:tab w:val="center" w:pos="1985"/>
          <w:tab w:val="center" w:pos="6663"/>
        </w:tabs>
        <w:spacing w:before="120"/>
        <w:jc w:val="both"/>
        <w:rPr>
          <w:rFonts w:ascii="Arial" w:eastAsia="Arial" w:hAnsi="Arial" w:cs="Arial"/>
          <w:sz w:val="18"/>
          <w:szCs w:val="18"/>
        </w:rPr>
      </w:pPr>
    </w:p>
    <w:p w:rsidR="000A39DE" w:rsidRDefault="000A39DE">
      <w:pPr>
        <w:tabs>
          <w:tab w:val="center" w:pos="1985"/>
          <w:tab w:val="center" w:pos="6663"/>
        </w:tabs>
        <w:spacing w:before="120"/>
        <w:jc w:val="both"/>
        <w:rPr>
          <w:rFonts w:ascii="Arial" w:eastAsia="Arial" w:hAnsi="Arial" w:cs="Arial"/>
          <w:sz w:val="18"/>
          <w:szCs w:val="18"/>
        </w:rPr>
      </w:pPr>
    </w:p>
    <w:p w:rsidR="000A39DE" w:rsidRDefault="000A39DE">
      <w:pPr>
        <w:tabs>
          <w:tab w:val="center" w:pos="1985"/>
          <w:tab w:val="center" w:pos="6663"/>
        </w:tabs>
        <w:spacing w:before="120"/>
        <w:jc w:val="both"/>
        <w:rPr>
          <w:rFonts w:ascii="Arial" w:eastAsia="Arial" w:hAnsi="Arial" w:cs="Arial"/>
          <w:sz w:val="18"/>
          <w:szCs w:val="18"/>
        </w:rPr>
      </w:pPr>
    </w:p>
    <w:p w:rsidR="000A39DE" w:rsidRDefault="002E4672">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ab/>
        <w:t>________________________</w:t>
      </w:r>
      <w:r>
        <w:rPr>
          <w:rFonts w:ascii="Arial" w:eastAsia="Arial" w:hAnsi="Arial" w:cs="Arial"/>
          <w:sz w:val="18"/>
          <w:szCs w:val="18"/>
        </w:rPr>
        <w:tab/>
        <w:t>_______________________</w:t>
      </w:r>
    </w:p>
    <w:p w:rsidR="000A39DE" w:rsidRDefault="00D3193D">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 xml:space="preserve">                         </w:t>
      </w:r>
      <w:r w:rsidR="003458B6">
        <w:rPr>
          <w:rFonts w:ascii="Arial" w:eastAsia="Arial" w:hAnsi="Arial" w:cs="Arial"/>
          <w:sz w:val="18"/>
          <w:szCs w:val="18"/>
        </w:rPr>
        <w:t xml:space="preserve">       </w:t>
      </w:r>
      <w:r>
        <w:rPr>
          <w:rFonts w:ascii="Arial" w:eastAsia="Arial" w:hAnsi="Arial" w:cs="Arial"/>
          <w:sz w:val="18"/>
          <w:szCs w:val="18"/>
        </w:rPr>
        <w:t xml:space="preserve"> </w:t>
      </w:r>
      <w:proofErr w:type="spellStart"/>
      <w:r w:rsidR="003458B6">
        <w:rPr>
          <w:rFonts w:ascii="Arial" w:eastAsia="Arial" w:hAnsi="Arial" w:cs="Arial"/>
          <w:sz w:val="18"/>
          <w:szCs w:val="18"/>
        </w:rPr>
        <w:t>xxx</w:t>
      </w:r>
      <w:proofErr w:type="spellEnd"/>
      <w:r w:rsidR="003458B6">
        <w:rPr>
          <w:rFonts w:ascii="Arial" w:eastAsia="Arial" w:hAnsi="Arial" w:cs="Arial"/>
          <w:sz w:val="18"/>
          <w:szCs w:val="18"/>
        </w:rPr>
        <w:tab/>
      </w:r>
      <w:r w:rsidR="002E4672">
        <w:rPr>
          <w:rFonts w:ascii="Arial" w:eastAsia="Arial" w:hAnsi="Arial" w:cs="Arial"/>
          <w:sz w:val="18"/>
          <w:szCs w:val="18"/>
        </w:rPr>
        <w:tab/>
      </w:r>
      <w:proofErr w:type="spellStart"/>
      <w:r w:rsidR="003458B6">
        <w:rPr>
          <w:rFonts w:ascii="Arial" w:eastAsia="Arial" w:hAnsi="Arial" w:cs="Arial"/>
          <w:sz w:val="18"/>
          <w:szCs w:val="18"/>
        </w:rPr>
        <w:t>xxx</w:t>
      </w:r>
      <w:proofErr w:type="spellEnd"/>
    </w:p>
    <w:p w:rsidR="000A39DE" w:rsidRDefault="00D3193D">
      <w:pPr>
        <w:tabs>
          <w:tab w:val="center" w:pos="1985"/>
          <w:tab w:val="center" w:pos="6663"/>
        </w:tabs>
        <w:spacing w:before="120"/>
        <w:jc w:val="both"/>
        <w:rPr>
          <w:rFonts w:ascii="Arial" w:eastAsia="Arial" w:hAnsi="Arial" w:cs="Arial"/>
          <w:i/>
          <w:sz w:val="18"/>
          <w:szCs w:val="18"/>
        </w:rPr>
      </w:pPr>
      <w:r>
        <w:rPr>
          <w:rFonts w:ascii="Arial" w:eastAsia="Arial" w:hAnsi="Arial" w:cs="Arial"/>
          <w:sz w:val="18"/>
          <w:szCs w:val="18"/>
        </w:rPr>
        <w:t xml:space="preserve">                            starosta města</w:t>
      </w:r>
      <w:r w:rsidR="002E4672">
        <w:rPr>
          <w:rFonts w:ascii="Arial" w:eastAsia="Arial" w:hAnsi="Arial" w:cs="Arial"/>
          <w:sz w:val="18"/>
          <w:szCs w:val="18"/>
        </w:rPr>
        <w:tab/>
      </w:r>
      <w:r w:rsidR="002E4672">
        <w:rPr>
          <w:rFonts w:ascii="Arial" w:eastAsia="Arial" w:hAnsi="Arial" w:cs="Arial"/>
          <w:i/>
          <w:sz w:val="18"/>
          <w:szCs w:val="18"/>
        </w:rPr>
        <w:t>jednatel společnosti</w:t>
      </w:r>
    </w:p>
    <w:p w:rsidR="00D3193D" w:rsidRDefault="00D3193D">
      <w:pPr>
        <w:tabs>
          <w:tab w:val="center" w:pos="1985"/>
          <w:tab w:val="center" w:pos="6663"/>
        </w:tabs>
        <w:spacing w:before="120"/>
        <w:jc w:val="both"/>
        <w:rPr>
          <w:rFonts w:ascii="Arial" w:eastAsia="Arial" w:hAnsi="Arial" w:cs="Arial"/>
          <w:i/>
          <w:sz w:val="18"/>
          <w:szCs w:val="18"/>
        </w:rPr>
      </w:pPr>
    </w:p>
    <w:p w:rsidR="00D3193D" w:rsidRDefault="00D3193D">
      <w:pPr>
        <w:tabs>
          <w:tab w:val="center" w:pos="1985"/>
          <w:tab w:val="center" w:pos="6663"/>
        </w:tabs>
        <w:spacing w:before="120"/>
        <w:jc w:val="both"/>
        <w:rPr>
          <w:rFonts w:ascii="Arial" w:eastAsia="Arial" w:hAnsi="Arial" w:cs="Arial"/>
          <w:i/>
          <w:sz w:val="18"/>
          <w:szCs w:val="18"/>
        </w:rPr>
      </w:pPr>
    </w:p>
    <w:p w:rsidR="00D3193D" w:rsidRDefault="00D3193D">
      <w:pPr>
        <w:tabs>
          <w:tab w:val="center" w:pos="1985"/>
          <w:tab w:val="center" w:pos="6663"/>
        </w:tabs>
        <w:spacing w:before="120"/>
        <w:jc w:val="both"/>
        <w:rPr>
          <w:rFonts w:ascii="Arial" w:eastAsia="Arial" w:hAnsi="Arial" w:cs="Arial"/>
          <w:i/>
          <w:sz w:val="18"/>
          <w:szCs w:val="18"/>
        </w:rPr>
      </w:pPr>
    </w:p>
    <w:p w:rsidR="00D3193D" w:rsidRDefault="00D3193D">
      <w:pPr>
        <w:tabs>
          <w:tab w:val="center" w:pos="1985"/>
          <w:tab w:val="center" w:pos="6663"/>
        </w:tabs>
        <w:spacing w:before="120"/>
        <w:jc w:val="both"/>
        <w:rPr>
          <w:rFonts w:ascii="Arial" w:eastAsia="Arial" w:hAnsi="Arial" w:cs="Arial"/>
          <w:i/>
          <w:sz w:val="18"/>
          <w:szCs w:val="18"/>
        </w:rPr>
      </w:pPr>
    </w:p>
    <w:p w:rsidR="00D3193D" w:rsidRDefault="00D3193D">
      <w:pPr>
        <w:tabs>
          <w:tab w:val="center" w:pos="1985"/>
          <w:tab w:val="center" w:pos="6663"/>
        </w:tabs>
        <w:spacing w:before="120"/>
        <w:jc w:val="both"/>
        <w:rPr>
          <w:rFonts w:ascii="Arial" w:eastAsia="Arial" w:hAnsi="Arial" w:cs="Arial"/>
          <w:i/>
          <w:sz w:val="18"/>
          <w:szCs w:val="18"/>
        </w:rPr>
      </w:pPr>
    </w:p>
    <w:p w:rsidR="00D3193D" w:rsidRDefault="00D3193D">
      <w:pPr>
        <w:tabs>
          <w:tab w:val="center" w:pos="1985"/>
          <w:tab w:val="center" w:pos="6663"/>
        </w:tabs>
        <w:spacing w:before="120"/>
        <w:jc w:val="both"/>
        <w:rPr>
          <w:rFonts w:ascii="Arial" w:eastAsia="Arial" w:hAnsi="Arial" w:cs="Arial"/>
          <w:i/>
          <w:sz w:val="18"/>
          <w:szCs w:val="18"/>
        </w:rPr>
      </w:pPr>
      <w:bookmarkStart w:id="3" w:name="_GoBack"/>
      <w:bookmarkEnd w:id="3"/>
    </w:p>
    <w:sectPr w:rsidR="00D3193D">
      <w:headerReference w:type="default" r:id="rId8"/>
      <w:footerReference w:type="default" r:id="rId9"/>
      <w:pgSz w:w="11906" w:h="16838"/>
      <w:pgMar w:top="1258" w:right="1417" w:bottom="709" w:left="1417" w:header="0" w:footer="10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30" w:rsidRDefault="00036330">
      <w:r>
        <w:separator/>
      </w:r>
    </w:p>
  </w:endnote>
  <w:endnote w:type="continuationSeparator" w:id="0">
    <w:p w:rsidR="00036330" w:rsidRDefault="0003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DE" w:rsidRDefault="002E4672">
    <w:pPr>
      <w:tabs>
        <w:tab w:val="center" w:pos="4536"/>
        <w:tab w:val="right" w:pos="9072"/>
      </w:tabs>
      <w:spacing w:after="708"/>
      <w:jc w:val="right"/>
      <w:rPr>
        <w:rFonts w:ascii="Calibri" w:eastAsia="Calibri" w:hAnsi="Calibri" w:cs="Calibri"/>
        <w:sz w:val="18"/>
        <w:szCs w:val="18"/>
      </w:rPr>
    </w:pPr>
    <w:r>
      <w:rPr>
        <w:rFonts w:ascii="Calibri" w:eastAsia="Calibri" w:hAnsi="Calibri" w:cs="Calibri"/>
        <w:i/>
        <w:color w:val="999999"/>
        <w:sz w:val="18"/>
        <w:szCs w:val="18"/>
      </w:rPr>
      <w:t xml:space="preserve">Strana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3458B6">
      <w:rPr>
        <w:rFonts w:ascii="Calibri" w:eastAsia="Calibri" w:hAnsi="Calibri" w:cs="Calibri"/>
        <w:noProof/>
        <w:sz w:val="18"/>
        <w:szCs w:val="18"/>
      </w:rPr>
      <w:t>5</w:t>
    </w:r>
    <w:r>
      <w:rPr>
        <w:rFonts w:ascii="Calibri" w:eastAsia="Calibri" w:hAnsi="Calibri" w:cs="Calibri"/>
        <w:sz w:val="18"/>
        <w:szCs w:val="18"/>
      </w:rPr>
      <w:fldChar w:fldCharType="end"/>
    </w:r>
    <w:r>
      <w:rPr>
        <w:rFonts w:ascii="Calibri" w:eastAsia="Calibri" w:hAnsi="Calibri" w:cs="Calibri"/>
        <w:i/>
        <w:color w:val="999999"/>
        <w:sz w:val="18"/>
        <w:szCs w:val="18"/>
      </w:rPr>
      <w:t xml:space="preserve"> (celkem </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sidR="003458B6">
      <w:rPr>
        <w:rFonts w:ascii="Calibri" w:eastAsia="Calibri" w:hAnsi="Calibri" w:cs="Calibri"/>
        <w:noProof/>
        <w:sz w:val="18"/>
        <w:szCs w:val="18"/>
      </w:rPr>
      <w:t>5</w:t>
    </w:r>
    <w:r>
      <w:rPr>
        <w:rFonts w:ascii="Calibri" w:eastAsia="Calibri" w:hAnsi="Calibri" w:cs="Calibri"/>
        <w:sz w:val="18"/>
        <w:szCs w:val="18"/>
      </w:rPr>
      <w:fldChar w:fldCharType="end"/>
    </w:r>
    <w:r>
      <w:rPr>
        <w:rFonts w:ascii="Calibri" w:eastAsia="Calibri" w:hAnsi="Calibri" w:cs="Calibri"/>
        <w:i/>
        <w:color w:val="999999"/>
        <w:sz w:val="18"/>
        <w:szCs w:val="18"/>
      </w:rPr>
      <w:t>)</w:t>
    </w:r>
    <w:r>
      <w:rPr>
        <w:noProof/>
      </w:rPr>
      <mc:AlternateContent>
        <mc:Choice Requires="wpg">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0</wp:posOffset>
              </wp:positionV>
              <wp:extent cx="5853176" cy="12700"/>
              <wp:effectExtent l="0" t="0" r="0" b="0"/>
              <wp:wrapNone/>
              <wp:docPr id="6" name="Přímá spojnice se šipkou 6"/>
              <wp:cNvGraphicFramePr/>
              <a:graphic xmlns:a="http://schemas.openxmlformats.org/drawingml/2006/main">
                <a:graphicData uri="http://schemas.microsoft.com/office/word/2010/wordprocessingShape">
                  <wps:wsp>
                    <wps:cNvCnPr/>
                    <wps:spPr>
                      <a:xfrm>
                        <a:off x="2419412" y="3779619"/>
                        <a:ext cx="5853176" cy="762"/>
                      </a:xfrm>
                      <a:prstGeom prst="straightConnector1">
                        <a:avLst/>
                      </a:prstGeom>
                      <a:noFill/>
                      <a:ln w="12700" cap="flat" cmpd="sng">
                        <a:solidFill>
                          <a:srgbClr val="7F7F7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5853176" cy="1270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3176"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30" w:rsidRDefault="00036330">
      <w:r>
        <w:separator/>
      </w:r>
    </w:p>
  </w:footnote>
  <w:footnote w:type="continuationSeparator" w:id="0">
    <w:p w:rsidR="00036330" w:rsidRDefault="000363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DE" w:rsidRDefault="000A39DE">
    <w:pPr>
      <w:tabs>
        <w:tab w:val="center" w:pos="4536"/>
        <w:tab w:val="right" w:pos="9072"/>
      </w:tabs>
      <w:spacing w:before="539"/>
      <w:jc w:val="center"/>
      <w:rPr>
        <w:rFonts w:ascii="Tahoma" w:eastAsia="Tahoma" w:hAnsi="Tahoma" w:cs="Tahoma"/>
        <w:b/>
        <w:i/>
        <w:color w:val="999999"/>
        <w:sz w:val="22"/>
        <w:szCs w:val="22"/>
      </w:rPr>
    </w:pPr>
  </w:p>
  <w:p w:rsidR="000A39DE" w:rsidRDefault="002E4672">
    <w:pPr>
      <w:tabs>
        <w:tab w:val="center" w:pos="4536"/>
        <w:tab w:val="right" w:pos="9072"/>
      </w:tabs>
    </w:pPr>
    <w:r>
      <w:rPr>
        <w:noProof/>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139700</wp:posOffset>
              </wp:positionV>
              <wp:extent cx="5853176" cy="12700"/>
              <wp:effectExtent l="0" t="0" r="0" b="0"/>
              <wp:wrapNone/>
              <wp:docPr id="7" name="Přímá spojnice se šipkou 7"/>
              <wp:cNvGraphicFramePr/>
              <a:graphic xmlns:a="http://schemas.openxmlformats.org/drawingml/2006/main">
                <a:graphicData uri="http://schemas.microsoft.com/office/word/2010/wordprocessingShape">
                  <wps:wsp>
                    <wps:cNvCnPr/>
                    <wps:spPr>
                      <a:xfrm>
                        <a:off x="2419412" y="3779619"/>
                        <a:ext cx="5853176" cy="762"/>
                      </a:xfrm>
                      <a:prstGeom prst="straightConnector1">
                        <a:avLst/>
                      </a:prstGeom>
                      <a:noFill/>
                      <a:ln w="12700" cap="flat" cmpd="sng">
                        <a:solidFill>
                          <a:srgbClr val="7F7F7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139700</wp:posOffset>
              </wp:positionV>
              <wp:extent cx="5853176" cy="1270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317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5F0"/>
    <w:multiLevelType w:val="multilevel"/>
    <w:tmpl w:val="C7360E30"/>
    <w:lvl w:ilvl="0">
      <w:start w:val="2"/>
      <w:numFmt w:val="decimal"/>
      <w:lvlText w:val="%1."/>
      <w:lvlJc w:val="right"/>
      <w:pPr>
        <w:ind w:left="720" w:firstLine="0"/>
      </w:pPr>
      <w:rPr>
        <w:rFonts w:ascii="Arial" w:eastAsia="Arial" w:hAnsi="Arial" w:cs="Arial"/>
        <w:b/>
        <w:i w:val="0"/>
        <w:smallCaps w:val="0"/>
        <w:sz w:val="20"/>
        <w:szCs w:val="20"/>
      </w:rPr>
    </w:lvl>
    <w:lvl w:ilvl="1">
      <w:start w:val="1"/>
      <w:numFmt w:val="decimal"/>
      <w:lvlText w:val="%1.%2."/>
      <w:lvlJc w:val="right"/>
      <w:pPr>
        <w:ind w:left="720" w:firstLine="0"/>
      </w:pPr>
      <w:rPr>
        <w:rFonts w:ascii="Arial" w:eastAsia="Arial" w:hAnsi="Arial" w:cs="Arial"/>
        <w:b w:val="0"/>
        <w:i w:val="0"/>
        <w:color w:val="000000"/>
        <w:sz w:val="20"/>
        <w:szCs w:val="20"/>
      </w:rPr>
    </w:lvl>
    <w:lvl w:ilvl="2">
      <w:start w:val="1"/>
      <w:numFmt w:val="decimal"/>
      <w:lvlText w:val="%1.%2.%3."/>
      <w:lvlJc w:val="right"/>
      <w:pPr>
        <w:ind w:left="1832" w:firstLine="720"/>
      </w:pPr>
      <w:rPr>
        <w:sz w:val="18"/>
        <w:szCs w:val="18"/>
      </w:rPr>
    </w:lvl>
    <w:lvl w:ilvl="3">
      <w:start w:val="1"/>
      <w:numFmt w:val="decimal"/>
      <w:lvlText w:val="%1.%2.%3.%4."/>
      <w:lvlJc w:val="right"/>
      <w:pPr>
        <w:ind w:left="1080" w:firstLine="0"/>
      </w:pPr>
    </w:lvl>
    <w:lvl w:ilvl="4">
      <w:start w:val="1"/>
      <w:numFmt w:val="decimal"/>
      <w:lvlText w:val="%1.%2.%3.%4.%5."/>
      <w:lvlJc w:val="right"/>
      <w:pPr>
        <w:ind w:left="1080" w:firstLine="0"/>
      </w:pPr>
    </w:lvl>
    <w:lvl w:ilvl="5">
      <w:start w:val="1"/>
      <w:numFmt w:val="decimal"/>
      <w:lvlText w:val="%1.%2.%3.%4.%5.%6."/>
      <w:lvlJc w:val="right"/>
      <w:pPr>
        <w:ind w:left="1440" w:firstLine="0"/>
      </w:pPr>
    </w:lvl>
    <w:lvl w:ilvl="6">
      <w:start w:val="1"/>
      <w:numFmt w:val="decimal"/>
      <w:lvlText w:val="%1.%2.%3.%4.%5.%6.%7."/>
      <w:lvlJc w:val="right"/>
      <w:pPr>
        <w:ind w:left="1440" w:firstLine="0"/>
      </w:pPr>
    </w:lvl>
    <w:lvl w:ilvl="7">
      <w:start w:val="1"/>
      <w:numFmt w:val="decimal"/>
      <w:lvlText w:val="%1.%2.%3.%4.%5.%6.%7.%8."/>
      <w:lvlJc w:val="right"/>
      <w:pPr>
        <w:ind w:left="1800" w:firstLine="0"/>
      </w:pPr>
    </w:lvl>
    <w:lvl w:ilvl="8">
      <w:start w:val="1"/>
      <w:numFmt w:val="decimal"/>
      <w:lvlText w:val="%1.%2.%3.%4.%5.%6.%7.%8.%9."/>
      <w:lvlJc w:val="right"/>
      <w:pPr>
        <w:ind w:left="2160" w:firstLine="0"/>
      </w:pPr>
    </w:lvl>
  </w:abstractNum>
  <w:abstractNum w:abstractNumId="1" w15:restartNumberingAfterBreak="0">
    <w:nsid w:val="7A8A6563"/>
    <w:multiLevelType w:val="multilevel"/>
    <w:tmpl w:val="941EB6B6"/>
    <w:lvl w:ilvl="0">
      <w:start w:val="1"/>
      <w:numFmt w:val="decimal"/>
      <w:lvlText w:val="%1."/>
      <w:lvlJc w:val="right"/>
      <w:pPr>
        <w:ind w:left="720" w:firstLine="0"/>
      </w:pPr>
      <w:rPr>
        <w:rFonts w:ascii="Arial" w:eastAsia="Arial" w:hAnsi="Arial" w:cs="Arial"/>
        <w:b/>
        <w:i w:val="0"/>
        <w:smallCaps w:val="0"/>
        <w:sz w:val="20"/>
        <w:szCs w:val="20"/>
      </w:rPr>
    </w:lvl>
    <w:lvl w:ilvl="1">
      <w:start w:val="1"/>
      <w:numFmt w:val="decimal"/>
      <w:lvlText w:val="%1.%2."/>
      <w:lvlJc w:val="right"/>
      <w:pPr>
        <w:ind w:left="720" w:firstLine="0"/>
      </w:pPr>
      <w:rPr>
        <w:rFonts w:ascii="Arial" w:eastAsia="Arial" w:hAnsi="Arial" w:cs="Arial"/>
        <w:b w:val="0"/>
        <w:i w:val="0"/>
        <w:color w:val="000000"/>
        <w:sz w:val="20"/>
        <w:szCs w:val="20"/>
      </w:rPr>
    </w:lvl>
    <w:lvl w:ilvl="2">
      <w:start w:val="1"/>
      <w:numFmt w:val="decimal"/>
      <w:lvlText w:val="%1.%2.%3."/>
      <w:lvlJc w:val="right"/>
      <w:pPr>
        <w:ind w:left="1440" w:firstLine="720"/>
      </w:pPr>
      <w:rPr>
        <w:sz w:val="20"/>
        <w:szCs w:val="20"/>
      </w:rPr>
    </w:lvl>
    <w:lvl w:ilvl="3">
      <w:start w:val="1"/>
      <w:numFmt w:val="decimal"/>
      <w:lvlText w:val="%1.%2.%3.%4."/>
      <w:lvlJc w:val="right"/>
      <w:pPr>
        <w:ind w:left="1080" w:firstLine="0"/>
      </w:pPr>
    </w:lvl>
    <w:lvl w:ilvl="4">
      <w:start w:val="1"/>
      <w:numFmt w:val="decimal"/>
      <w:lvlText w:val="%1.%2.%3.%4.%5."/>
      <w:lvlJc w:val="right"/>
      <w:pPr>
        <w:ind w:left="1080" w:firstLine="0"/>
      </w:pPr>
    </w:lvl>
    <w:lvl w:ilvl="5">
      <w:start w:val="1"/>
      <w:numFmt w:val="decimal"/>
      <w:lvlText w:val="%1.%2.%3.%4.%5.%6."/>
      <w:lvlJc w:val="right"/>
      <w:pPr>
        <w:ind w:left="1440" w:firstLine="0"/>
      </w:pPr>
    </w:lvl>
    <w:lvl w:ilvl="6">
      <w:start w:val="1"/>
      <w:numFmt w:val="decimal"/>
      <w:lvlText w:val="%1.%2.%3.%4.%5.%6.%7."/>
      <w:lvlJc w:val="right"/>
      <w:pPr>
        <w:ind w:left="1440" w:firstLine="0"/>
      </w:pPr>
    </w:lvl>
    <w:lvl w:ilvl="7">
      <w:start w:val="1"/>
      <w:numFmt w:val="decimal"/>
      <w:lvlText w:val="%1.%2.%3.%4.%5.%6.%7.%8."/>
      <w:lvlJc w:val="right"/>
      <w:pPr>
        <w:ind w:left="1800" w:firstLine="0"/>
      </w:pPr>
    </w:lvl>
    <w:lvl w:ilvl="8">
      <w:start w:val="1"/>
      <w:numFmt w:val="decimal"/>
      <w:lvlText w:val="%1.%2.%3.%4.%5.%6.%7.%8.%9."/>
      <w:lvlJc w:val="right"/>
      <w:pPr>
        <w:ind w:left="21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DE"/>
    <w:rsid w:val="00036330"/>
    <w:rsid w:val="000A39DE"/>
    <w:rsid w:val="001410E3"/>
    <w:rsid w:val="002C4A9E"/>
    <w:rsid w:val="002E4672"/>
    <w:rsid w:val="003458B6"/>
    <w:rsid w:val="00373420"/>
    <w:rsid w:val="004B7BB0"/>
    <w:rsid w:val="005C6F3F"/>
    <w:rsid w:val="008418A2"/>
    <w:rsid w:val="008F279B"/>
    <w:rsid w:val="00A453FB"/>
    <w:rsid w:val="00A70D21"/>
    <w:rsid w:val="00BA3703"/>
    <w:rsid w:val="00C277DD"/>
    <w:rsid w:val="00C66A61"/>
    <w:rsid w:val="00C85849"/>
    <w:rsid w:val="00D3193D"/>
    <w:rsid w:val="00E9700E"/>
    <w:rsid w:val="00EF3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B855"/>
  <w15:docId w15:val="{C4B7F76E-9A0A-4131-A212-660A406F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A3D2D"/>
  </w:style>
  <w:style w:type="paragraph" w:styleId="Nadpis1">
    <w:name w:val="heading 1"/>
    <w:basedOn w:val="Normln"/>
    <w:next w:val="Normln"/>
    <w:rsid w:val="004A3D2D"/>
    <w:pPr>
      <w:keepNext/>
      <w:keepLines/>
      <w:tabs>
        <w:tab w:val="left" w:pos="567"/>
      </w:tabs>
      <w:outlineLvl w:val="0"/>
    </w:pPr>
    <w:rPr>
      <w:b/>
    </w:rPr>
  </w:style>
  <w:style w:type="paragraph" w:styleId="Nadpis2">
    <w:name w:val="heading 2"/>
    <w:basedOn w:val="Normln"/>
    <w:next w:val="Normln"/>
    <w:rsid w:val="004A3D2D"/>
    <w:pPr>
      <w:keepNext/>
      <w:keepLines/>
      <w:spacing w:before="240" w:after="60"/>
      <w:outlineLvl w:val="1"/>
    </w:pPr>
    <w:rPr>
      <w:rFonts w:ascii="Arial" w:eastAsia="Arial" w:hAnsi="Arial" w:cs="Arial"/>
      <w:b/>
      <w:i/>
      <w:sz w:val="28"/>
      <w:szCs w:val="28"/>
    </w:rPr>
  </w:style>
  <w:style w:type="paragraph" w:styleId="Nadpis3">
    <w:name w:val="heading 3"/>
    <w:basedOn w:val="Normln"/>
    <w:next w:val="Normln"/>
    <w:rsid w:val="004A3D2D"/>
    <w:pPr>
      <w:keepNext/>
      <w:keepLines/>
      <w:tabs>
        <w:tab w:val="left" w:pos="567"/>
      </w:tabs>
      <w:outlineLvl w:val="2"/>
    </w:pPr>
  </w:style>
  <w:style w:type="paragraph" w:styleId="Nadpis4">
    <w:name w:val="heading 4"/>
    <w:basedOn w:val="Normln"/>
    <w:next w:val="Normln"/>
    <w:rsid w:val="004A3D2D"/>
    <w:pPr>
      <w:keepNext/>
      <w:keepLines/>
      <w:outlineLvl w:val="3"/>
    </w:pPr>
    <w:rPr>
      <w:b/>
      <w:color w:val="FF0000"/>
    </w:rPr>
  </w:style>
  <w:style w:type="paragraph" w:styleId="Nadpis5">
    <w:name w:val="heading 5"/>
    <w:basedOn w:val="Normln"/>
    <w:next w:val="Normln"/>
    <w:rsid w:val="004A3D2D"/>
    <w:pPr>
      <w:keepNext/>
      <w:keepLines/>
      <w:spacing w:before="220" w:after="40"/>
      <w:contextualSpacing/>
      <w:outlineLvl w:val="4"/>
    </w:pPr>
    <w:rPr>
      <w:b/>
      <w:sz w:val="22"/>
      <w:szCs w:val="22"/>
    </w:rPr>
  </w:style>
  <w:style w:type="paragraph" w:styleId="Nadpis6">
    <w:name w:val="heading 6"/>
    <w:basedOn w:val="Normln"/>
    <w:next w:val="Normln"/>
    <w:rsid w:val="004A3D2D"/>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rsid w:val="004A3D2D"/>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4A3D2D"/>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525CFF"/>
    <w:pPr>
      <w:ind w:left="720"/>
      <w:contextualSpacing/>
    </w:pPr>
  </w:style>
  <w:style w:type="character" w:styleId="Odkaznakoment">
    <w:name w:val="annotation reference"/>
    <w:basedOn w:val="Standardnpsmoodstavce"/>
    <w:uiPriority w:val="99"/>
    <w:semiHidden/>
    <w:unhideWhenUsed/>
    <w:rsid w:val="00525CFF"/>
    <w:rPr>
      <w:sz w:val="16"/>
      <w:szCs w:val="16"/>
    </w:rPr>
  </w:style>
  <w:style w:type="paragraph" w:styleId="Textkomente">
    <w:name w:val="annotation text"/>
    <w:basedOn w:val="Normln"/>
    <w:link w:val="TextkomenteChar"/>
    <w:uiPriority w:val="99"/>
    <w:semiHidden/>
    <w:unhideWhenUsed/>
    <w:rsid w:val="00525CFF"/>
    <w:rPr>
      <w:sz w:val="20"/>
      <w:szCs w:val="20"/>
    </w:rPr>
  </w:style>
  <w:style w:type="character" w:customStyle="1" w:styleId="TextkomenteChar">
    <w:name w:val="Text komentáře Char"/>
    <w:basedOn w:val="Standardnpsmoodstavce"/>
    <w:link w:val="Textkomente"/>
    <w:uiPriority w:val="99"/>
    <w:semiHidden/>
    <w:rsid w:val="00525CFF"/>
    <w:rPr>
      <w:sz w:val="20"/>
      <w:szCs w:val="20"/>
    </w:rPr>
  </w:style>
  <w:style w:type="paragraph" w:styleId="Pedmtkomente">
    <w:name w:val="annotation subject"/>
    <w:basedOn w:val="Textkomente"/>
    <w:next w:val="Textkomente"/>
    <w:link w:val="PedmtkomenteChar"/>
    <w:uiPriority w:val="99"/>
    <w:semiHidden/>
    <w:unhideWhenUsed/>
    <w:rsid w:val="00525CFF"/>
    <w:rPr>
      <w:b/>
      <w:bCs/>
    </w:rPr>
  </w:style>
  <w:style w:type="character" w:customStyle="1" w:styleId="PedmtkomenteChar">
    <w:name w:val="Předmět komentáře Char"/>
    <w:basedOn w:val="TextkomenteChar"/>
    <w:link w:val="Pedmtkomente"/>
    <w:uiPriority w:val="99"/>
    <w:semiHidden/>
    <w:rsid w:val="00525CFF"/>
    <w:rPr>
      <w:b/>
      <w:bCs/>
      <w:sz w:val="20"/>
      <w:szCs w:val="20"/>
    </w:rPr>
  </w:style>
  <w:style w:type="paragraph" w:styleId="Textbubliny">
    <w:name w:val="Balloon Text"/>
    <w:basedOn w:val="Normln"/>
    <w:link w:val="TextbublinyChar"/>
    <w:uiPriority w:val="99"/>
    <w:semiHidden/>
    <w:unhideWhenUsed/>
    <w:rsid w:val="00525C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5CFF"/>
    <w:rPr>
      <w:rFonts w:ascii="Segoe UI" w:hAnsi="Segoe UI" w:cs="Segoe UI"/>
      <w:sz w:val="18"/>
      <w:szCs w:val="18"/>
    </w:rPr>
  </w:style>
  <w:style w:type="paragraph" w:styleId="Normlnweb">
    <w:name w:val="Normal (Web)"/>
    <w:basedOn w:val="Normln"/>
    <w:uiPriority w:val="99"/>
    <w:semiHidden/>
    <w:unhideWhenUsed/>
    <w:rsid w:val="004A2F41"/>
    <w:pPr>
      <w:spacing w:before="100" w:beforeAutospacing="1" w:after="100" w:afterAutospacing="1"/>
    </w:pPr>
  </w:style>
  <w:style w:type="character" w:styleId="Hypertextovodkaz">
    <w:name w:val="Hyperlink"/>
    <w:basedOn w:val="Standardnpsmoodstavce"/>
    <w:uiPriority w:val="99"/>
    <w:unhideWhenUsed/>
    <w:rsid w:val="00393B11"/>
    <w:rPr>
      <w:color w:val="0563C1" w:themeColor="hyperlink"/>
      <w:u w:val="single"/>
    </w:rPr>
  </w:style>
  <w:style w:type="character" w:customStyle="1" w:styleId="Nevyeenzmnka1">
    <w:name w:val="Nevyřešená zmínka1"/>
    <w:basedOn w:val="Standardnpsmoodstavce"/>
    <w:uiPriority w:val="99"/>
    <w:semiHidden/>
    <w:unhideWhenUsed/>
    <w:rsid w:val="00FA5C17"/>
    <w:rPr>
      <w:color w:val="605E5C"/>
      <w:shd w:val="clear" w:color="auto" w:fill="E1DFDD"/>
    </w:rPr>
  </w:style>
  <w:style w:type="paragraph" w:customStyle="1" w:styleId="Default">
    <w:name w:val="Default"/>
    <w:rsid w:val="00C55233"/>
    <w:pPr>
      <w:autoSpaceDE w:val="0"/>
      <w:autoSpaceDN w:val="0"/>
      <w:adjustRightInd w:val="0"/>
    </w:pPr>
    <w:rPr>
      <w:color w:val="000000"/>
    </w:rPr>
  </w:style>
  <w:style w:type="paragraph" w:styleId="Zhlav">
    <w:name w:val="header"/>
    <w:basedOn w:val="Normln"/>
    <w:link w:val="ZhlavChar"/>
    <w:uiPriority w:val="99"/>
    <w:unhideWhenUsed/>
    <w:rsid w:val="00C55233"/>
    <w:pPr>
      <w:tabs>
        <w:tab w:val="center" w:pos="4536"/>
        <w:tab w:val="right" w:pos="9072"/>
      </w:tabs>
    </w:pPr>
  </w:style>
  <w:style w:type="character" w:customStyle="1" w:styleId="ZhlavChar">
    <w:name w:val="Záhlaví Char"/>
    <w:basedOn w:val="Standardnpsmoodstavce"/>
    <w:link w:val="Zhlav"/>
    <w:uiPriority w:val="99"/>
    <w:rsid w:val="00C55233"/>
  </w:style>
  <w:style w:type="paragraph" w:styleId="Zpat">
    <w:name w:val="footer"/>
    <w:basedOn w:val="Normln"/>
    <w:link w:val="ZpatChar"/>
    <w:uiPriority w:val="99"/>
    <w:unhideWhenUsed/>
    <w:rsid w:val="00C55233"/>
    <w:pPr>
      <w:tabs>
        <w:tab w:val="center" w:pos="4536"/>
        <w:tab w:val="right" w:pos="9072"/>
      </w:tabs>
    </w:pPr>
  </w:style>
  <w:style w:type="character" w:customStyle="1" w:styleId="ZpatChar">
    <w:name w:val="Zápatí Char"/>
    <w:basedOn w:val="Standardnpsmoodstavce"/>
    <w:link w:val="Zpat"/>
    <w:uiPriority w:val="99"/>
    <w:rsid w:val="00C5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We1p1Ta7vvNfY4ORuPcwM7/ofA==">AMUW2mWBonUiguM4jTr6Dh/jqihkMP3ILPvqWz0tcX/XBcSYOiF9OFp1v3JfMG1+5+ukjDjbw9P4uwVyCQHAGIDQsRDnu4dV72t5Qmyl64GjhtT6s1TOK1Gu84dj2u/TD/KuXpnA+rECj1Pstm7aWa/CzLcYfNYDig==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12732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BFSi</dc:creator>
  <cp:lastModifiedBy>Bodišová Andrea</cp:lastModifiedBy>
  <cp:revision>3</cp:revision>
  <dcterms:created xsi:type="dcterms:W3CDTF">2021-04-07T07:48:00Z</dcterms:created>
  <dcterms:modified xsi:type="dcterms:W3CDTF">2021-04-07T07:49:00Z</dcterms:modified>
</cp:coreProperties>
</file>