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389" w:rsidRPr="00D17D6C" w:rsidRDefault="00110389" w:rsidP="00110389">
      <w:pPr>
        <w:widowControl w:val="0"/>
        <w:pBdr>
          <w:top w:val="none" w:sz="0" w:space="0" w:color="auto"/>
          <w:left w:val="none" w:sz="0" w:space="0" w:color="auto"/>
          <w:bottom w:val="none" w:sz="0" w:space="0" w:color="auto"/>
          <w:right w:val="none" w:sz="0" w:space="0" w:color="auto"/>
          <w:between w:val="none" w:sz="0" w:space="0" w:color="auto"/>
        </w:pBdr>
        <w:tabs>
          <w:tab w:val="left" w:pos="7371"/>
        </w:tabs>
        <w:spacing w:after="0" w:line="240" w:lineRule="auto"/>
        <w:jc w:val="center"/>
        <w:rPr>
          <w:rFonts w:ascii="Times New Roman" w:eastAsiaTheme="minorHAnsi" w:hAnsi="Times New Roman" w:cs="Times New Roman"/>
          <w:b/>
          <w:color w:val="000000" w:themeColor="text1"/>
          <w:lang w:val="cs-CZ" w:eastAsia="en-US"/>
        </w:rPr>
      </w:pPr>
      <w:r w:rsidRPr="00D17D6C">
        <w:rPr>
          <w:rFonts w:ascii="Times New Roman" w:eastAsiaTheme="minorHAnsi" w:hAnsi="Times New Roman" w:cs="Times New Roman"/>
          <w:b/>
          <w:color w:val="000000" w:themeColor="text1"/>
          <w:lang w:val="cs-CZ" w:eastAsia="en-US"/>
        </w:rPr>
        <w:t>Smlouva o zpracování osobních údajů</w:t>
      </w:r>
      <w:r>
        <w:rPr>
          <w:rFonts w:ascii="Times New Roman" w:eastAsiaTheme="minorHAnsi" w:hAnsi="Times New Roman" w:cs="Times New Roman"/>
          <w:b/>
          <w:color w:val="000000" w:themeColor="text1"/>
          <w:lang w:val="cs-CZ" w:eastAsia="en-US"/>
        </w:rPr>
        <w:t xml:space="preserve"> č. CTU/</w:t>
      </w:r>
      <w:r w:rsidRPr="00A51F14">
        <w:rPr>
          <w:rFonts w:ascii="Times New Roman" w:eastAsiaTheme="minorHAnsi" w:hAnsi="Times New Roman" w:cs="Times New Roman"/>
          <w:b/>
          <w:color w:val="000000" w:themeColor="text1"/>
          <w:lang w:val="cs-CZ" w:eastAsia="en-US"/>
        </w:rPr>
        <w:t>2021_038</w:t>
      </w:r>
    </w:p>
    <w:p w:rsidR="00110389" w:rsidRPr="00D17D6C" w:rsidRDefault="00110389" w:rsidP="00110389">
      <w:pPr>
        <w:widowControl w:val="0"/>
        <w:pBdr>
          <w:top w:val="none" w:sz="0" w:space="0" w:color="auto"/>
          <w:left w:val="none" w:sz="0" w:space="0" w:color="auto"/>
          <w:bottom w:val="none" w:sz="0" w:space="0" w:color="auto"/>
          <w:right w:val="none" w:sz="0" w:space="0" w:color="auto"/>
          <w:between w:val="none" w:sz="0" w:space="0" w:color="auto"/>
        </w:pBdr>
        <w:tabs>
          <w:tab w:val="left" w:pos="7371"/>
        </w:tabs>
        <w:spacing w:after="0" w:line="240" w:lineRule="auto"/>
        <w:jc w:val="center"/>
        <w:rPr>
          <w:rFonts w:ascii="Times New Roman" w:eastAsiaTheme="minorHAnsi" w:hAnsi="Times New Roman" w:cs="Times New Roman"/>
          <w:bCs/>
          <w:color w:val="000000" w:themeColor="text1"/>
          <w:lang w:val="cs-CZ" w:eastAsia="en-US"/>
        </w:rPr>
      </w:pPr>
      <w:r w:rsidRPr="00D17D6C">
        <w:rPr>
          <w:rFonts w:ascii="Times New Roman" w:eastAsiaTheme="minorHAnsi" w:hAnsi="Times New Roman" w:cs="Times New Roman"/>
          <w:bCs/>
          <w:color w:val="000000" w:themeColor="text1"/>
          <w:lang w:val="cs-CZ" w:eastAsia="en-US"/>
        </w:rPr>
        <w:t>uzavřená podle čl. 28 nařízení Evropského parlamentu a Rady (EU) 2016/679 ze dne 27. dubna 2016 o</w:t>
      </w:r>
      <w:r>
        <w:rPr>
          <w:rFonts w:ascii="Times New Roman" w:eastAsiaTheme="minorHAnsi" w:hAnsi="Times New Roman" w:cs="Times New Roman"/>
          <w:bCs/>
          <w:color w:val="000000" w:themeColor="text1"/>
          <w:lang w:val="cs-CZ" w:eastAsia="en-US"/>
        </w:rPr>
        <w:t> </w:t>
      </w:r>
      <w:r w:rsidRPr="00D17D6C">
        <w:rPr>
          <w:rFonts w:ascii="Times New Roman" w:eastAsiaTheme="minorHAnsi" w:hAnsi="Times New Roman" w:cs="Times New Roman"/>
          <w:bCs/>
          <w:color w:val="000000" w:themeColor="text1"/>
          <w:lang w:val="cs-CZ" w:eastAsia="en-US"/>
        </w:rPr>
        <w:t>ochraně fyzických osob v souvislosti se zpracováním osobních údajů a o volném pohybu těchto údajů a o zrušení směrnice 95/46/ES (obecné nařízení o ochraně osobních údajů)</w:t>
      </w:r>
    </w:p>
    <w:p w:rsidR="00110389" w:rsidRPr="00D17D6C" w:rsidRDefault="00110389" w:rsidP="00110389">
      <w:pPr>
        <w:widowControl w:val="0"/>
        <w:pBdr>
          <w:top w:val="none" w:sz="0" w:space="0" w:color="auto"/>
          <w:left w:val="none" w:sz="0" w:space="0" w:color="auto"/>
          <w:bottom w:val="none" w:sz="0" w:space="0" w:color="auto"/>
          <w:right w:val="none" w:sz="0" w:space="0" w:color="auto"/>
          <w:between w:val="none" w:sz="0" w:space="0" w:color="auto"/>
        </w:pBdr>
        <w:tabs>
          <w:tab w:val="left" w:pos="7371"/>
        </w:tabs>
        <w:spacing w:after="0" w:line="240" w:lineRule="auto"/>
        <w:jc w:val="center"/>
        <w:rPr>
          <w:rFonts w:ascii="Times New Roman" w:eastAsiaTheme="minorHAnsi" w:hAnsi="Times New Roman" w:cs="Times New Roman"/>
          <w:b/>
          <w:color w:val="000000" w:themeColor="text1"/>
          <w:lang w:val="cs-CZ" w:eastAsia="en-US"/>
        </w:rPr>
      </w:pPr>
      <w:r w:rsidRPr="00D17D6C">
        <w:rPr>
          <w:rFonts w:ascii="Times New Roman" w:eastAsiaTheme="minorHAnsi" w:hAnsi="Times New Roman" w:cs="Times New Roman"/>
          <w:bCs/>
          <w:color w:val="000000" w:themeColor="text1"/>
          <w:lang w:val="cs-CZ" w:eastAsia="en-US"/>
        </w:rPr>
        <w:t>(</w:t>
      </w:r>
      <w:r>
        <w:rPr>
          <w:rFonts w:ascii="Times New Roman" w:eastAsiaTheme="minorHAnsi" w:hAnsi="Times New Roman" w:cs="Times New Roman"/>
          <w:bCs/>
          <w:color w:val="000000" w:themeColor="text1"/>
          <w:lang w:val="cs-CZ" w:eastAsia="en-US"/>
        </w:rPr>
        <w:t xml:space="preserve">dále jen </w:t>
      </w:r>
      <w:r w:rsidRPr="00D17D6C">
        <w:rPr>
          <w:rFonts w:ascii="Times New Roman" w:eastAsiaTheme="minorHAnsi" w:hAnsi="Times New Roman" w:cs="Times New Roman"/>
          <w:bCs/>
          <w:color w:val="000000" w:themeColor="text1"/>
          <w:lang w:val="cs-CZ" w:eastAsia="en-US"/>
        </w:rPr>
        <w:t>„</w:t>
      </w:r>
      <w:r w:rsidRPr="00D17D6C">
        <w:rPr>
          <w:rFonts w:ascii="Times New Roman" w:eastAsiaTheme="minorHAnsi" w:hAnsi="Times New Roman" w:cs="Times New Roman"/>
          <w:b/>
          <w:color w:val="000000" w:themeColor="text1"/>
          <w:lang w:val="cs-CZ" w:eastAsia="en-US"/>
        </w:rPr>
        <w:t>Zpracovatelská smlouva</w:t>
      </w:r>
      <w:r w:rsidRPr="00D17D6C">
        <w:rPr>
          <w:rFonts w:ascii="Times New Roman" w:eastAsiaTheme="minorHAnsi" w:hAnsi="Times New Roman" w:cs="Times New Roman"/>
          <w:bCs/>
          <w:color w:val="000000" w:themeColor="text1"/>
          <w:lang w:val="cs-CZ" w:eastAsia="en-US"/>
        </w:rPr>
        <w:t>“)</w:t>
      </w:r>
    </w:p>
    <w:p w:rsidR="00110389" w:rsidRPr="00D17D6C" w:rsidRDefault="00110389" w:rsidP="00110389">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Calibri" w:hAnsi="Times New Roman" w:cs="Times New Roman"/>
          <w:b/>
          <w:caps/>
          <w:lang w:val="cs-CZ" w:eastAsia="en-US"/>
        </w:rPr>
      </w:pPr>
    </w:p>
    <w:p w:rsidR="00110389" w:rsidRPr="00D17D6C" w:rsidRDefault="00110389" w:rsidP="00110389">
      <w:pPr>
        <w:widowControl w:val="0"/>
        <w:tabs>
          <w:tab w:val="left" w:pos="2680"/>
        </w:tabs>
        <w:jc w:val="center"/>
        <w:rPr>
          <w:rFonts w:ascii="Times New Roman" w:hAnsi="Times New Roman" w:cs="Times New Roman"/>
          <w:b/>
          <w:color w:val="000000" w:themeColor="text1"/>
        </w:rPr>
      </w:pPr>
      <w:r w:rsidRPr="00D17D6C">
        <w:rPr>
          <w:rFonts w:ascii="Times New Roman" w:hAnsi="Times New Roman" w:cs="Times New Roman"/>
          <w:b/>
          <w:color w:val="000000" w:themeColor="text1"/>
        </w:rPr>
        <w:t>SMLUVNÍ STRANY</w:t>
      </w:r>
    </w:p>
    <w:p w:rsidR="00110389" w:rsidRPr="00D17D6C" w:rsidRDefault="00110389" w:rsidP="00110389">
      <w:pPr>
        <w:pStyle w:val="Odstavecseseznamem"/>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Times New Roman" w:hAnsi="Times New Roman" w:cs="Times New Roman"/>
          <w:b/>
          <w:color w:val="000000" w:themeColor="text1"/>
        </w:rPr>
      </w:pPr>
      <w:r w:rsidRPr="00D17D6C">
        <w:rPr>
          <w:rFonts w:ascii="Times New Roman" w:hAnsi="Times New Roman" w:cs="Times New Roman"/>
          <w:b/>
          <w:color w:val="000000" w:themeColor="text1"/>
        </w:rPr>
        <w:t>Česká republika – Český telekomunikační úřad</w:t>
      </w:r>
    </w:p>
    <w:p w:rsidR="00110389" w:rsidRPr="00D17D6C" w:rsidRDefault="00110389" w:rsidP="00110389">
      <w:pPr>
        <w:pStyle w:val="Text11"/>
        <w:keepNext w:val="0"/>
        <w:widowControl w:val="0"/>
        <w:ind w:left="360"/>
        <w:rPr>
          <w:color w:val="000000" w:themeColor="text1"/>
          <w:szCs w:val="22"/>
        </w:rPr>
      </w:pPr>
      <w:r w:rsidRPr="00D17D6C">
        <w:rPr>
          <w:color w:val="000000" w:themeColor="text1"/>
          <w:szCs w:val="22"/>
        </w:rPr>
        <w:t xml:space="preserve">sídlo Praha 9, Sokolovská 58/219, PSČ 190 00, adresa pro doručování: poštovní přihrádka 02, 225 02 Praha 025, IČO: 701 06 975, DIČ: CZ70106975 (osoba identifikovaná k dani), jejímž jménem jedná Mgr. Ing. Hana </w:t>
      </w:r>
      <w:proofErr w:type="spellStart"/>
      <w:r w:rsidRPr="00D17D6C">
        <w:rPr>
          <w:color w:val="000000" w:themeColor="text1"/>
          <w:szCs w:val="22"/>
        </w:rPr>
        <w:t>Továrková</w:t>
      </w:r>
      <w:proofErr w:type="spellEnd"/>
      <w:r w:rsidRPr="00D17D6C">
        <w:rPr>
          <w:color w:val="000000" w:themeColor="text1"/>
          <w:szCs w:val="22"/>
        </w:rPr>
        <w:t>, předsedkyně Rady ČTÚ</w:t>
      </w:r>
    </w:p>
    <w:p w:rsidR="00110389" w:rsidRPr="00D17D6C" w:rsidRDefault="00110389" w:rsidP="00110389">
      <w:pPr>
        <w:pStyle w:val="Text11"/>
        <w:keepNext w:val="0"/>
        <w:widowControl w:val="0"/>
        <w:ind w:left="360"/>
        <w:rPr>
          <w:color w:val="000000" w:themeColor="text1"/>
          <w:szCs w:val="22"/>
        </w:rPr>
      </w:pPr>
      <w:r w:rsidRPr="00D17D6C">
        <w:rPr>
          <w:color w:val="000000" w:themeColor="text1"/>
          <w:szCs w:val="22"/>
        </w:rPr>
        <w:t>(</w:t>
      </w:r>
      <w:r>
        <w:rPr>
          <w:color w:val="000000" w:themeColor="text1"/>
          <w:szCs w:val="22"/>
        </w:rPr>
        <w:t xml:space="preserve">dále jen </w:t>
      </w:r>
      <w:r w:rsidRPr="00D17D6C">
        <w:rPr>
          <w:color w:val="000000" w:themeColor="text1"/>
          <w:szCs w:val="22"/>
        </w:rPr>
        <w:t>„</w:t>
      </w:r>
      <w:r w:rsidRPr="00D17D6C">
        <w:rPr>
          <w:b/>
          <w:color w:val="000000" w:themeColor="text1"/>
          <w:szCs w:val="22"/>
        </w:rPr>
        <w:t>Objednatel</w:t>
      </w:r>
      <w:r w:rsidRPr="00D17D6C">
        <w:rPr>
          <w:color w:val="000000" w:themeColor="text1"/>
          <w:szCs w:val="22"/>
        </w:rPr>
        <w:t>“)</w:t>
      </w:r>
    </w:p>
    <w:p w:rsidR="00110389" w:rsidRPr="00D17D6C" w:rsidRDefault="00110389" w:rsidP="00110389">
      <w:pPr>
        <w:pStyle w:val="Text11"/>
        <w:keepNext w:val="0"/>
        <w:widowControl w:val="0"/>
        <w:ind w:left="360"/>
        <w:rPr>
          <w:color w:val="000000" w:themeColor="text1"/>
          <w:szCs w:val="22"/>
        </w:rPr>
      </w:pPr>
      <w:r w:rsidRPr="00D17D6C">
        <w:rPr>
          <w:color w:val="000000" w:themeColor="text1"/>
          <w:szCs w:val="22"/>
        </w:rPr>
        <w:t>a</w:t>
      </w:r>
    </w:p>
    <w:p w:rsidR="00110389" w:rsidRPr="00D17D6C" w:rsidRDefault="00110389" w:rsidP="00110389">
      <w:pPr>
        <w:pStyle w:val="Odstavecseseznamem"/>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jc w:val="left"/>
        <w:rPr>
          <w:rFonts w:ascii="Times New Roman" w:hAnsi="Times New Roman" w:cs="Times New Roman"/>
          <w:b/>
          <w:color w:val="000000" w:themeColor="text1"/>
        </w:rPr>
      </w:pPr>
      <w:bookmarkStart w:id="0" w:name="_Hlk45543978"/>
      <w:proofErr w:type="spellStart"/>
      <w:r w:rsidRPr="00D17D6C">
        <w:rPr>
          <w:rFonts w:ascii="Times New Roman" w:hAnsi="Times New Roman" w:cs="Times New Roman"/>
          <w:b/>
          <w:color w:val="000000" w:themeColor="text1"/>
        </w:rPr>
        <w:t>Dactyl</w:t>
      </w:r>
      <w:proofErr w:type="spellEnd"/>
      <w:r w:rsidRPr="00D17D6C">
        <w:rPr>
          <w:rFonts w:ascii="Times New Roman" w:hAnsi="Times New Roman" w:cs="Times New Roman"/>
          <w:b/>
          <w:color w:val="000000" w:themeColor="text1"/>
        </w:rPr>
        <w:t xml:space="preserve"> Group s.r.o.</w:t>
      </w:r>
    </w:p>
    <w:bookmarkEnd w:id="0"/>
    <w:p w:rsidR="00110389" w:rsidRPr="00D17D6C" w:rsidRDefault="00110389" w:rsidP="00110389">
      <w:pPr>
        <w:pStyle w:val="Text11"/>
        <w:keepNext w:val="0"/>
        <w:widowControl w:val="0"/>
        <w:tabs>
          <w:tab w:val="left" w:pos="4962"/>
        </w:tabs>
        <w:ind w:left="360"/>
        <w:rPr>
          <w:color w:val="000000" w:themeColor="text1"/>
          <w:szCs w:val="22"/>
        </w:rPr>
      </w:pPr>
      <w:r w:rsidRPr="00D17D6C">
        <w:rPr>
          <w:color w:val="000000" w:themeColor="text1"/>
          <w:szCs w:val="22"/>
        </w:rPr>
        <w:t>sídlo Brno, Kounicova 284/39, PSČ 602</w:t>
      </w:r>
      <w:r>
        <w:rPr>
          <w:color w:val="000000" w:themeColor="text1"/>
          <w:szCs w:val="22"/>
        </w:rPr>
        <w:t xml:space="preserve"> </w:t>
      </w:r>
      <w:r w:rsidRPr="00D17D6C">
        <w:rPr>
          <w:color w:val="000000" w:themeColor="text1"/>
          <w:szCs w:val="22"/>
        </w:rPr>
        <w:t xml:space="preserve">00, IČO: 029 12 660, DIČ: CZ02912660, zapsaná v obchodním rejstříku vedeném Městským soudem v Praze, spis. zn. C 82966, jejímž jménem jedná </w:t>
      </w:r>
      <w:bookmarkStart w:id="1" w:name="_Hlk45543950"/>
      <w:r w:rsidRPr="00D17D6C">
        <w:rPr>
          <w:color w:val="000000" w:themeColor="text1"/>
          <w:szCs w:val="22"/>
        </w:rPr>
        <w:t>Ing. Milan Doubek</w:t>
      </w:r>
      <w:bookmarkEnd w:id="1"/>
      <w:r>
        <w:rPr>
          <w:color w:val="000000" w:themeColor="text1"/>
          <w:szCs w:val="22"/>
        </w:rPr>
        <w:t>, jednatel</w:t>
      </w:r>
    </w:p>
    <w:p w:rsidR="00110389" w:rsidRPr="00D17D6C" w:rsidRDefault="00110389" w:rsidP="00110389">
      <w:pPr>
        <w:pStyle w:val="Text11"/>
        <w:keepNext w:val="0"/>
        <w:widowControl w:val="0"/>
        <w:tabs>
          <w:tab w:val="left" w:pos="4962"/>
        </w:tabs>
        <w:ind w:left="360"/>
        <w:rPr>
          <w:color w:val="000000" w:themeColor="text1"/>
          <w:szCs w:val="22"/>
        </w:rPr>
      </w:pPr>
      <w:r w:rsidRPr="00D17D6C">
        <w:rPr>
          <w:color w:val="000000" w:themeColor="text1"/>
          <w:szCs w:val="22"/>
        </w:rPr>
        <w:t>(</w:t>
      </w:r>
      <w:r>
        <w:rPr>
          <w:color w:val="000000" w:themeColor="text1"/>
          <w:szCs w:val="22"/>
        </w:rPr>
        <w:t xml:space="preserve">dále jen </w:t>
      </w:r>
      <w:r w:rsidRPr="00D17D6C">
        <w:rPr>
          <w:color w:val="000000" w:themeColor="text1"/>
          <w:szCs w:val="22"/>
        </w:rPr>
        <w:t>„</w:t>
      </w:r>
      <w:r w:rsidRPr="00D17D6C">
        <w:rPr>
          <w:b/>
          <w:color w:val="000000" w:themeColor="text1"/>
          <w:szCs w:val="22"/>
        </w:rPr>
        <w:t>Poskytovatel</w:t>
      </w:r>
      <w:r w:rsidRPr="00D17D6C">
        <w:rPr>
          <w:color w:val="000000" w:themeColor="text1"/>
          <w:szCs w:val="22"/>
        </w:rPr>
        <w:t>“).</w:t>
      </w:r>
    </w:p>
    <w:p w:rsidR="00110389" w:rsidRPr="00D17D6C" w:rsidRDefault="00110389" w:rsidP="00110389">
      <w:pPr>
        <w:pStyle w:val="Text11"/>
        <w:keepNext w:val="0"/>
        <w:widowControl w:val="0"/>
        <w:ind w:left="360"/>
        <w:rPr>
          <w:color w:val="000000" w:themeColor="text1"/>
          <w:szCs w:val="22"/>
        </w:rPr>
      </w:pPr>
    </w:p>
    <w:p w:rsidR="00110389" w:rsidRPr="00D17D6C" w:rsidRDefault="00110389" w:rsidP="00110389">
      <w:pPr>
        <w:widowControl w:val="0"/>
        <w:ind w:left="426"/>
        <w:rPr>
          <w:rFonts w:ascii="Times New Roman" w:hAnsi="Times New Roman" w:cs="Times New Roman"/>
          <w:color w:val="000000" w:themeColor="text1"/>
        </w:rPr>
      </w:pPr>
      <w:r w:rsidRPr="00D17D6C">
        <w:rPr>
          <w:rFonts w:ascii="Times New Roman" w:hAnsi="Times New Roman" w:cs="Times New Roman"/>
          <w:color w:val="000000" w:themeColor="text1"/>
        </w:rPr>
        <w:t>(Poskytovatel a Objednatel společně „</w:t>
      </w:r>
      <w:r w:rsidRPr="00D17D6C">
        <w:rPr>
          <w:rFonts w:ascii="Times New Roman" w:hAnsi="Times New Roman" w:cs="Times New Roman"/>
          <w:b/>
          <w:color w:val="000000" w:themeColor="text1"/>
        </w:rPr>
        <w:t>Strany</w:t>
      </w:r>
      <w:r w:rsidRPr="00D17D6C">
        <w:rPr>
          <w:rFonts w:ascii="Times New Roman" w:hAnsi="Times New Roman" w:cs="Times New Roman"/>
          <w:color w:val="000000" w:themeColor="text1"/>
        </w:rPr>
        <w:t>“ a každý samostatně „</w:t>
      </w:r>
      <w:r w:rsidRPr="00D17D6C">
        <w:rPr>
          <w:rFonts w:ascii="Times New Roman" w:hAnsi="Times New Roman" w:cs="Times New Roman"/>
          <w:b/>
          <w:color w:val="000000" w:themeColor="text1"/>
        </w:rPr>
        <w:t>Strana</w:t>
      </w:r>
      <w:r w:rsidRPr="00D17D6C">
        <w:rPr>
          <w:rFonts w:ascii="Times New Roman" w:hAnsi="Times New Roman" w:cs="Times New Roman"/>
          <w:color w:val="000000" w:themeColor="text1"/>
        </w:rPr>
        <w:t>“).</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Úvodní ustanovení</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EB3485">
        <w:rPr>
          <w:rFonts w:cs="Times New Roman"/>
          <w:color w:val="000000" w:themeColor="text1"/>
          <w:szCs w:val="22"/>
        </w:rPr>
        <w:t>Poskytovatel se na základě Smlouvy o servisní a technické podpoře č. CTU/2021_032 (dále také „</w:t>
      </w:r>
      <w:r w:rsidRPr="00EB3485">
        <w:rPr>
          <w:rFonts w:cs="Times New Roman"/>
          <w:b/>
          <w:bCs w:val="0"/>
          <w:color w:val="000000" w:themeColor="text1"/>
          <w:szCs w:val="22"/>
        </w:rPr>
        <w:t>Smlouva</w:t>
      </w:r>
      <w:r w:rsidRPr="00EB3485">
        <w:rPr>
          <w:rFonts w:cs="Times New Roman"/>
          <w:color w:val="000000" w:themeColor="text1"/>
          <w:szCs w:val="22"/>
        </w:rPr>
        <w:t>“)</w:t>
      </w:r>
      <w:r>
        <w:rPr>
          <w:rFonts w:cs="Times New Roman"/>
          <w:color w:val="000000" w:themeColor="text1"/>
          <w:szCs w:val="22"/>
        </w:rPr>
        <w:t xml:space="preserve"> </w:t>
      </w:r>
      <w:r w:rsidRPr="00EB3485">
        <w:rPr>
          <w:rFonts w:cs="Times New Roman"/>
          <w:color w:val="000000" w:themeColor="text1"/>
          <w:szCs w:val="22"/>
        </w:rPr>
        <w:t>zavázal poskytovat služby stanovené v čl. 2 Smlouvy, přičemž součástí je mimo jiné zajištění hostingu provozu Díla, zajištění bezproblémového plynulého provozu a údržby Díla, administrace a údržba serveru, optimalizace výkonu, zálohování kompletní aplikace a dat včetně konfigurace</w:t>
      </w:r>
      <w:r w:rsidRPr="00D17D6C">
        <w:rPr>
          <w:rFonts w:cs="Times New Roman"/>
          <w:color w:val="000000" w:themeColor="text1"/>
          <w:szCs w:val="22"/>
        </w:rPr>
        <w:t xml:space="preserve"> a další činnosti, při kterých může docházet k práci s osobními údaji (vše výše uvedené dále „</w:t>
      </w:r>
      <w:r w:rsidRPr="00D17D6C">
        <w:rPr>
          <w:rFonts w:cs="Times New Roman"/>
          <w:b/>
          <w:bCs w:val="0"/>
          <w:color w:val="000000" w:themeColor="text1"/>
          <w:szCs w:val="22"/>
        </w:rPr>
        <w:t>Služby</w:t>
      </w:r>
      <w:r w:rsidRPr="00D17D6C">
        <w:rPr>
          <w:rFonts w:cs="Times New Roman"/>
          <w:color w:val="000000" w:themeColor="text1"/>
          <w:szCs w:val="22"/>
        </w:rPr>
        <w:t>“). Osobními údaji se pro účely této Zpracovatelské smlouvy rozumí osobní údaje subjektů údajů, kterými jsou zejména zaměstnanci a pracovníci Objednatele, subjekty údajů, o</w:t>
      </w:r>
      <w:r>
        <w:rPr>
          <w:rFonts w:cs="Times New Roman"/>
          <w:color w:val="000000" w:themeColor="text1"/>
          <w:szCs w:val="22"/>
        </w:rPr>
        <w:t> </w:t>
      </w:r>
      <w:r w:rsidRPr="00D17D6C">
        <w:rPr>
          <w:rFonts w:cs="Times New Roman"/>
          <w:color w:val="000000" w:themeColor="text1"/>
          <w:szCs w:val="22"/>
        </w:rPr>
        <w:t>kterých Dílo uchovává data a další subjekty údajů, jejichž osobní údaje byly Poskytovateli předány pro účel poskytnutí Služeb a plnění dalších povinností dle Smlouvy (dále</w:t>
      </w:r>
      <w:r>
        <w:rPr>
          <w:rFonts w:cs="Times New Roman"/>
          <w:color w:val="000000" w:themeColor="text1"/>
          <w:szCs w:val="22"/>
        </w:rPr>
        <w:t xml:space="preserve"> jen</w:t>
      </w:r>
      <w:r w:rsidRPr="00D17D6C">
        <w:rPr>
          <w:rFonts w:cs="Times New Roman"/>
          <w:color w:val="000000" w:themeColor="text1"/>
          <w:szCs w:val="22"/>
        </w:rPr>
        <w:t xml:space="preserve"> „</w:t>
      </w:r>
      <w:r w:rsidRPr="00D17D6C">
        <w:rPr>
          <w:rFonts w:cs="Times New Roman"/>
          <w:b/>
          <w:bCs w:val="0"/>
          <w:color w:val="000000" w:themeColor="text1"/>
          <w:szCs w:val="22"/>
        </w:rPr>
        <w:t>Osobní údaje</w:t>
      </w:r>
      <w:r w:rsidRPr="00D17D6C">
        <w:rPr>
          <w:rFonts w:cs="Times New Roman"/>
          <w:color w:val="000000" w:themeColor="text1"/>
          <w:szCs w:val="22"/>
        </w:rPr>
        <w:t>“).</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V rámci poskytování Služeb může docházet ke zpracování Osobních údajů Poskytovatelem. Tato Zpracovatelská smlouva upravuje podmínky zpracování osobních údajů Objednatelem jako správcem Osobních údajů a Poskytovatelem jako zpracovatelem Osobních údajů ve smyslu čl. 28 nařízení Evropského parlamentu a Rady (EU) 2016/679 ze dne 27. dubna 2016 o ochraně fyzických osob v souvislosti se zpracováním osobních údajů a o volném pohybu těchto údajů a</w:t>
      </w:r>
      <w:r>
        <w:rPr>
          <w:rFonts w:cs="Times New Roman"/>
          <w:color w:val="000000" w:themeColor="text1"/>
          <w:szCs w:val="22"/>
        </w:rPr>
        <w:t> </w:t>
      </w:r>
      <w:r w:rsidRPr="00D17D6C">
        <w:rPr>
          <w:rFonts w:cs="Times New Roman"/>
          <w:color w:val="000000" w:themeColor="text1"/>
          <w:szCs w:val="22"/>
        </w:rPr>
        <w:t>o</w:t>
      </w:r>
      <w:r>
        <w:rPr>
          <w:rFonts w:cs="Times New Roman"/>
          <w:color w:val="000000" w:themeColor="text1"/>
          <w:szCs w:val="22"/>
        </w:rPr>
        <w:t> </w:t>
      </w:r>
      <w:r w:rsidRPr="00D17D6C">
        <w:rPr>
          <w:rFonts w:cs="Times New Roman"/>
          <w:color w:val="000000" w:themeColor="text1"/>
          <w:szCs w:val="22"/>
        </w:rPr>
        <w:t>zrušení směrnice 95/46/ES (dále jen „</w:t>
      </w:r>
      <w:r w:rsidRPr="00D17D6C">
        <w:rPr>
          <w:rFonts w:cs="Times New Roman"/>
          <w:b/>
          <w:bCs w:val="0"/>
          <w:color w:val="000000" w:themeColor="text1"/>
          <w:szCs w:val="22"/>
        </w:rPr>
        <w:t>GDPR</w:t>
      </w:r>
      <w:r w:rsidRPr="00D17D6C">
        <w:rPr>
          <w:rFonts w:cs="Times New Roman"/>
          <w:color w:val="000000" w:themeColor="text1"/>
          <w:szCs w:val="22"/>
        </w:rPr>
        <w:t>“) a v souladu se zákonem č. 110/2019 Sb., o</w:t>
      </w:r>
      <w:r>
        <w:rPr>
          <w:rFonts w:cs="Times New Roman"/>
          <w:color w:val="000000" w:themeColor="text1"/>
          <w:szCs w:val="22"/>
        </w:rPr>
        <w:t> </w:t>
      </w:r>
      <w:r w:rsidRPr="00D17D6C">
        <w:rPr>
          <w:rFonts w:cs="Times New Roman"/>
          <w:color w:val="000000" w:themeColor="text1"/>
          <w:szCs w:val="22"/>
        </w:rPr>
        <w:t>zpracování osobních údajů</w:t>
      </w:r>
      <w:r>
        <w:rPr>
          <w:rFonts w:cs="Times New Roman"/>
          <w:color w:val="000000" w:themeColor="text1"/>
          <w:szCs w:val="22"/>
        </w:rPr>
        <w:t>, ve znění pozdějších předpisů (dále jen „</w:t>
      </w:r>
      <w:r w:rsidRPr="00AE5305">
        <w:rPr>
          <w:rFonts w:cs="Times New Roman"/>
          <w:b/>
          <w:bCs w:val="0"/>
          <w:color w:val="000000" w:themeColor="text1"/>
          <w:szCs w:val="22"/>
        </w:rPr>
        <w:t>zákon o zpracování osobních údajů</w:t>
      </w:r>
      <w:r>
        <w:rPr>
          <w:rFonts w:cs="Times New Roman"/>
          <w:color w:val="000000" w:themeColor="text1"/>
          <w:szCs w:val="22"/>
        </w:rPr>
        <w:t>“).</w:t>
      </w:r>
    </w:p>
    <w:p w:rsidR="00110389" w:rsidRPr="00D17D6C" w:rsidRDefault="00110389" w:rsidP="00110389">
      <w:pPr>
        <w:pStyle w:val="Clanek11"/>
        <w:keepNext w:val="0"/>
        <w:numPr>
          <w:ilvl w:val="1"/>
          <w:numId w:val="1"/>
        </w:numPr>
        <w:ind w:hanging="567"/>
        <w:rPr>
          <w:rFonts w:eastAsia="Calibri" w:cs="Times New Roman"/>
          <w:szCs w:val="22"/>
        </w:rPr>
      </w:pPr>
      <w:r w:rsidRPr="00D17D6C">
        <w:rPr>
          <w:rFonts w:eastAsia="Calibri" w:cs="Times New Roman"/>
          <w:szCs w:val="22"/>
        </w:rPr>
        <w:t>Není-li v této Zpracovatelské smlouvě stanoveno jinak, mají pojmy použité s velkým počátečním písmenem stejný význam, jako ve Smlouvě.</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Úlohy a pokyny pro zpracování údajů</w:t>
      </w:r>
    </w:p>
    <w:p w:rsidR="00110389" w:rsidRPr="00D17D6C" w:rsidRDefault="00110389" w:rsidP="00110389">
      <w:pPr>
        <w:pStyle w:val="Clanek11"/>
        <w:keepNext w:val="0"/>
        <w:numPr>
          <w:ilvl w:val="1"/>
          <w:numId w:val="1"/>
        </w:numPr>
        <w:ind w:hanging="567"/>
        <w:rPr>
          <w:rFonts w:eastAsia="Calibri" w:cs="Times New Roman"/>
          <w:szCs w:val="22"/>
        </w:rPr>
      </w:pPr>
      <w:r w:rsidRPr="00D17D6C">
        <w:rPr>
          <w:rFonts w:eastAsia="Calibri" w:cs="Times New Roman"/>
          <w:szCs w:val="22"/>
        </w:rPr>
        <w:t>Strany berou na vědomí a souhlasí s tím, že:</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Poskytovatel je zpracovatelem Osobních údajů,</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lastRenderedPageBreak/>
        <w:t>Objednatel je správcem, případně zpracovatelem Osobních údajů,</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obě Strany se zavazují plnit své povinnosti vyplývající z platných právních předpisů, které se vztahují na zpracování Osobních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bude zpracovávat Osobní údaje pouze v souladu s platnými právními předpisy a za účelem poskytování Služeb pro Objednatele, a jak je dále uvedeno v dalších doložených pokynech udělených Objednatelem.</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 xml:space="preserve">Za pokyn dle čl. 2.2. Zpracovatelské smlouvy se považuje také pokyn učiněný prostřednictvím komunikačních nástrojů či osob uvedených v čl. 2 a čl. </w:t>
      </w:r>
      <w:r>
        <w:rPr>
          <w:rFonts w:cs="Times New Roman"/>
          <w:color w:val="000000" w:themeColor="text1"/>
          <w:szCs w:val="22"/>
        </w:rPr>
        <w:t>8</w:t>
      </w:r>
      <w:r w:rsidRPr="00D17D6C">
        <w:rPr>
          <w:rFonts w:cs="Times New Roman"/>
          <w:color w:val="000000" w:themeColor="text1"/>
          <w:szCs w:val="22"/>
        </w:rPr>
        <w:t xml:space="preserve"> Smlouvy.</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Doba trvání zpracování osobních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bude Osobní údaje zpracovávat pouze po dobu trvání Smlouvy nebo do doby výmazu všech Osobních údajů ze strany Poskytovatele dle této Zpracovatelské smlouvy.</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Povaha a účel zpracování osobních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může pro účely poskytování Služeb Objednateli zpracovávat Osobní údaje, a to zejména v elektronické formě, přičemž předmětem zpracování může být migrace dat, analýza, záloha a konfigurace, řešení servisních zásahů, zajištění aktualizací, údržba produkčních prostředí a další činnosti potřebné pro poskytování Služeb vyplývající z čl. 2.1. a 2.3. Smlouvy</w:t>
      </w:r>
      <w:r>
        <w:rPr>
          <w:rFonts w:cs="Times New Roman"/>
          <w:color w:val="000000" w:themeColor="text1"/>
          <w:szCs w:val="22"/>
        </w:rPr>
        <w:t>,</w:t>
      </w:r>
      <w:r w:rsidRPr="00D17D6C">
        <w:rPr>
          <w:rFonts w:cs="Times New Roman"/>
          <w:color w:val="000000" w:themeColor="text1"/>
          <w:szCs w:val="22"/>
        </w:rPr>
        <w:t xml:space="preserve"> případně z dalších pokynů učiněných Objednatelem.</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Účelem zpracování osobních údajů bude poskytování Služeb, tedy poskytování servisní a</w:t>
      </w:r>
      <w:r>
        <w:rPr>
          <w:rFonts w:cs="Times New Roman"/>
          <w:color w:val="000000" w:themeColor="text1"/>
          <w:szCs w:val="22"/>
        </w:rPr>
        <w:t> </w:t>
      </w:r>
      <w:r w:rsidRPr="00D17D6C">
        <w:rPr>
          <w:rFonts w:cs="Times New Roman"/>
          <w:color w:val="000000" w:themeColor="text1"/>
          <w:szCs w:val="22"/>
        </w:rPr>
        <w:t>technické podpory provozu Díla zhotovovaného nebo zhotoveného.</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Druhy osobních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Předmětem zpracování podle této Zpracovatelské smlouvy budou všechny Osobní údaje, které jsou ukládány</w:t>
      </w:r>
      <w:r>
        <w:rPr>
          <w:rFonts w:cs="Times New Roman"/>
          <w:color w:val="000000" w:themeColor="text1"/>
          <w:szCs w:val="22"/>
        </w:rPr>
        <w:t xml:space="preserve"> a zálohovány</w:t>
      </w:r>
      <w:r w:rsidRPr="00D17D6C">
        <w:rPr>
          <w:rFonts w:cs="Times New Roman"/>
          <w:color w:val="000000" w:themeColor="text1"/>
          <w:szCs w:val="22"/>
        </w:rPr>
        <w:t xml:space="preserve"> na serverech, ukládány v testovacích a produkčních prostředích, a</w:t>
      </w:r>
      <w:r>
        <w:rPr>
          <w:rFonts w:cs="Times New Roman"/>
          <w:color w:val="000000" w:themeColor="text1"/>
          <w:szCs w:val="22"/>
        </w:rPr>
        <w:t> </w:t>
      </w:r>
      <w:r w:rsidRPr="00D17D6C">
        <w:rPr>
          <w:rFonts w:cs="Times New Roman"/>
          <w:color w:val="000000" w:themeColor="text1"/>
          <w:szCs w:val="22"/>
        </w:rPr>
        <w:t>k jejichž zpracování byl na základě zmocnění či Smlouvy Poskytovatel pověřen.</w:t>
      </w:r>
      <w:r>
        <w:rPr>
          <w:rFonts w:cs="Times New Roman"/>
          <w:color w:val="000000" w:themeColor="text1"/>
          <w:szCs w:val="22"/>
        </w:rPr>
        <w:t xml:space="preserve"> Zejména se jedná o jednoznačné identifikátory, technické údaje zařízení (MAC adresy, geografické umístění, kmitočet a výkon) a další provozní/technické údaje (datum registrace, automaticky přidělené pořadové číslo).</w:t>
      </w:r>
      <w:r w:rsidRPr="00D17D6C">
        <w:rPr>
          <w:rFonts w:cs="Times New Roman"/>
          <w:color w:val="000000" w:themeColor="text1"/>
          <w:szCs w:val="22"/>
        </w:rPr>
        <w:t xml:space="preserve"> Objednatel vždy vymezí rozsah a účel pověření, dobu zpřístupnění a případná bezpečnostní opatření a</w:t>
      </w:r>
      <w:r>
        <w:rPr>
          <w:rFonts w:cs="Times New Roman"/>
          <w:color w:val="000000" w:themeColor="text1"/>
          <w:szCs w:val="22"/>
        </w:rPr>
        <w:t> </w:t>
      </w:r>
      <w:r w:rsidRPr="00D17D6C">
        <w:rPr>
          <w:rFonts w:cs="Times New Roman"/>
          <w:color w:val="000000" w:themeColor="text1"/>
          <w:szCs w:val="22"/>
        </w:rPr>
        <w:t>zapojení dalších osob odlišných od autorizovaných osob Poskytovatele, pokud tyto informace nevyplývají ze Smlouvy.</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Kategorie subjektů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Osobní údaje se budou týkat těchto kategorií subjektů údajů:</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zaměstnanci a pracovníci Objednatele;</w:t>
      </w:r>
    </w:p>
    <w:p w:rsidR="00110389"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 xml:space="preserve">subjekty údajů, o kterých </w:t>
      </w:r>
      <w:r>
        <w:rPr>
          <w:rFonts w:cs="Times New Roman"/>
          <w:color w:val="000000" w:themeColor="text1"/>
          <w:szCs w:val="22"/>
        </w:rPr>
        <w:t>aplikace</w:t>
      </w:r>
      <w:r w:rsidRPr="00D17D6C">
        <w:rPr>
          <w:rFonts w:cs="Times New Roman"/>
          <w:color w:val="000000" w:themeColor="text1"/>
          <w:szCs w:val="22"/>
        </w:rPr>
        <w:t xml:space="preserve"> uchovává data;</w:t>
      </w:r>
    </w:p>
    <w:p w:rsidR="00110389" w:rsidRDefault="00110389" w:rsidP="00110389">
      <w:pPr>
        <w:pStyle w:val="Clanek11"/>
        <w:keepNext w:val="0"/>
        <w:numPr>
          <w:ilvl w:val="2"/>
          <w:numId w:val="1"/>
        </w:numPr>
        <w:ind w:hanging="425"/>
        <w:rPr>
          <w:rFonts w:cs="Times New Roman"/>
          <w:color w:val="000000" w:themeColor="text1"/>
          <w:szCs w:val="22"/>
        </w:rPr>
      </w:pPr>
      <w:r>
        <w:rPr>
          <w:rFonts w:cs="Times New Roman"/>
          <w:color w:val="000000" w:themeColor="text1"/>
          <w:szCs w:val="22"/>
        </w:rPr>
        <w:t>uživatelé rádiového spektra;</w:t>
      </w:r>
    </w:p>
    <w:p w:rsidR="00110389" w:rsidRPr="00D17D6C" w:rsidRDefault="00110389" w:rsidP="00110389">
      <w:pPr>
        <w:pStyle w:val="Clanek11"/>
        <w:keepNext w:val="0"/>
        <w:numPr>
          <w:ilvl w:val="2"/>
          <w:numId w:val="1"/>
        </w:numPr>
        <w:ind w:hanging="425"/>
        <w:rPr>
          <w:rFonts w:cs="Times New Roman"/>
          <w:color w:val="000000" w:themeColor="text1"/>
          <w:szCs w:val="22"/>
        </w:rPr>
      </w:pPr>
      <w:r>
        <w:rPr>
          <w:rFonts w:cs="Times New Roman"/>
          <w:color w:val="000000" w:themeColor="text1"/>
          <w:szCs w:val="22"/>
        </w:rPr>
        <w:t>fyzické osoby podnikající i nepodnikající, o kterých byla do prostředí nahrána data;</w:t>
      </w:r>
    </w:p>
    <w:p w:rsidR="00110389"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subjekty údajů, jejichž data byla nahrána do produkčních a testovacích prostředí;</w:t>
      </w:r>
    </w:p>
    <w:p w:rsidR="00110389" w:rsidRPr="00D17D6C" w:rsidRDefault="00110389" w:rsidP="00110389">
      <w:pPr>
        <w:pStyle w:val="Clanek11"/>
        <w:keepNext w:val="0"/>
        <w:numPr>
          <w:ilvl w:val="2"/>
          <w:numId w:val="1"/>
        </w:numPr>
        <w:ind w:hanging="425"/>
        <w:rPr>
          <w:rFonts w:cs="Times New Roman"/>
          <w:color w:val="000000" w:themeColor="text1"/>
          <w:szCs w:val="22"/>
        </w:rPr>
      </w:pPr>
      <w:r>
        <w:rPr>
          <w:rFonts w:cs="Times New Roman"/>
          <w:color w:val="000000" w:themeColor="text1"/>
          <w:szCs w:val="22"/>
        </w:rPr>
        <w:t>subjekty údajů, jejichž osobní údaje byly Poskytovateli předány za účelem provádění servisních zásahů;</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další subjekty údajů, jejichž osobní údaje byly Poskytovateli předány pro účel poskytnutí Služeb a plnění dalších povinností dle Smlouvy.</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Práva a povinnosti stran</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prohlašuje a zavazuje se, že:</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 xml:space="preserve">dozví-li se o porušení nebo hrozícím porušení zabezpečení Osobních údajů, náhodném </w:t>
      </w:r>
      <w:r w:rsidRPr="00D17D6C">
        <w:rPr>
          <w:rFonts w:cs="Times New Roman"/>
          <w:color w:val="000000" w:themeColor="text1"/>
          <w:szCs w:val="22"/>
        </w:rPr>
        <w:lastRenderedPageBreak/>
        <w:t>nebo protiprávním zničení, ztrátě, změně nebo neoprávněném poskytnutí či zpřístupnění zpracovávaných Osobních údajů, neprodleně, nejpozději však do 24 (dvaceti čtyř) hodin, písemně informuje Objednatele a co nejlépe popíše vzniklé či hrozící bezpečnostní riziko, přičemž Objednateli sdělí vhodná opatření pro zabránění nebo minimalizaci porušení zabezpečení Služby a přijme veškerá potřebná opatření pro minimalizaci škody;</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bude Osobní údaje zpracovávat pouze v rámci EU či EHP;</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Osobní údaje budou zabezpečeny v souladu čl. 8 této Zpracovatelské smlouvy;</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Osobní údaje bude zpracovávat pouze v souladu s touto Zpracovatelskou smlouvou, nebo na základě jiných písemných pokynů Objednatele; pro případné další účely zpracování je nutný předchozí písemný souhlas Objednatele;</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zajistí, aby osoby, které se budou na straně Poskytovatele podílet na plnění této Zpracovatelské smlouvy, při styku nebo nakládání s Osobními údaji nepořizovaly kopie Osobních údajů bez předchozího písemného souhlasu Objednatele a aby jejich činností nebo opomenutím nedošlo k náhodnému nebo protiprávnímu zničení, ztrátě či pozměnění Osobních údajů, nebo k jejich neoprávněnému zpřístupnění třetím osobám;</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bude Objednateli nápomocen při zavádění a udržování vhodných technických a</w:t>
      </w:r>
      <w:r>
        <w:rPr>
          <w:rFonts w:cs="Times New Roman"/>
          <w:color w:val="000000" w:themeColor="text1"/>
          <w:szCs w:val="22"/>
        </w:rPr>
        <w:t> </w:t>
      </w:r>
      <w:r w:rsidRPr="00D17D6C">
        <w:rPr>
          <w:rFonts w:cs="Times New Roman"/>
          <w:color w:val="000000" w:themeColor="text1"/>
          <w:szCs w:val="22"/>
        </w:rPr>
        <w:t>organizačních opatření k zabezpečení Osobních údajů, při ohlašování porušení zabezpečení osobních údajů dozorovému úřadu nebo subjektu údajů, při posuzování vlivu na ochranu osobních údajů a při předchozích konzultacích s dozorovým úřadem;</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zajistí Objednateli prostřednictvím vhodných technických a organizačních opatření součinnost, nejpozději do 14 (čtrnácti) dnů od vznesení požadavku Objednatele, pro splnění Objednatelovy povinnosti reagovat na žádosti o výkon práv subjektu údajů;</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poskytne Objednateli veškerou součinnost v případě plnění dalších povinností dle GDPR, nebo zákona o zpracování osobních údajů, popřípadě vyhlášky č. 82/2018, o</w:t>
      </w:r>
      <w:r>
        <w:rPr>
          <w:rFonts w:cs="Times New Roman"/>
          <w:color w:val="000000" w:themeColor="text1"/>
          <w:szCs w:val="22"/>
        </w:rPr>
        <w:t> </w:t>
      </w:r>
      <w:r w:rsidRPr="00D17D6C">
        <w:rPr>
          <w:rFonts w:cs="Times New Roman"/>
          <w:color w:val="000000" w:themeColor="text1"/>
          <w:szCs w:val="22"/>
        </w:rPr>
        <w:t>bezpečnostních opatřeních, kybernetických bezpečnostních incidentech, reaktivních opatřeních, náležitostech podání v oblasti kybernetické bezpečnosti a likvidaci dat (vyhláška o kybernetické bezpečnosti);</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poskytn</w:t>
      </w:r>
      <w:r>
        <w:rPr>
          <w:rFonts w:cs="Times New Roman"/>
          <w:color w:val="000000" w:themeColor="text1"/>
          <w:szCs w:val="22"/>
        </w:rPr>
        <w:t>e</w:t>
      </w:r>
      <w:r w:rsidRPr="00D17D6C">
        <w:rPr>
          <w:rFonts w:cs="Times New Roman"/>
          <w:color w:val="000000" w:themeColor="text1"/>
          <w:szCs w:val="22"/>
        </w:rPr>
        <w:t xml:space="preserve"> Objednateli na jeho žádost neprodleně, nejpozději však do jednoho týdne, veškerou součinnost nutnou k prokázání, že jsou Osobní údaje dostatečně organizačně a</w:t>
      </w:r>
      <w:r>
        <w:rPr>
          <w:rFonts w:cs="Times New Roman"/>
          <w:color w:val="000000" w:themeColor="text1"/>
          <w:szCs w:val="22"/>
        </w:rPr>
        <w:t> </w:t>
      </w:r>
      <w:r w:rsidRPr="00D17D6C">
        <w:rPr>
          <w:rFonts w:cs="Times New Roman"/>
          <w:color w:val="000000" w:themeColor="text1"/>
          <w:szCs w:val="22"/>
        </w:rPr>
        <w:t>technicky zabezpečeny a poskytne veškerou součinnost v případech, kdy je u Objednatele zahájena kontrola dozorového orgánu a zaváže k této povinnosti i své pracovníky, od kterých bude potřebná součinnost.</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Pokud Poskytovatel při zpracovávání Osobních údajů obdrží od subjektu údajů ve vztahu k</w:t>
      </w:r>
      <w:r>
        <w:rPr>
          <w:rFonts w:cs="Times New Roman"/>
          <w:color w:val="000000" w:themeColor="text1"/>
          <w:szCs w:val="22"/>
        </w:rPr>
        <w:t> </w:t>
      </w:r>
      <w:r w:rsidRPr="00D17D6C">
        <w:rPr>
          <w:rFonts w:cs="Times New Roman"/>
          <w:color w:val="000000" w:themeColor="text1"/>
          <w:szCs w:val="22"/>
        </w:rPr>
        <w:t>Osobním údajům jakoukoliv žádost, sdělí Poskytovatel subjektu údajů ve lhůtě jednoho týdne, aby se s žádostí obrátil přímo na Objednatele. Poskytovatel se zavazuje poskytnout Objednateli veškerou součinnost potřebnou pro vyřízení práva subjektů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se zavazuje nevyužít pro zpracování Osobních údajů jakéhokoliv dalšího zpracovatele bez předchozího písemného povolení Objednatele a v případě zapojení těchto dalších zpracovatelů zajistí, aby dodržovali stejné povinnosti na ochranu údajů, jaké jsou uvedeny v této Zpracovatelské smlouvě. Objednatel je oprávněn sdělit v pokynu ke zpracování Osobních údajů, s jakými dalšími zpracovateli souhlasí. V případě, že žádného dalšího zpracovatele Objednatel neuvede, nesmí Poskytovatel dalšího zpracovatele zapojit.</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je povinen umožnit Objednateli či jím pověřené osobě kontrolu (včetně auditu či inspekce) dodržování této Zpracovatelské smlouvy, zejména povinností pro zpracování Osobních údajů z nich vyplývajících, a k těmto kontrolám přispěje dle důvodných pokynů Objednatele či kontrolující osoby. Poskytovatel je povinen zajistit možnost provedení kontroly také u osob, které se společně s Poskytovatelem podílejí na plnění povinností.</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 xml:space="preserve">Jakoukoliv žádost o audit je Objednatel povinen zaslat písemně Poskytovateli. Po obdržení žádosti o audit se Poskytovatel a Objednatel dopředu dohodnou na: (a) možném termínu </w:t>
      </w:r>
      <w:r w:rsidRPr="00D17D6C">
        <w:rPr>
          <w:rFonts w:cs="Times New Roman"/>
          <w:color w:val="000000" w:themeColor="text1"/>
          <w:szCs w:val="22"/>
        </w:rPr>
        <w:lastRenderedPageBreak/>
        <w:t>provedení auditu, bezpečnostních opatřeních a způsobu zajištění dodržení závazků mlčenlivosti během auditu, a (b) předpokládaném začátku, rozsahu a době trvání auditu. V případě, že k dohodě nedojde ani do 30 dnů ode dne odeslání žádosti, určí podmínky auditu Objednatel.</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může vznést písemné námitky proti jakémukoliv auditorovi, který byl pověřen Objednatelem, pokud není auditor podle názoru Poskytovatele nezávislý, je v soutěžním postavení vůči Poskytovateli.</w:t>
      </w:r>
      <w:r>
        <w:rPr>
          <w:rFonts w:cs="Times New Roman"/>
          <w:color w:val="000000" w:themeColor="text1"/>
          <w:szCs w:val="22"/>
        </w:rPr>
        <w:t xml:space="preserve"> Poskytovatel je povinen takové námitky náležitě odůvodnit.</w:t>
      </w:r>
      <w:r w:rsidRPr="00D17D6C">
        <w:rPr>
          <w:rFonts w:cs="Times New Roman"/>
          <w:color w:val="000000" w:themeColor="text1"/>
          <w:szCs w:val="22"/>
        </w:rPr>
        <w:t xml:space="preserve"> Na základě vznesené</w:t>
      </w:r>
      <w:r>
        <w:rPr>
          <w:rFonts w:cs="Times New Roman"/>
          <w:color w:val="000000" w:themeColor="text1"/>
          <w:szCs w:val="22"/>
        </w:rPr>
        <w:t xml:space="preserve"> a dostatečně odůvodněné</w:t>
      </w:r>
      <w:r w:rsidRPr="00D17D6C">
        <w:rPr>
          <w:rFonts w:cs="Times New Roman"/>
          <w:color w:val="000000" w:themeColor="text1"/>
          <w:szCs w:val="22"/>
        </w:rPr>
        <w:t xml:space="preserve"> námitky má Objednatel povinnost pověřit jiného auditora, nebo provést audit sám.</w:t>
      </w:r>
    </w:p>
    <w:p w:rsidR="00110389"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může být v souvislosti s kontrolou písemně požádán o předložení svých písemných technických a organizačních bezpečnostních opatření v souvislosti s poskytováním Služeb, přičemž má povinnost této výzvě vyhovět.</w:t>
      </w:r>
    </w:p>
    <w:p w:rsidR="00110389" w:rsidRPr="00D17D6C" w:rsidRDefault="00110389" w:rsidP="00110389">
      <w:pPr>
        <w:pStyle w:val="Clanek11"/>
        <w:keepNext w:val="0"/>
        <w:numPr>
          <w:ilvl w:val="1"/>
          <w:numId w:val="1"/>
        </w:numPr>
        <w:ind w:hanging="567"/>
        <w:rPr>
          <w:rFonts w:cs="Times New Roman"/>
          <w:color w:val="000000" w:themeColor="text1"/>
          <w:szCs w:val="22"/>
        </w:rPr>
      </w:pPr>
      <w:r>
        <w:rPr>
          <w:rFonts w:cs="Times New Roman"/>
          <w:color w:val="000000" w:themeColor="text1"/>
          <w:szCs w:val="22"/>
        </w:rPr>
        <w:t>Poskytovatel se zavazuje poskytovat Služby v souladu s přihlédnutím k dostatečné ochraně osobních údajů, a to zejména s přihlédnutím ke stavu techniky, nákladům na provedení, povahu, rozsah, kontext a účel zamýšlených činností zpracování v souvislosti s využíváním Díla Objednatelem tak, aby výsledek splňoval požadavky stanovené v čl. 25 GDPR.</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 xml:space="preserve">Objednatel je odpovědný za plnění všech povinností ve vztahu ke zpracování Osobních údajů, zejména za řádné informování subjektů údajů o zpracování Osobních údajů, získání souhlasu se zpracováním Osobních údajů, pokud je zapotřebí, vyřizování žádostí subjektů údajů, týkajících se realizace jejich práv (jako je právo na informace, přístup, opravu, výmaz, omezení zpracování, vznést námitku apod.). </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Bezpečnost osobních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přijal níže uvedená opatření a zavazuje se je udržovat pro zajištění zabezpečení zpracování Osobních údajů po celou dobu zpracování.</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Organizační opatření:</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Poskytovatel a pracovníci Poskytovatele jsou pravidelně školeni na zásady a principy ochrany osobních údajů a kybernetickou bezpečnost;</w:t>
      </w:r>
    </w:p>
    <w:p w:rsidR="00110389" w:rsidRPr="00D17D6C"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Poskytovatel a pracovníci Poskytovatele jsou zavázáni k mlčenlivosti v souvislosti s prací s Osobními údaji;</w:t>
      </w:r>
    </w:p>
    <w:p w:rsidR="00110389" w:rsidRDefault="00110389" w:rsidP="00110389">
      <w:pPr>
        <w:pStyle w:val="Clanek11"/>
        <w:keepNext w:val="0"/>
        <w:numPr>
          <w:ilvl w:val="2"/>
          <w:numId w:val="1"/>
        </w:numPr>
        <w:ind w:hanging="425"/>
        <w:rPr>
          <w:rFonts w:cs="Times New Roman"/>
          <w:color w:val="000000" w:themeColor="text1"/>
          <w:szCs w:val="22"/>
        </w:rPr>
      </w:pPr>
      <w:r w:rsidRPr="00D17D6C">
        <w:rPr>
          <w:rFonts w:cs="Times New Roman"/>
          <w:color w:val="000000" w:themeColor="text1"/>
          <w:szCs w:val="22"/>
        </w:rPr>
        <w:t>Povinnost Poskytovatele hlásit jakékoliv kybernetické bezpečnostní incidenty související s poskytováním Služeb;</w:t>
      </w:r>
    </w:p>
    <w:p w:rsidR="00110389" w:rsidRPr="00D17D6C" w:rsidRDefault="00110389" w:rsidP="00110389">
      <w:pPr>
        <w:pStyle w:val="Clanek11"/>
        <w:keepNext w:val="0"/>
        <w:numPr>
          <w:ilvl w:val="2"/>
          <w:numId w:val="1"/>
        </w:numPr>
        <w:ind w:hanging="425"/>
        <w:rPr>
          <w:rFonts w:cs="Times New Roman"/>
          <w:color w:val="000000" w:themeColor="text1"/>
          <w:szCs w:val="22"/>
        </w:rPr>
      </w:pPr>
      <w:r>
        <w:rPr>
          <w:rFonts w:cs="Times New Roman"/>
          <w:color w:val="000000" w:themeColor="text1"/>
          <w:szCs w:val="22"/>
        </w:rPr>
        <w:t>Poskytovatel ani pracovníci Poskytovatele nebudou zhotovovat kopie Osobních údajů.</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Poskytovatel zabezpečí poskytování Služeb před kybernetickými útoky nejvhodnějším způsobem s přihlédnutím k povaze Osobních údajů a stavu techniky. Poskytovatel se zároveň zavazuje přijmout veškerá opatření v souladu s čl. 32 GDPR tak, aby s přihlédnutím ke stavu techniky, nákladům na provedení, povaze, rozsahu, kontextu a účelům zpracování i k různě pravděpodobným a různě závažným rizikům pro práva a svobody fyzických osob, zajistil úroveň zabezpečení odpovídající danému riziku. Poskytovatel odpovídá za poškození Osobních údajů třetí stranou, pokud se prokáže, že nebyly odpovědně zabezpečeny v souladu s čl. 8 Zpracovatelské smlouvy.</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t>Předání osobních údajů po skončení zpracování</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 skončení Smlouvy bez ohledu na způsob a důvod jejího skončení je Poskytovatel povinen všechny Osobní údaje předat Objednateli včetně všech existujících kopií a Osobní údaje na všech ostatních zařízeních a nosičích mimo zařízení a nosičů ve vlastnictví či užívání Objednatele trvale zničí, s výjimkou případů, kdy je uložení Osobních údajů vyžadované právem České republiky nebo Evropské unie. Provedení likvidace Osobních údajů je Poskytovatel povinen doložit Objednateli vhodným způsobem, z něhož bude vyplývat způsob likvidace konkrétních údajů.</w:t>
      </w:r>
    </w:p>
    <w:p w:rsidR="00110389" w:rsidRPr="00D17D6C" w:rsidRDefault="00110389" w:rsidP="00110389">
      <w:pPr>
        <w:pStyle w:val="Nadpis1"/>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num" w:pos="567"/>
        </w:tabs>
        <w:spacing w:before="240" w:after="0" w:line="240" w:lineRule="auto"/>
        <w:ind w:hanging="567"/>
        <w:rPr>
          <w:rFonts w:ascii="Times New Roman" w:eastAsia="Times New Roman" w:hAnsi="Times New Roman" w:cs="Times New Roman"/>
          <w:kern w:val="2"/>
          <w:lang w:val="cs-CZ" w:eastAsia="en-US"/>
        </w:rPr>
      </w:pPr>
      <w:r w:rsidRPr="00D17D6C">
        <w:rPr>
          <w:rFonts w:ascii="Times New Roman" w:eastAsia="Times New Roman" w:hAnsi="Times New Roman" w:cs="Times New Roman"/>
          <w:kern w:val="2"/>
          <w:lang w:val="cs-CZ" w:eastAsia="en-US"/>
        </w:rPr>
        <w:lastRenderedPageBreak/>
        <w:t>Další ujednání</w:t>
      </w:r>
    </w:p>
    <w:p w:rsidR="00110389"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 xml:space="preserve">Poskytovatel není oprávněn vyúčtovat Objednateli vynaložené náklady spojené s vyřizováním jakékoliv žádosti, uvedené v čl. 7 Zpracovatelské smlouvy a není oprávněn požadovat dodatečnou odměnu za zpracování </w:t>
      </w:r>
      <w:r>
        <w:rPr>
          <w:rFonts w:cs="Times New Roman"/>
          <w:color w:val="000000" w:themeColor="text1"/>
          <w:szCs w:val="22"/>
        </w:rPr>
        <w:t>O</w:t>
      </w:r>
      <w:r w:rsidRPr="00D17D6C">
        <w:rPr>
          <w:rFonts w:cs="Times New Roman"/>
          <w:color w:val="000000" w:themeColor="text1"/>
          <w:szCs w:val="22"/>
        </w:rPr>
        <w:t>sobních údajů při poskytování Služeb.</w:t>
      </w:r>
    </w:p>
    <w:p w:rsidR="00110389" w:rsidRPr="005F7897" w:rsidRDefault="00110389" w:rsidP="00110389">
      <w:pPr>
        <w:pStyle w:val="Clanek11"/>
        <w:keepNext w:val="0"/>
        <w:numPr>
          <w:ilvl w:val="1"/>
          <w:numId w:val="1"/>
        </w:numPr>
        <w:ind w:hanging="567"/>
        <w:rPr>
          <w:rFonts w:cs="Times New Roman"/>
          <w:color w:val="000000" w:themeColor="text1"/>
          <w:szCs w:val="22"/>
        </w:rPr>
      </w:pPr>
      <w:r w:rsidRPr="005F7897">
        <w:rPr>
          <w:rFonts w:cs="Times New Roman"/>
          <w:color w:val="000000" w:themeColor="text1"/>
          <w:szCs w:val="22"/>
        </w:rPr>
        <w:t xml:space="preserve">V případě prodlení se splněním jakékoli lhůty dle této Zpracovatelské smlouvy se </w:t>
      </w:r>
      <w:r>
        <w:rPr>
          <w:rFonts w:cs="Times New Roman"/>
          <w:color w:val="000000" w:themeColor="text1"/>
          <w:szCs w:val="22"/>
        </w:rPr>
        <w:t xml:space="preserve">Poskytovatel </w:t>
      </w:r>
      <w:r w:rsidRPr="005F7897">
        <w:rPr>
          <w:rFonts w:cs="Times New Roman"/>
          <w:color w:val="000000" w:themeColor="text1"/>
          <w:szCs w:val="22"/>
        </w:rPr>
        <w:t>zavazuje Objednateli uhradit smluvní pokutu ve výši</w:t>
      </w:r>
      <w:r>
        <w:rPr>
          <w:rFonts w:cs="Times New Roman"/>
          <w:color w:val="000000" w:themeColor="text1"/>
          <w:szCs w:val="22"/>
        </w:rPr>
        <w:t xml:space="preserve"> 1.000 Kč</w:t>
      </w:r>
      <w:r w:rsidRPr="005F7897">
        <w:rPr>
          <w:rFonts w:cs="Times New Roman"/>
          <w:color w:val="000000" w:themeColor="text1"/>
          <w:szCs w:val="22"/>
        </w:rPr>
        <w:t xml:space="preserve"> za každý započatý den prodlení. Smluvní pokuta je splatná okamžikem porušení příslušné povinnosti, přičemž uhrazení smluvní pokuty nevylučuje nárok na náhradu škody v plné výši.</w:t>
      </w:r>
    </w:p>
    <w:p w:rsidR="00110389" w:rsidRPr="005F7897" w:rsidRDefault="00110389" w:rsidP="00110389">
      <w:pPr>
        <w:pStyle w:val="Clanek11"/>
        <w:keepNext w:val="0"/>
        <w:numPr>
          <w:ilvl w:val="1"/>
          <w:numId w:val="1"/>
        </w:numPr>
        <w:ind w:hanging="567"/>
        <w:rPr>
          <w:rFonts w:cs="Times New Roman"/>
          <w:color w:val="000000" w:themeColor="text1"/>
          <w:szCs w:val="22"/>
        </w:rPr>
      </w:pPr>
      <w:r w:rsidRPr="005F7897">
        <w:rPr>
          <w:rFonts w:cs="Times New Roman"/>
          <w:color w:val="000000" w:themeColor="text1"/>
          <w:szCs w:val="22"/>
        </w:rPr>
        <w:t xml:space="preserve">V případě porušení povinností </w:t>
      </w:r>
      <w:r>
        <w:rPr>
          <w:rFonts w:cs="Times New Roman"/>
          <w:color w:val="000000" w:themeColor="text1"/>
          <w:szCs w:val="22"/>
        </w:rPr>
        <w:t>Poskytovatele</w:t>
      </w:r>
      <w:r w:rsidRPr="005F7897">
        <w:rPr>
          <w:rFonts w:cs="Times New Roman"/>
          <w:color w:val="000000" w:themeColor="text1"/>
          <w:szCs w:val="22"/>
        </w:rPr>
        <w:t xml:space="preserve"> dle čl. 7, 8 či 9 této Zpracovatelské smlouvy případně jiných povinností </w:t>
      </w:r>
      <w:r>
        <w:rPr>
          <w:rFonts w:cs="Times New Roman"/>
          <w:color w:val="000000" w:themeColor="text1"/>
          <w:szCs w:val="22"/>
        </w:rPr>
        <w:t>Poskytovatele</w:t>
      </w:r>
      <w:r w:rsidRPr="005F7897">
        <w:rPr>
          <w:rFonts w:cs="Times New Roman"/>
          <w:color w:val="000000" w:themeColor="text1"/>
          <w:szCs w:val="22"/>
        </w:rPr>
        <w:t xml:space="preserve"> vyplývajících z této Zpracovatelské smlouvy se </w:t>
      </w:r>
      <w:r>
        <w:rPr>
          <w:rFonts w:cs="Times New Roman"/>
          <w:color w:val="000000" w:themeColor="text1"/>
          <w:szCs w:val="22"/>
        </w:rPr>
        <w:t>Poskytovatel</w:t>
      </w:r>
      <w:r w:rsidRPr="005F7897">
        <w:rPr>
          <w:rFonts w:cs="Times New Roman"/>
          <w:color w:val="000000" w:themeColor="text1"/>
          <w:szCs w:val="22"/>
        </w:rPr>
        <w:t xml:space="preserve"> zavazuje Objednateli uhradit smluvní pokutu ve výši</w:t>
      </w:r>
      <w:r>
        <w:rPr>
          <w:rFonts w:cs="Times New Roman"/>
          <w:color w:val="000000" w:themeColor="text1"/>
          <w:szCs w:val="22"/>
        </w:rPr>
        <w:t xml:space="preserve"> 50.000 Kč</w:t>
      </w:r>
      <w:r w:rsidRPr="005F7897">
        <w:rPr>
          <w:rFonts w:cs="Times New Roman"/>
          <w:color w:val="000000" w:themeColor="text1"/>
          <w:szCs w:val="22"/>
        </w:rPr>
        <w:t xml:space="preserve"> za každé jednotlivé porušení. Smluvní pokuta je splatná okamžikem porušení příslušné povinnosti, přičemž uhrazení smluvní pokuty nevylučuje nárok na náhradu škody v plné výši.</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Poruší-li Poskytovatel či třetí osoba užitá Poskytovatelem k poskytování Služeb (poddodavatel) kteroukoliv povinnost týkající se či související se zpracováním Osobních údajů, ať již vyplývá z GDPR či jiných předpisů či ze Zpracovatelské smlouvy, a Objednateli bude v důsledku takového porušení pravomocně uložena pokuta, zejména ze strany Úřadu pro ochranu osobních údajů, zavazuje se Poskytovatel po jeho prokázaném zavinění na výzvu Objednatele, k níž bude dále přiloženo rozhodnutí o uložení pokuty, uhradit Objednateli peněžitou náhradu ve výši uložené pokuty, a to do pěti (5) pracovních dní od obdržení písemné výzvy k zaplacení.</w:t>
      </w:r>
    </w:p>
    <w:p w:rsidR="00110389" w:rsidRPr="00D17D6C"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Poruší-li Poskytovatel či třetí osoba užitá Poskytovatelem k poskytování Služeb (poddodavatel) kteroukoliv povinnost týkající se či související se zpracováním Osobních údajů, ať již vyplývá z GDPR či jiných předpisů či ze Zpracovatelské smlouvy, a vznikne-li v souvislosti s takovým porušením třetí osobě jako subjektu údajů materiální či nemateriální újma a Objednatel uhradí této poškozené třetí osobě pohledávku na náhradu materiální či nemateriální újmy, zavazuje se Poskytovatel na výzvu Objednatele, uhradit Objednateli peněžitou náhradu ve výši uplatněné materiální či nemateriální újmy ze strany třetí osoby, a to do pěti (5) pracovních dní od obdržení výzvy k zaplacení.</w:t>
      </w:r>
    </w:p>
    <w:p w:rsidR="00110389" w:rsidRDefault="00110389" w:rsidP="00110389">
      <w:pPr>
        <w:pStyle w:val="Clanek11"/>
        <w:keepNext w:val="0"/>
        <w:numPr>
          <w:ilvl w:val="1"/>
          <w:numId w:val="1"/>
        </w:numPr>
        <w:ind w:hanging="567"/>
        <w:rPr>
          <w:rFonts w:cs="Times New Roman"/>
          <w:color w:val="000000" w:themeColor="text1"/>
          <w:szCs w:val="22"/>
        </w:rPr>
      </w:pPr>
      <w:r w:rsidRPr="00D17D6C">
        <w:rPr>
          <w:rFonts w:cs="Times New Roman"/>
          <w:color w:val="000000" w:themeColor="text1"/>
          <w:szCs w:val="22"/>
        </w:rPr>
        <w:t>Strany se dohodly, že porušením kterékoliv povinnosti Poskytovatele plynoucí z právních předpisů v oblasti bezpečnosti informací a ochrany osobních údajů, zejména ze zákona a</w:t>
      </w:r>
      <w:r>
        <w:rPr>
          <w:rFonts w:cs="Times New Roman"/>
          <w:color w:val="000000" w:themeColor="text1"/>
          <w:szCs w:val="22"/>
        </w:rPr>
        <w:t xml:space="preserve"> případně</w:t>
      </w:r>
      <w:r w:rsidRPr="00D17D6C">
        <w:rPr>
          <w:rFonts w:cs="Times New Roman"/>
          <w:color w:val="000000" w:themeColor="text1"/>
          <w:szCs w:val="22"/>
        </w:rPr>
        <w:t xml:space="preserve"> vyhlášky o kybernetické bezpečnosti, GDPR či dalších právních předpisů či ze Zpracovatelské smlouvy, představuje podstatné porušení Smlouvy.</w:t>
      </w:r>
    </w:p>
    <w:p w:rsidR="00110389" w:rsidRPr="00D33F28" w:rsidRDefault="00110389" w:rsidP="00110389">
      <w:pPr>
        <w:pStyle w:val="Clanek11"/>
        <w:keepNext w:val="0"/>
        <w:numPr>
          <w:ilvl w:val="1"/>
          <w:numId w:val="1"/>
        </w:numPr>
        <w:ind w:hanging="567"/>
        <w:rPr>
          <w:rFonts w:cs="Times New Roman"/>
          <w:color w:val="000000" w:themeColor="text1"/>
          <w:szCs w:val="22"/>
        </w:rPr>
      </w:pPr>
      <w:r>
        <w:rPr>
          <w:rFonts w:cs="Times New Roman"/>
          <w:color w:val="000000" w:themeColor="text1"/>
          <w:szCs w:val="22"/>
        </w:rPr>
        <w:t>Tato Zpracovatelská smlouva vzniká dnem podpisu oprávněnými zástupci obou Stran a nabývá účinnosti dnem zveřejnění Zpracovatelské smlouvy v registru smluv. Strany prohlašují, že se podmínkami této Zpracovatelské smlouvy na základě vzájemné dohody řídily již od okamžiku podpisu této Zpracovatelské smlouvy oběma Stranami a veškerá svá vzájemná plnění poskytnutá mezi podpisem této Zpracovatelské smlouvy oběma Stranami a dnem nabytí účinnosti této Zpracovatelské smlouvy považují za plnění poskytnutá podle této Zpracovatelské smlouvy.</w:t>
      </w:r>
    </w:p>
    <w:tbl>
      <w:tblPr>
        <w:tblStyle w:val="Mkatabulky"/>
        <w:tblW w:w="9010" w:type="dxa"/>
        <w:tblLook w:val="04A0" w:firstRow="1" w:lastRow="0" w:firstColumn="1" w:lastColumn="0" w:noHBand="0" w:noVBand="1"/>
      </w:tblPr>
      <w:tblGrid>
        <w:gridCol w:w="4506"/>
        <w:gridCol w:w="4504"/>
      </w:tblGrid>
      <w:tr w:rsidR="00110389" w:rsidRPr="00D17D6C" w:rsidTr="006D12AC">
        <w:tc>
          <w:tcPr>
            <w:tcW w:w="4505" w:type="dxa"/>
            <w:shd w:val="clear" w:color="auto" w:fill="auto"/>
            <w:tcMar>
              <w:left w:w="108" w:type="dxa"/>
            </w:tcMar>
          </w:tcPr>
          <w:p w:rsidR="00110389" w:rsidRPr="00D17D6C" w:rsidRDefault="00110389" w:rsidP="006D12AC">
            <w:pPr>
              <w:widowControl w:val="0"/>
              <w:spacing w:before="120" w:after="120"/>
              <w:contextualSpacing/>
              <w:jc w:val="center"/>
              <w:rPr>
                <w:rFonts w:ascii="Times New Roman" w:hAnsi="Times New Roman" w:cs="Times New Roman"/>
              </w:rPr>
            </w:pPr>
            <w:r w:rsidRPr="00D17D6C">
              <w:rPr>
                <w:rFonts w:ascii="Times New Roman" w:hAnsi="Times New Roman" w:cs="Times New Roman"/>
              </w:rPr>
              <w:t>Poskytovatel</w:t>
            </w:r>
          </w:p>
          <w:p w:rsidR="00110389" w:rsidRPr="00D17D6C" w:rsidRDefault="00110389" w:rsidP="006D12AC">
            <w:pPr>
              <w:widowControl w:val="0"/>
              <w:spacing w:before="120" w:after="120"/>
              <w:jc w:val="center"/>
              <w:rPr>
                <w:rFonts w:ascii="Times New Roman" w:hAnsi="Times New Roman" w:cs="Times New Roman"/>
              </w:rPr>
            </w:pPr>
          </w:p>
          <w:p w:rsidR="00110389" w:rsidRPr="00D17D6C" w:rsidRDefault="00110389" w:rsidP="006D12AC">
            <w:pPr>
              <w:widowControl w:val="0"/>
              <w:spacing w:before="120" w:after="120"/>
              <w:jc w:val="center"/>
              <w:rPr>
                <w:rFonts w:ascii="Times New Roman" w:hAnsi="Times New Roman" w:cs="Times New Roman"/>
              </w:rPr>
            </w:pPr>
            <w:r w:rsidRPr="00D17D6C">
              <w:rPr>
                <w:rFonts w:ascii="Times New Roman" w:hAnsi="Times New Roman" w:cs="Times New Roman"/>
              </w:rPr>
              <w:t>………….……………….</w:t>
            </w:r>
          </w:p>
          <w:p w:rsidR="00110389" w:rsidRPr="00D17D6C" w:rsidRDefault="00110389" w:rsidP="006D12AC">
            <w:pPr>
              <w:widowControl w:val="0"/>
              <w:spacing w:before="60" w:after="60"/>
              <w:jc w:val="center"/>
              <w:rPr>
                <w:rFonts w:ascii="Times New Roman" w:hAnsi="Times New Roman" w:cs="Times New Roman"/>
              </w:rPr>
            </w:pPr>
            <w:r w:rsidRPr="00D17D6C">
              <w:rPr>
                <w:rFonts w:ascii="Times New Roman" w:hAnsi="Times New Roman" w:cs="Times New Roman"/>
              </w:rPr>
              <w:t>Ing. Milan Doubek</w:t>
            </w:r>
            <w:r>
              <w:rPr>
                <w:rFonts w:ascii="Times New Roman" w:hAnsi="Times New Roman" w:cs="Times New Roman"/>
              </w:rPr>
              <w:t>, v.r.</w:t>
            </w:r>
            <w:bookmarkStart w:id="2" w:name="_GoBack"/>
            <w:bookmarkEnd w:id="2"/>
          </w:p>
          <w:p w:rsidR="00110389" w:rsidRPr="00D17D6C" w:rsidRDefault="00110389" w:rsidP="006D12AC">
            <w:pPr>
              <w:widowControl w:val="0"/>
              <w:spacing w:before="60" w:after="60"/>
              <w:jc w:val="center"/>
              <w:rPr>
                <w:rFonts w:ascii="Times New Roman" w:hAnsi="Times New Roman" w:cs="Times New Roman"/>
              </w:rPr>
            </w:pPr>
            <w:r w:rsidRPr="00D17D6C">
              <w:rPr>
                <w:rFonts w:ascii="Times New Roman" w:hAnsi="Times New Roman" w:cs="Times New Roman"/>
              </w:rPr>
              <w:t>Jednatel</w:t>
            </w:r>
          </w:p>
          <w:p w:rsidR="00110389" w:rsidRPr="00D17D6C" w:rsidRDefault="00110389" w:rsidP="006D12AC">
            <w:pPr>
              <w:widowControl w:val="0"/>
              <w:spacing w:before="60" w:after="60"/>
              <w:jc w:val="center"/>
              <w:rPr>
                <w:rFonts w:ascii="Times New Roman" w:hAnsi="Times New Roman" w:cs="Times New Roman"/>
              </w:rPr>
            </w:pPr>
            <w:proofErr w:type="spellStart"/>
            <w:r w:rsidRPr="00D17D6C">
              <w:rPr>
                <w:rFonts w:ascii="Times New Roman" w:hAnsi="Times New Roman" w:cs="Times New Roman"/>
              </w:rPr>
              <w:t>Dactyl</w:t>
            </w:r>
            <w:proofErr w:type="spellEnd"/>
            <w:r w:rsidRPr="00D17D6C">
              <w:rPr>
                <w:rFonts w:ascii="Times New Roman" w:hAnsi="Times New Roman" w:cs="Times New Roman"/>
              </w:rPr>
              <w:t xml:space="preserve"> Group s.r.o.</w:t>
            </w:r>
          </w:p>
          <w:p w:rsidR="00110389" w:rsidRPr="00D17D6C" w:rsidRDefault="00110389" w:rsidP="006D12AC">
            <w:pPr>
              <w:widowControl w:val="0"/>
              <w:jc w:val="center"/>
              <w:rPr>
                <w:rFonts w:ascii="Times New Roman" w:hAnsi="Times New Roman" w:cs="Times New Roman"/>
              </w:rPr>
            </w:pPr>
            <w:r w:rsidRPr="00D17D6C">
              <w:rPr>
                <w:rFonts w:ascii="Times New Roman" w:hAnsi="Times New Roman" w:cs="Times New Roman"/>
              </w:rPr>
              <w:t xml:space="preserve">V Brně dne </w:t>
            </w:r>
            <w:r>
              <w:rPr>
                <w:rFonts w:ascii="Times New Roman" w:hAnsi="Times New Roman" w:cs="Times New Roman"/>
              </w:rPr>
              <w:t>1. dubna</w:t>
            </w:r>
            <w:r w:rsidRPr="00D17D6C">
              <w:rPr>
                <w:rFonts w:ascii="Times New Roman" w:hAnsi="Times New Roman" w:cs="Times New Roman"/>
              </w:rPr>
              <w:t xml:space="preserve"> 2021</w:t>
            </w:r>
          </w:p>
        </w:tc>
        <w:tc>
          <w:tcPr>
            <w:tcW w:w="4504" w:type="dxa"/>
            <w:shd w:val="clear" w:color="auto" w:fill="auto"/>
            <w:tcMar>
              <w:left w:w="108" w:type="dxa"/>
            </w:tcMar>
          </w:tcPr>
          <w:p w:rsidR="00110389" w:rsidRPr="00D17D6C" w:rsidRDefault="00110389" w:rsidP="006D12AC">
            <w:pPr>
              <w:widowControl w:val="0"/>
              <w:spacing w:before="120" w:after="120"/>
              <w:jc w:val="center"/>
              <w:rPr>
                <w:rFonts w:ascii="Times New Roman" w:hAnsi="Times New Roman" w:cs="Times New Roman"/>
              </w:rPr>
            </w:pPr>
            <w:r w:rsidRPr="00D17D6C">
              <w:rPr>
                <w:rFonts w:ascii="Times New Roman" w:hAnsi="Times New Roman" w:cs="Times New Roman"/>
              </w:rPr>
              <w:t>Objednatel</w:t>
            </w:r>
          </w:p>
          <w:p w:rsidR="00110389" w:rsidRPr="00D33F28" w:rsidRDefault="00110389" w:rsidP="006D12AC">
            <w:pPr>
              <w:widowControl w:val="0"/>
              <w:spacing w:before="120" w:after="120"/>
              <w:jc w:val="center"/>
              <w:rPr>
                <w:rFonts w:ascii="Times New Roman" w:hAnsi="Times New Roman" w:cs="Times New Roman"/>
                <w:sz w:val="12"/>
                <w:szCs w:val="12"/>
              </w:rPr>
            </w:pPr>
          </w:p>
          <w:p w:rsidR="00110389" w:rsidRPr="00D17D6C" w:rsidRDefault="00110389" w:rsidP="006D12AC">
            <w:pPr>
              <w:widowControl w:val="0"/>
              <w:spacing w:before="120" w:after="120"/>
              <w:jc w:val="center"/>
              <w:rPr>
                <w:rFonts w:ascii="Times New Roman" w:hAnsi="Times New Roman" w:cs="Times New Roman"/>
              </w:rPr>
            </w:pPr>
            <w:r w:rsidRPr="00D17D6C">
              <w:rPr>
                <w:rFonts w:ascii="Times New Roman" w:hAnsi="Times New Roman" w:cs="Times New Roman"/>
              </w:rPr>
              <w:t>………….……………….</w:t>
            </w:r>
          </w:p>
          <w:p w:rsidR="00110389" w:rsidRPr="00D17D6C" w:rsidRDefault="00110389" w:rsidP="006D12AC">
            <w:pPr>
              <w:widowControl w:val="0"/>
              <w:spacing w:before="60" w:after="60"/>
              <w:jc w:val="center"/>
              <w:rPr>
                <w:rFonts w:ascii="Times New Roman" w:hAnsi="Times New Roman" w:cs="Times New Roman"/>
              </w:rPr>
            </w:pPr>
            <w:r w:rsidRPr="00D17D6C">
              <w:rPr>
                <w:rFonts w:ascii="Times New Roman" w:hAnsi="Times New Roman" w:cs="Times New Roman"/>
              </w:rPr>
              <w:t xml:space="preserve">Mgr. Ing. Hana </w:t>
            </w:r>
            <w:proofErr w:type="spellStart"/>
            <w:r w:rsidRPr="00D17D6C">
              <w:rPr>
                <w:rFonts w:ascii="Times New Roman" w:hAnsi="Times New Roman" w:cs="Times New Roman"/>
              </w:rPr>
              <w:t>Továrková</w:t>
            </w:r>
            <w:proofErr w:type="spellEnd"/>
            <w:r>
              <w:rPr>
                <w:rFonts w:ascii="Times New Roman" w:hAnsi="Times New Roman" w:cs="Times New Roman"/>
              </w:rPr>
              <w:t>, v.r.</w:t>
            </w:r>
          </w:p>
          <w:p w:rsidR="00110389" w:rsidRPr="00D17D6C" w:rsidRDefault="00110389" w:rsidP="006D12AC">
            <w:pPr>
              <w:widowControl w:val="0"/>
              <w:spacing w:before="60" w:after="60"/>
              <w:jc w:val="center"/>
              <w:rPr>
                <w:rFonts w:ascii="Times New Roman" w:hAnsi="Times New Roman" w:cs="Times New Roman"/>
              </w:rPr>
            </w:pPr>
            <w:r w:rsidRPr="00D17D6C">
              <w:rPr>
                <w:rFonts w:ascii="Times New Roman" w:hAnsi="Times New Roman" w:cs="Times New Roman"/>
              </w:rPr>
              <w:t>Předsedkyně Rady</w:t>
            </w:r>
          </w:p>
          <w:p w:rsidR="00110389" w:rsidRPr="00D17D6C" w:rsidRDefault="00110389" w:rsidP="006D12AC">
            <w:pPr>
              <w:widowControl w:val="0"/>
              <w:spacing w:before="60" w:after="60"/>
              <w:jc w:val="center"/>
              <w:rPr>
                <w:rFonts w:ascii="Times New Roman" w:hAnsi="Times New Roman" w:cs="Times New Roman"/>
              </w:rPr>
            </w:pPr>
            <w:r w:rsidRPr="00D17D6C">
              <w:rPr>
                <w:rFonts w:ascii="Times New Roman" w:hAnsi="Times New Roman" w:cs="Times New Roman"/>
              </w:rPr>
              <w:t>Českého telekomunikačního úřadu</w:t>
            </w:r>
          </w:p>
          <w:p w:rsidR="00110389" w:rsidRPr="00D17D6C" w:rsidRDefault="00110389" w:rsidP="006D12AC">
            <w:pPr>
              <w:widowControl w:val="0"/>
              <w:jc w:val="center"/>
              <w:rPr>
                <w:rFonts w:ascii="Times New Roman" w:hAnsi="Times New Roman" w:cs="Times New Roman"/>
              </w:rPr>
            </w:pPr>
            <w:r w:rsidRPr="00D17D6C">
              <w:rPr>
                <w:rFonts w:ascii="Times New Roman" w:hAnsi="Times New Roman" w:cs="Times New Roman"/>
              </w:rPr>
              <w:t xml:space="preserve">V Praze dne </w:t>
            </w:r>
            <w:r>
              <w:rPr>
                <w:rFonts w:ascii="Times New Roman" w:hAnsi="Times New Roman" w:cs="Times New Roman"/>
              </w:rPr>
              <w:t>1. dubna</w:t>
            </w:r>
            <w:r w:rsidRPr="00D17D6C">
              <w:rPr>
                <w:rFonts w:ascii="Times New Roman" w:hAnsi="Times New Roman" w:cs="Times New Roman"/>
              </w:rPr>
              <w:t xml:space="preserve"> 2021</w:t>
            </w:r>
          </w:p>
        </w:tc>
      </w:tr>
    </w:tbl>
    <w:p w:rsidR="00903114" w:rsidRDefault="00903114"/>
    <w:sectPr w:rsidR="00903114" w:rsidSect="00EC39A9">
      <w:footerReference w:type="even" r:id="rId5"/>
      <w:footerReference w:type="default" r:id="rId6"/>
      <w:pgSz w:w="11909" w:h="16834"/>
      <w:pgMar w:top="1417" w:right="1417" w:bottom="1417" w:left="1417" w:header="567"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41" w:rsidRDefault="00110389" w:rsidP="0049375B">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5C1D41" w:rsidRDefault="00110389" w:rsidP="0049375B">
    <w:pPr>
      <w:pStyle w:val="Zpat"/>
    </w:pPr>
  </w:p>
  <w:p w:rsidR="005C1D41" w:rsidRDefault="00110389" w:rsidP="0049375B"/>
  <w:p w:rsidR="005C1D41" w:rsidRDefault="00110389" w:rsidP="004937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017560"/>
      <w:docPartObj>
        <w:docPartGallery w:val="Page Numbers (Bottom of Page)"/>
        <w:docPartUnique/>
      </w:docPartObj>
    </w:sdtPr>
    <w:sdtEndPr/>
    <w:sdtContent>
      <w:p w:rsidR="007B7909" w:rsidRDefault="00110389">
        <w:pPr>
          <w:pStyle w:val="Zpat"/>
          <w:jc w:val="right"/>
        </w:pPr>
        <w:r>
          <w:fldChar w:fldCharType="begin"/>
        </w:r>
        <w:r>
          <w:instrText>PAGE   \* MERGEFORMAT</w:instrText>
        </w:r>
        <w:r>
          <w:fldChar w:fldCharType="separate"/>
        </w:r>
        <w:r>
          <w:rPr>
            <w:lang w:val="cs-CZ"/>
          </w:rPr>
          <w:t>2</w:t>
        </w:r>
        <w:r>
          <w:fldChar w:fldCharType="end"/>
        </w:r>
      </w:p>
    </w:sdtContent>
  </w:sdt>
  <w:p w:rsidR="007B7909" w:rsidRDefault="00110389">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00EB"/>
    <w:multiLevelType w:val="hybridMultilevel"/>
    <w:tmpl w:val="DFE27B30"/>
    <w:lvl w:ilvl="0" w:tplc="7EEC9EA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65D861FD"/>
    <w:multiLevelType w:val="multilevel"/>
    <w:tmpl w:val="8F34320A"/>
    <w:numStyleLink w:val="SEDLAKOVALEGAL-vcerovovseznam"/>
  </w:abstractNum>
  <w:abstractNum w:abstractNumId="2" w15:restartNumberingAfterBreak="0">
    <w:nsid w:val="6E272A06"/>
    <w:multiLevelType w:val="multilevel"/>
    <w:tmpl w:val="8F34320A"/>
    <w:styleLink w:val="SEDLAKOVALEGAL-vcerovovseznam"/>
    <w:lvl w:ilvl="0">
      <w:start w:val="1"/>
      <w:numFmt w:val="decimal"/>
      <w:pStyle w:val="SEDLAKOVALEGAL-vcerovovseznam"/>
      <w:lvlText w:val="%1."/>
      <w:lvlJc w:val="left"/>
      <w:pPr>
        <w:ind w:left="567" w:hanging="565"/>
      </w:pPr>
      <w:rPr>
        <w:rFonts w:ascii="Calibri" w:hAnsi="Calibri"/>
        <w:b/>
        <w:i w:val="0"/>
        <w:caps/>
        <w:smallCaps w:val="0"/>
        <w:vanish w:val="0"/>
        <w:sz w:val="20"/>
      </w:rPr>
    </w:lvl>
    <w:lvl w:ilvl="1">
      <w:start w:val="1"/>
      <w:numFmt w:val="decimal"/>
      <w:lvlText w:val="%1.%2."/>
      <w:lvlJc w:val="left"/>
      <w:pPr>
        <w:tabs>
          <w:tab w:val="left" w:pos="567"/>
        </w:tabs>
        <w:ind w:left="567" w:hanging="565"/>
      </w:pPr>
      <w:rPr>
        <w:rFonts w:ascii="Calibri" w:hAnsi="Calibri" w:hint="default"/>
        <w:b w:val="0"/>
        <w:i w:val="0"/>
        <w:caps w:val="0"/>
        <w:vanish w:val="0"/>
        <w:sz w:val="20"/>
      </w:rPr>
    </w:lvl>
    <w:lvl w:ilvl="2">
      <w:start w:val="1"/>
      <w:numFmt w:val="lowerLetter"/>
      <w:lvlText w:val="%3)"/>
      <w:lvlJc w:val="left"/>
      <w:pPr>
        <w:ind w:left="1134" w:hanging="565"/>
      </w:pPr>
      <w:rPr>
        <w:rFonts w:ascii="Calibri" w:hAnsi="Calibri" w:hint="default"/>
        <w:b w:val="0"/>
        <w:i w:val="0"/>
        <w:caps w:val="0"/>
        <w:vanish w:val="0"/>
        <w:sz w:val="20"/>
      </w:rPr>
    </w:lvl>
    <w:lvl w:ilvl="3">
      <w:start w:val="1"/>
      <w:numFmt w:val="bullet"/>
      <w:lvlText w:val=""/>
      <w:lvlJc w:val="left"/>
      <w:pPr>
        <w:ind w:left="1701" w:hanging="565"/>
      </w:pPr>
      <w:rPr>
        <w:rFonts w:ascii="Symbol" w:hAnsi="Symbol" w:hint="default"/>
      </w:rPr>
    </w:lvl>
    <w:lvl w:ilvl="4">
      <w:start w:val="1"/>
      <w:numFmt w:val="decimal"/>
      <w:lvlText w:val="%1.%2.%3.%4.%5."/>
      <w:lvlJc w:val="left"/>
      <w:pPr>
        <w:ind w:left="2232" w:hanging="790"/>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78"/>
      </w:pPr>
      <w:rPr>
        <w:rFonts w:hint="default"/>
      </w:rPr>
    </w:lvl>
    <w:lvl w:ilvl="7">
      <w:start w:val="1"/>
      <w:numFmt w:val="decimal"/>
      <w:lvlText w:val="%1.%2.%3.%4.%5.%6.%7.%8."/>
      <w:lvlJc w:val="left"/>
      <w:pPr>
        <w:ind w:left="3744" w:hanging="1222"/>
      </w:pPr>
      <w:rPr>
        <w:rFonts w:hint="default"/>
      </w:rPr>
    </w:lvl>
    <w:lvl w:ilvl="8">
      <w:start w:val="1"/>
      <w:numFmt w:val="decimal"/>
      <w:lvlText w:val="%1.%2.%3.%4.%5.%6.%7.%8.%9."/>
      <w:lvlJc w:val="left"/>
      <w:pPr>
        <w:ind w:left="4320" w:hanging="1438"/>
      </w:pPr>
      <w:rPr>
        <w:rFonts w:hint="default"/>
      </w:rPr>
    </w:lvl>
  </w:abstractNum>
  <w:num w:numId="1">
    <w:abstractNumId w:val="1"/>
    <w:lvlOverride w:ilvl="0">
      <w:lvl w:ilvl="0">
        <w:start w:val="1"/>
        <w:numFmt w:val="decimal"/>
        <w:lvlText w:val="%1."/>
        <w:lvlJc w:val="left"/>
        <w:pPr>
          <w:ind w:left="567" w:hanging="565"/>
        </w:pPr>
        <w:rPr>
          <w:rFonts w:ascii="Times New Roman" w:hAnsi="Times New Roman" w:cs="Times New Roman" w:hint="default"/>
          <w:b/>
          <w:i w:val="0"/>
          <w:caps/>
          <w:smallCaps w:val="0"/>
          <w:vanish w:val="0"/>
          <w:sz w:val="22"/>
          <w:szCs w:val="22"/>
        </w:rPr>
      </w:lvl>
    </w:lvlOverride>
    <w:lvlOverride w:ilvl="1">
      <w:lvl w:ilvl="1">
        <w:start w:val="1"/>
        <w:numFmt w:val="decimal"/>
        <w:lvlText w:val="%1.%2."/>
        <w:lvlJc w:val="left"/>
        <w:pPr>
          <w:tabs>
            <w:tab w:val="left" w:pos="567"/>
          </w:tabs>
          <w:ind w:left="567" w:hanging="565"/>
        </w:pPr>
        <w:rPr>
          <w:rFonts w:ascii="Times New Roman" w:hAnsi="Times New Roman" w:cs="Times New Roman" w:hint="default"/>
          <w:b/>
          <w:bCs w:val="0"/>
          <w:i w:val="0"/>
          <w:caps w:val="0"/>
          <w:vanish w:val="0"/>
          <w:sz w:val="22"/>
          <w:szCs w:val="22"/>
        </w:rPr>
      </w:lvl>
    </w:lvlOverride>
    <w:lvlOverride w:ilvl="2">
      <w:lvl w:ilvl="2">
        <w:start w:val="1"/>
        <w:numFmt w:val="lowerLetter"/>
        <w:lvlText w:val="%3)"/>
        <w:lvlJc w:val="left"/>
        <w:pPr>
          <w:ind w:left="1134" w:hanging="565"/>
        </w:pPr>
        <w:rPr>
          <w:rFonts w:ascii="Times New Roman" w:hAnsi="Times New Roman" w:cs="Times New Roman" w:hint="default"/>
          <w:b w:val="0"/>
          <w:i w:val="0"/>
          <w:caps w:val="0"/>
          <w:vanish w:val="0"/>
          <w:sz w:val="22"/>
          <w:szCs w:val="22"/>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89"/>
    <w:rsid w:val="00110389"/>
    <w:rsid w:val="0090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B562"/>
  <w15:chartTrackingRefBased/>
  <w15:docId w15:val="{8D003FBE-C6D2-40B3-9F1F-4A9C9EC6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0389"/>
    <w:pPr>
      <w:pBdr>
        <w:top w:val="nil"/>
        <w:left w:val="nil"/>
        <w:bottom w:val="nil"/>
        <w:right w:val="nil"/>
        <w:between w:val="nil"/>
      </w:pBdr>
      <w:spacing w:after="200" w:line="300" w:lineRule="auto"/>
      <w:jc w:val="both"/>
    </w:pPr>
    <w:rPr>
      <w:rFonts w:eastAsia="Arial" w:cstheme="minorHAnsi"/>
      <w:lang w:val="cs" w:eastAsia="en-GB"/>
    </w:rPr>
  </w:style>
  <w:style w:type="paragraph" w:styleId="Nadpis1">
    <w:name w:val="heading 1"/>
    <w:basedOn w:val="Normln"/>
    <w:next w:val="Normln"/>
    <w:link w:val="Nadpis1Char"/>
    <w:qFormat/>
    <w:rsid w:val="00110389"/>
    <w:pPr>
      <w:outlineLvl w:val="0"/>
    </w:pPr>
    <w:rPr>
      <w:b/>
      <w:bCs/>
      <w:caps/>
    </w:rPr>
  </w:style>
  <w:style w:type="paragraph" w:styleId="Nadpis2">
    <w:name w:val="heading 2"/>
    <w:basedOn w:val="Normln"/>
    <w:next w:val="Normln"/>
    <w:link w:val="Nadpis2Char"/>
    <w:uiPriority w:val="9"/>
    <w:semiHidden/>
    <w:unhideWhenUsed/>
    <w:qFormat/>
    <w:rsid w:val="001103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10389"/>
    <w:rPr>
      <w:rFonts w:eastAsia="Arial" w:cstheme="minorHAnsi"/>
      <w:b/>
      <w:bCs/>
      <w:caps/>
      <w:lang w:val="cs" w:eastAsia="en-GB"/>
    </w:rPr>
  </w:style>
  <w:style w:type="paragraph" w:styleId="Odstavecseseznamem">
    <w:name w:val="List Paragraph"/>
    <w:aliases w:val="Nad,Odstavec cíl se seznamem,Odstavec se seznamem5,Odstavec_muj,Odrážky,EQ odrážka červená"/>
    <w:basedOn w:val="Normln"/>
    <w:link w:val="OdstavecseseznamemChar"/>
    <w:uiPriority w:val="34"/>
    <w:qFormat/>
    <w:rsid w:val="00110389"/>
    <w:pPr>
      <w:ind w:left="720"/>
      <w:contextualSpacing/>
    </w:pPr>
  </w:style>
  <w:style w:type="paragraph" w:styleId="Zpat">
    <w:name w:val="footer"/>
    <w:basedOn w:val="Normln"/>
    <w:link w:val="ZpatChar"/>
    <w:uiPriority w:val="99"/>
    <w:unhideWhenUsed/>
    <w:rsid w:val="00110389"/>
    <w:pPr>
      <w:tabs>
        <w:tab w:val="center" w:pos="4536"/>
        <w:tab w:val="right" w:pos="9072"/>
      </w:tabs>
      <w:spacing w:line="240" w:lineRule="auto"/>
    </w:pPr>
  </w:style>
  <w:style w:type="character" w:customStyle="1" w:styleId="ZpatChar">
    <w:name w:val="Zápatí Char"/>
    <w:basedOn w:val="Standardnpsmoodstavce"/>
    <w:link w:val="Zpat"/>
    <w:uiPriority w:val="99"/>
    <w:rsid w:val="00110389"/>
    <w:rPr>
      <w:rFonts w:eastAsia="Arial" w:cstheme="minorHAnsi"/>
      <w:lang w:val="cs" w:eastAsia="en-GB"/>
    </w:rPr>
  </w:style>
  <w:style w:type="character" w:styleId="slostrnky">
    <w:name w:val="page number"/>
    <w:basedOn w:val="Standardnpsmoodstavce"/>
    <w:uiPriority w:val="99"/>
    <w:semiHidden/>
    <w:unhideWhenUsed/>
    <w:rsid w:val="00110389"/>
  </w:style>
  <w:style w:type="table" w:styleId="Mkatabulky">
    <w:name w:val="Table Grid"/>
    <w:basedOn w:val="Normlntabulka"/>
    <w:uiPriority w:val="39"/>
    <w:rsid w:val="00110389"/>
    <w:pPr>
      <w:pBdr>
        <w:top w:val="nil"/>
        <w:left w:val="nil"/>
        <w:bottom w:val="nil"/>
        <w:right w:val="nil"/>
        <w:between w:val="nil"/>
      </w:pBdr>
      <w:spacing w:after="0" w:line="240" w:lineRule="auto"/>
    </w:pPr>
    <w:rPr>
      <w:rFonts w:ascii="Arial" w:eastAsia="Arial" w:hAnsi="Arial" w:cs="Arial"/>
      <w:color w:val="000000"/>
      <w:lang w:val="c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DLAKOVALEGAL-vcerovovseznam">
    <w:name w:val="SEDLAKOVA LEGAL - víceúrovňový seznam"/>
    <w:basedOn w:val="Bezseznamu"/>
    <w:uiPriority w:val="99"/>
    <w:rsid w:val="00110389"/>
    <w:pPr>
      <w:numPr>
        <w:numId w:val="2"/>
      </w:numPr>
    </w:pPr>
  </w:style>
  <w:style w:type="character" w:customStyle="1" w:styleId="OdstavecseseznamemChar">
    <w:name w:val="Odstavec se seznamem Char"/>
    <w:aliases w:val="Nad Char,Odstavec cíl se seznamem Char,Odstavec se seznamem5 Char,Odstavec_muj Char,Odrážky Char,EQ odrážka červená Char"/>
    <w:link w:val="Odstavecseseznamem"/>
    <w:uiPriority w:val="34"/>
    <w:locked/>
    <w:rsid w:val="00110389"/>
    <w:rPr>
      <w:rFonts w:eastAsia="Arial" w:cstheme="minorHAnsi"/>
      <w:lang w:val="cs" w:eastAsia="en-GB"/>
    </w:rPr>
  </w:style>
  <w:style w:type="paragraph" w:customStyle="1" w:styleId="Text11">
    <w:name w:val="Text 1.1"/>
    <w:basedOn w:val="Normln"/>
    <w:qFormat/>
    <w:rsid w:val="00110389"/>
    <w:pPr>
      <w:keepNext/>
      <w:pBdr>
        <w:top w:val="none" w:sz="0" w:space="0" w:color="auto"/>
        <w:left w:val="none" w:sz="0" w:space="0" w:color="auto"/>
        <w:bottom w:val="none" w:sz="0" w:space="0" w:color="auto"/>
        <w:right w:val="none" w:sz="0" w:space="0" w:color="auto"/>
        <w:between w:val="none" w:sz="0" w:space="0" w:color="auto"/>
      </w:pBdr>
      <w:spacing w:before="120" w:after="120" w:line="240" w:lineRule="auto"/>
      <w:ind w:left="561"/>
    </w:pPr>
    <w:rPr>
      <w:rFonts w:ascii="Times New Roman" w:eastAsia="Times New Roman" w:hAnsi="Times New Roman" w:cs="Times New Roman"/>
      <w:szCs w:val="20"/>
      <w:lang w:val="cs-CZ" w:eastAsia="en-US"/>
    </w:rPr>
  </w:style>
  <w:style w:type="paragraph" w:customStyle="1" w:styleId="Clanek11">
    <w:name w:val="Clanek 1.1"/>
    <w:basedOn w:val="Nadpis2"/>
    <w:link w:val="Clanek11Char"/>
    <w:qFormat/>
    <w:rsid w:val="00110389"/>
    <w:pPr>
      <w:keepLines w:val="0"/>
      <w:widowControl w:val="0"/>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ascii="Times New Roman" w:eastAsia="Times New Roman" w:hAnsi="Times New Roman" w:cs="Arial"/>
      <w:bCs/>
      <w:iCs/>
      <w:color w:val="00000A"/>
      <w:sz w:val="22"/>
      <w:szCs w:val="28"/>
      <w:lang w:val="cs-CZ" w:eastAsia="en-US"/>
    </w:rPr>
  </w:style>
  <w:style w:type="character" w:customStyle="1" w:styleId="Clanek11Char">
    <w:name w:val="Clanek 1.1 Char"/>
    <w:basedOn w:val="Standardnpsmoodstavce"/>
    <w:link w:val="Clanek11"/>
    <w:qFormat/>
    <w:locked/>
    <w:rsid w:val="00110389"/>
    <w:rPr>
      <w:rFonts w:ascii="Times New Roman" w:eastAsia="Times New Roman" w:hAnsi="Times New Roman" w:cs="Arial"/>
      <w:bCs/>
      <w:iCs/>
      <w:color w:val="00000A"/>
      <w:szCs w:val="28"/>
    </w:rPr>
  </w:style>
  <w:style w:type="character" w:customStyle="1" w:styleId="Nadpis2Char">
    <w:name w:val="Nadpis 2 Char"/>
    <w:basedOn w:val="Standardnpsmoodstavce"/>
    <w:link w:val="Nadpis2"/>
    <w:uiPriority w:val="9"/>
    <w:semiHidden/>
    <w:rsid w:val="00110389"/>
    <w:rPr>
      <w:rFonts w:asciiTheme="majorHAnsi" w:eastAsiaTheme="majorEastAsia" w:hAnsiTheme="majorHAnsi" w:cstheme="majorBidi"/>
      <w:color w:val="2E74B5" w:themeColor="accent1" w:themeShade="BF"/>
      <w:sz w:val="26"/>
      <w:szCs w:val="26"/>
      <w:lang w:val="c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14137</Characters>
  <Application>Microsoft Office Word</Application>
  <DocSecurity>0</DocSecurity>
  <Lines>117</Lines>
  <Paragraphs>32</Paragraphs>
  <ScaleCrop>false</ScaleCrop>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CHVALINOVÁ Kateřina</dc:creator>
  <cp:keywords/>
  <dc:description/>
  <cp:lastModifiedBy>CHVALINOVÁ Kateřina</cp:lastModifiedBy>
  <cp:revision>1</cp:revision>
  <dcterms:created xsi:type="dcterms:W3CDTF">2021-04-06T06:14:00Z</dcterms:created>
  <dcterms:modified xsi:type="dcterms:W3CDTF">2021-04-06T06:15:00Z</dcterms:modified>
</cp:coreProperties>
</file>