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FF" w:rsidRDefault="004E1EFF">
      <w:pPr>
        <w:pStyle w:val="Titulekobrzku0"/>
        <w:framePr w:w="1608" w:h="470" w:wrap="none" w:hAnchor="page" w:x="63" w:y="-262"/>
        <w:shd w:val="clear" w:color="auto" w:fill="auto"/>
      </w:pPr>
    </w:p>
    <w:p w:rsidR="004E1EFF" w:rsidRDefault="00AC7DAE">
      <w:pPr>
        <w:spacing w:after="681" w:line="1" w:lineRule="exact"/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5721350</wp:posOffset>
            </wp:positionH>
            <wp:positionV relativeFrom="margin">
              <wp:posOffset>-349885</wp:posOffset>
            </wp:positionV>
            <wp:extent cx="1475105" cy="7861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7510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EFF" w:rsidRDefault="004E1EFF">
      <w:pPr>
        <w:spacing w:line="1" w:lineRule="exact"/>
        <w:sectPr w:rsidR="004E1EFF">
          <w:headerReference w:type="default" r:id="rId8"/>
          <w:footerReference w:type="default" r:id="rId9"/>
          <w:headerReference w:type="first" r:id="rId10"/>
          <w:footerReference w:type="first" r:id="rId11"/>
          <w:pgSz w:w="11952" w:h="17405"/>
          <w:pgMar w:top="1243" w:right="624" w:bottom="2054" w:left="62" w:header="0" w:footer="3" w:gutter="0"/>
          <w:pgNumType w:start="1"/>
          <w:cols w:space="720"/>
          <w:noEndnote/>
          <w:titlePg/>
          <w:docGrid w:linePitch="360"/>
        </w:sectPr>
      </w:pPr>
    </w:p>
    <w:p w:rsidR="004E1EFF" w:rsidRDefault="004E1EFF">
      <w:pPr>
        <w:spacing w:line="240" w:lineRule="exact"/>
        <w:rPr>
          <w:sz w:val="19"/>
          <w:szCs w:val="19"/>
        </w:rPr>
      </w:pPr>
    </w:p>
    <w:p w:rsidR="004E1EFF" w:rsidRDefault="004E1EFF">
      <w:pPr>
        <w:spacing w:line="240" w:lineRule="exact"/>
        <w:rPr>
          <w:sz w:val="19"/>
          <w:szCs w:val="19"/>
        </w:rPr>
      </w:pPr>
    </w:p>
    <w:p w:rsidR="004E1EFF" w:rsidRDefault="004E1EFF">
      <w:pPr>
        <w:spacing w:line="240" w:lineRule="exact"/>
        <w:rPr>
          <w:sz w:val="19"/>
          <w:szCs w:val="19"/>
        </w:rPr>
      </w:pPr>
    </w:p>
    <w:p w:rsidR="004E1EFF" w:rsidRDefault="004E1EFF">
      <w:pPr>
        <w:spacing w:line="240" w:lineRule="exact"/>
        <w:rPr>
          <w:sz w:val="19"/>
          <w:szCs w:val="19"/>
        </w:rPr>
      </w:pPr>
    </w:p>
    <w:p w:rsidR="004E1EFF" w:rsidRDefault="004E1EFF">
      <w:pPr>
        <w:spacing w:before="69" w:after="69" w:line="240" w:lineRule="exact"/>
        <w:rPr>
          <w:sz w:val="19"/>
          <w:szCs w:val="19"/>
        </w:rPr>
      </w:pPr>
    </w:p>
    <w:p w:rsidR="004E1EFF" w:rsidRDefault="004E1EFF">
      <w:pPr>
        <w:spacing w:line="1" w:lineRule="exact"/>
        <w:sectPr w:rsidR="004E1EFF">
          <w:type w:val="continuous"/>
          <w:pgSz w:w="11952" w:h="17405"/>
          <w:pgMar w:top="1100" w:right="0" w:bottom="3745" w:left="0" w:header="0" w:footer="3" w:gutter="0"/>
          <w:cols w:space="720"/>
          <w:noEndnote/>
          <w:docGrid w:linePitch="360"/>
        </w:sectPr>
      </w:pPr>
    </w:p>
    <w:p w:rsidR="004E1EFF" w:rsidRDefault="00BD6987">
      <w:pPr>
        <w:pStyle w:val="Zkladntext1"/>
        <w:shd w:val="clear" w:color="auto" w:fill="auto"/>
        <w:spacing w:after="500"/>
        <w:jc w:val="right"/>
      </w:pPr>
      <w:proofErr w:type="gramStart"/>
      <w:r>
        <w:rPr>
          <w:b/>
          <w:bCs/>
          <w:lang w:val="en-US" w:eastAsia="en-US" w:bidi="en-US"/>
        </w:rPr>
        <w:t>č</w:t>
      </w:r>
      <w:r w:rsidR="00AC7DAE">
        <w:rPr>
          <w:b/>
          <w:bCs/>
          <w:lang w:val="en-US" w:eastAsia="en-US" w:bidi="en-US"/>
        </w:rPr>
        <w:t>.j</w:t>
      </w:r>
      <w:proofErr w:type="gramEnd"/>
      <w:r w:rsidR="00AC7DAE">
        <w:rPr>
          <w:b/>
          <w:bCs/>
          <w:lang w:val="en-US" w:eastAsia="en-US" w:bidi="en-US"/>
        </w:rPr>
        <w:t>. NG/446/2021</w:t>
      </w:r>
    </w:p>
    <w:p w:rsidR="004E1EFF" w:rsidRDefault="00AC7DAE">
      <w:pPr>
        <w:pStyle w:val="Zkladntext1"/>
        <w:shd w:val="clear" w:color="auto" w:fill="auto"/>
        <w:spacing w:after="500"/>
        <w:jc w:val="center"/>
      </w:pPr>
      <w:r>
        <w:rPr>
          <w:b/>
          <w:bCs/>
        </w:rPr>
        <w:t xml:space="preserve">Dodatek č. </w:t>
      </w:r>
      <w:r>
        <w:rPr>
          <w:b/>
          <w:bCs/>
          <w:lang w:val="en-US" w:eastAsia="en-US" w:bidi="en-US"/>
        </w:rPr>
        <w:t xml:space="preserve">5 </w:t>
      </w:r>
      <w:r>
        <w:rPr>
          <w:b/>
          <w:bCs/>
        </w:rPr>
        <w:t>ke smlouvě o nájmu prostoru sloužícího k podnikání a nájmu</w:t>
      </w:r>
      <w:r>
        <w:rPr>
          <w:b/>
          <w:bCs/>
        </w:rPr>
        <w:br/>
        <w:t>movitých věcí ze dne 19.12.2014 (</w:t>
      </w:r>
      <w:proofErr w:type="gramStart"/>
      <w:r>
        <w:rPr>
          <w:b/>
          <w:bCs/>
        </w:rPr>
        <w:t>č.j.</w:t>
      </w:r>
      <w:proofErr w:type="gramEnd"/>
      <w:r>
        <w:rPr>
          <w:b/>
          <w:bCs/>
        </w:rPr>
        <w:t xml:space="preserve"> NG/2518/2014)</w:t>
      </w:r>
    </w:p>
    <w:p w:rsidR="004E1EFF" w:rsidRDefault="00AC7DAE">
      <w:pPr>
        <w:pStyle w:val="Nadpis2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Národní galerie v Praze</w:t>
      </w:r>
      <w:bookmarkEnd w:id="0"/>
      <w:bookmarkEnd w:id="1"/>
    </w:p>
    <w:p w:rsidR="00BD6987" w:rsidRDefault="00AC7DAE">
      <w:pPr>
        <w:pStyle w:val="Zkladntext1"/>
        <w:shd w:val="clear" w:color="auto" w:fill="auto"/>
        <w:spacing w:after="0"/>
      </w:pPr>
      <w:r>
        <w:t xml:space="preserve">se sídlem Staroměstské nám. 12, Praha 1, PSČ: 110 15 </w:t>
      </w:r>
    </w:p>
    <w:p w:rsidR="004E1EFF" w:rsidRDefault="00AC7DAE">
      <w:pPr>
        <w:pStyle w:val="Zkladntext1"/>
        <w:shd w:val="clear" w:color="auto" w:fill="auto"/>
        <w:spacing w:after="0"/>
      </w:pPr>
      <w:r>
        <w:t>IČ: 00023281, DIČ: CZ00023281</w:t>
      </w:r>
    </w:p>
    <w:p w:rsidR="004E1EFF" w:rsidRDefault="00AC7DAE">
      <w:pPr>
        <w:pStyle w:val="Zkladntext1"/>
        <w:shd w:val="clear" w:color="auto" w:fill="auto"/>
        <w:spacing w:after="0"/>
      </w:pPr>
      <w:r>
        <w:t>bankovní spojení: Česká národní banka</w:t>
      </w:r>
    </w:p>
    <w:p w:rsidR="00E538E5" w:rsidRDefault="00AC7DAE" w:rsidP="005C61D2">
      <w:pPr>
        <w:pStyle w:val="Zkladntext1"/>
        <w:shd w:val="clear" w:color="auto" w:fill="auto"/>
        <w:spacing w:after="0"/>
      </w:pPr>
      <w:r>
        <w:t xml:space="preserve">číslo účtu: 050008-000//39011/0710 </w:t>
      </w:r>
    </w:p>
    <w:p w:rsidR="00E538E5" w:rsidRDefault="00AC7DAE" w:rsidP="005C61D2">
      <w:pPr>
        <w:pStyle w:val="Zkladntext1"/>
        <w:shd w:val="clear" w:color="auto" w:fill="auto"/>
        <w:spacing w:after="0"/>
      </w:pPr>
      <w:r>
        <w:t xml:space="preserve">zastoupená </w:t>
      </w:r>
      <w:proofErr w:type="spellStart"/>
      <w:r>
        <w:t>Alicja</w:t>
      </w:r>
      <w:proofErr w:type="spellEnd"/>
      <w:r>
        <w:t xml:space="preserve"> </w:t>
      </w:r>
      <w:proofErr w:type="spellStart"/>
      <w:r>
        <w:t>Knast</w:t>
      </w:r>
      <w:proofErr w:type="spellEnd"/>
      <w:r>
        <w:t xml:space="preserve">, generální ředitelka </w:t>
      </w:r>
    </w:p>
    <w:p w:rsidR="004E1EFF" w:rsidRDefault="00AC7DAE" w:rsidP="005C61D2">
      <w:pPr>
        <w:pStyle w:val="Zkladntext1"/>
        <w:shd w:val="clear" w:color="auto" w:fill="auto"/>
        <w:spacing w:after="0"/>
        <w:rPr>
          <w:b/>
          <w:bCs/>
        </w:rPr>
      </w:pPr>
      <w:r>
        <w:t xml:space="preserve">(dále jen jako </w:t>
      </w:r>
      <w:r>
        <w:rPr>
          <w:b/>
          <w:bCs/>
        </w:rPr>
        <w:t>„pronajímatel“)</w:t>
      </w:r>
    </w:p>
    <w:p w:rsidR="005C61D2" w:rsidRDefault="005C61D2" w:rsidP="005C61D2">
      <w:pPr>
        <w:pStyle w:val="Zkladntext1"/>
        <w:shd w:val="clear" w:color="auto" w:fill="auto"/>
        <w:spacing w:after="0"/>
        <w:rPr>
          <w:b/>
          <w:bCs/>
        </w:rPr>
      </w:pPr>
    </w:p>
    <w:p w:rsidR="005C61D2" w:rsidRPr="005C61D2" w:rsidRDefault="005C61D2" w:rsidP="005C61D2">
      <w:pPr>
        <w:pStyle w:val="Zkladntext1"/>
        <w:shd w:val="clear" w:color="auto" w:fill="auto"/>
        <w:spacing w:after="0"/>
        <w:rPr>
          <w:bCs/>
        </w:rPr>
      </w:pPr>
      <w:r w:rsidRPr="005C61D2">
        <w:rPr>
          <w:bCs/>
        </w:rPr>
        <w:t>a</w:t>
      </w:r>
    </w:p>
    <w:p w:rsidR="005C61D2" w:rsidRDefault="005C61D2">
      <w:pPr>
        <w:pStyle w:val="Nadpis20"/>
        <w:keepNext/>
        <w:keepLines/>
        <w:shd w:val="clear" w:color="auto" w:fill="auto"/>
        <w:spacing w:after="0"/>
      </w:pPr>
      <w:bookmarkStart w:id="2" w:name="bookmark2"/>
      <w:bookmarkStart w:id="3" w:name="bookmark3"/>
    </w:p>
    <w:p w:rsidR="004E1EFF" w:rsidRDefault="00AC7DAE">
      <w:pPr>
        <w:pStyle w:val="Nadpis20"/>
        <w:keepNext/>
        <w:keepLines/>
        <w:shd w:val="clear" w:color="auto" w:fill="auto"/>
        <w:spacing w:after="0"/>
      </w:pPr>
      <w:r>
        <w:t xml:space="preserve">Banket </w:t>
      </w:r>
      <w:proofErr w:type="spellStart"/>
      <w:r>
        <w:t>Creative</w:t>
      </w:r>
      <w:proofErr w:type="spellEnd"/>
      <w:r>
        <w:t xml:space="preserve"> s.r.o.</w:t>
      </w:r>
      <w:bookmarkEnd w:id="2"/>
      <w:bookmarkEnd w:id="3"/>
    </w:p>
    <w:p w:rsidR="004E1EFF" w:rsidRDefault="00AC7DAE">
      <w:pPr>
        <w:pStyle w:val="Zkladntext1"/>
        <w:shd w:val="clear" w:color="auto" w:fill="auto"/>
        <w:spacing w:after="0"/>
      </w:pPr>
      <w:r>
        <w:t>se sídlem: Praha 1, Lodecká 1181/4, PSČ 110 00</w:t>
      </w:r>
    </w:p>
    <w:p w:rsidR="004E1EFF" w:rsidRDefault="00AC7DAE">
      <w:pPr>
        <w:pStyle w:val="Zkladntext1"/>
        <w:shd w:val="clear" w:color="auto" w:fill="auto"/>
        <w:spacing w:after="0"/>
      </w:pPr>
      <w:r>
        <w:t>IČ: 24264032, DIČ: CZ24264032</w:t>
      </w:r>
    </w:p>
    <w:p w:rsidR="004E1EFF" w:rsidRDefault="00AC7DAE">
      <w:pPr>
        <w:pStyle w:val="Zkladntext1"/>
        <w:shd w:val="clear" w:color="auto" w:fill="auto"/>
        <w:spacing w:after="0"/>
      </w:pPr>
      <w:r>
        <w:t>zapsaná v obchodním rejstříku vedeném Městským soudem v Praze, oddíl C, vložka č. 198630</w:t>
      </w:r>
    </w:p>
    <w:p w:rsidR="004E1EFF" w:rsidRDefault="00AC7DAE">
      <w:pPr>
        <w:pStyle w:val="Zkladntext1"/>
        <w:shd w:val="clear" w:color="auto" w:fill="auto"/>
        <w:spacing w:after="0"/>
      </w:pPr>
      <w:r>
        <w:t xml:space="preserve">bankovní spojení: </w:t>
      </w:r>
      <w:proofErr w:type="spellStart"/>
      <w:r>
        <w:rPr>
          <w:lang w:val="en-US" w:eastAsia="en-US" w:bidi="en-US"/>
        </w:rPr>
        <w:t>Raiffeisenbank</w:t>
      </w:r>
      <w:proofErr w:type="spellEnd"/>
      <w:r>
        <w:rPr>
          <w:lang w:val="en-US" w:eastAsia="en-US" w:bidi="en-US"/>
        </w:rPr>
        <w:t xml:space="preserve"> </w:t>
      </w:r>
      <w:proofErr w:type="gramStart"/>
      <w:r>
        <w:t>a.s</w:t>
      </w:r>
      <w:proofErr w:type="gramEnd"/>
      <w:r>
        <w:t>. Praha 7</w:t>
      </w:r>
    </w:p>
    <w:p w:rsidR="004E1EFF" w:rsidRDefault="00AC7DAE">
      <w:pPr>
        <w:pStyle w:val="Zkladntext1"/>
        <w:shd w:val="clear" w:color="auto" w:fill="auto"/>
        <w:spacing w:after="0"/>
      </w:pPr>
      <w:r>
        <w:t>číslo účtu: 474740/5500</w:t>
      </w:r>
    </w:p>
    <w:p w:rsidR="004E1EFF" w:rsidRDefault="00AC7DAE">
      <w:pPr>
        <w:pStyle w:val="Zkladntext1"/>
        <w:shd w:val="clear" w:color="auto" w:fill="auto"/>
        <w:spacing w:after="0"/>
      </w:pPr>
      <w:r>
        <w:t>zastoupená panem Martinem Černým, jednatelem</w:t>
      </w:r>
    </w:p>
    <w:p w:rsidR="00BD6987" w:rsidRDefault="00AC7DAE">
      <w:pPr>
        <w:pStyle w:val="Zkladntext1"/>
        <w:shd w:val="clear" w:color="auto" w:fill="auto"/>
        <w:rPr>
          <w:b/>
          <w:bCs/>
        </w:rPr>
      </w:pPr>
      <w:r>
        <w:t xml:space="preserve">(dále jen jako </w:t>
      </w:r>
      <w:r>
        <w:rPr>
          <w:b/>
          <w:bCs/>
        </w:rPr>
        <w:t xml:space="preserve">„nájemce“) </w:t>
      </w:r>
    </w:p>
    <w:p w:rsidR="00BD6987" w:rsidRDefault="00BD6987">
      <w:pPr>
        <w:pStyle w:val="Zkladntext1"/>
        <w:shd w:val="clear" w:color="auto" w:fill="auto"/>
        <w:rPr>
          <w:b/>
          <w:bCs/>
        </w:rPr>
      </w:pPr>
    </w:p>
    <w:p w:rsidR="004E1EFF" w:rsidRDefault="00AC7DAE">
      <w:pPr>
        <w:pStyle w:val="Zkladntext1"/>
        <w:shd w:val="clear" w:color="auto" w:fill="auto"/>
      </w:pPr>
      <w:r>
        <w:t xml:space="preserve">uzavřeli dne 19.12.2014 smlouvu o nájmu prostoru sloužícího k podnikání a nájmu movitých věcí </w:t>
      </w:r>
      <w:proofErr w:type="gramStart"/>
      <w:r>
        <w:t>č.j.</w:t>
      </w:r>
      <w:proofErr w:type="gramEnd"/>
      <w:r>
        <w:t xml:space="preserve"> NG/2518/2014, ve zděni dodatků č. 1 -4 (dále jen jako </w:t>
      </w:r>
      <w:r>
        <w:rPr>
          <w:b/>
          <w:bCs/>
        </w:rPr>
        <w:t>„Smlouva“).</w:t>
      </w:r>
    </w:p>
    <w:p w:rsidR="004E1EFF" w:rsidRDefault="00AC7DAE">
      <w:pPr>
        <w:pStyle w:val="Zkladntext1"/>
        <w:shd w:val="clear" w:color="auto" w:fill="auto"/>
        <w:jc w:val="both"/>
      </w:pPr>
      <w:r>
        <w:t>S ohledem na omezení podnikání nájemce v souvislosti s epidemií SARS CoV-2, která měla za následek uzavření provozovny a podstatný pokles obratu nájemce, se smluvní strany dohodly na dočasném snížení výše nájemného.</w:t>
      </w:r>
    </w:p>
    <w:p w:rsidR="004E1EFF" w:rsidRDefault="00AC7DAE">
      <w:pPr>
        <w:pStyle w:val="Zkladntext1"/>
        <w:shd w:val="clear" w:color="auto" w:fill="auto"/>
        <w:spacing w:after="500"/>
        <w:jc w:val="both"/>
        <w:rPr>
          <w:b/>
          <w:bCs/>
        </w:rPr>
      </w:pPr>
      <w:r>
        <w:t xml:space="preserve">Za účelem úpravy svých smluvních vztahů výše uvedeným způsobem uzavírají smluvní strany tento dodatek č. 5 ke Smlouvě (dále jen jako </w:t>
      </w:r>
      <w:r>
        <w:rPr>
          <w:b/>
          <w:bCs/>
        </w:rPr>
        <w:t>„Dodatek“).</w:t>
      </w:r>
    </w:p>
    <w:p w:rsidR="005C61D2" w:rsidRDefault="005C61D2">
      <w:pPr>
        <w:pStyle w:val="Zkladntext1"/>
        <w:shd w:val="clear" w:color="auto" w:fill="auto"/>
        <w:spacing w:after="500"/>
        <w:jc w:val="both"/>
        <w:rPr>
          <w:b/>
          <w:bCs/>
        </w:rPr>
      </w:pPr>
    </w:p>
    <w:p w:rsidR="005C61D2" w:rsidRDefault="005C61D2">
      <w:pPr>
        <w:pStyle w:val="Zkladntext1"/>
        <w:shd w:val="clear" w:color="auto" w:fill="auto"/>
        <w:spacing w:after="500"/>
        <w:jc w:val="both"/>
        <w:rPr>
          <w:b/>
          <w:bCs/>
        </w:rPr>
      </w:pPr>
    </w:p>
    <w:p w:rsidR="005C61D2" w:rsidRDefault="005C61D2">
      <w:pPr>
        <w:pStyle w:val="Zkladntext1"/>
        <w:shd w:val="clear" w:color="auto" w:fill="auto"/>
        <w:spacing w:after="500"/>
        <w:jc w:val="both"/>
      </w:pPr>
    </w:p>
    <w:p w:rsidR="005C61D2" w:rsidRDefault="005C61D2">
      <w:pPr>
        <w:pStyle w:val="Nadpis20"/>
        <w:keepNext/>
        <w:keepLines/>
        <w:shd w:val="clear" w:color="auto" w:fill="auto"/>
        <w:spacing w:after="240"/>
        <w:jc w:val="center"/>
      </w:pPr>
      <w:bookmarkStart w:id="4" w:name="bookmark4"/>
      <w:bookmarkStart w:id="5" w:name="bookmark5"/>
    </w:p>
    <w:p w:rsidR="005C61D2" w:rsidRDefault="005C61D2">
      <w:pPr>
        <w:pStyle w:val="Nadpis20"/>
        <w:keepNext/>
        <w:keepLines/>
        <w:shd w:val="clear" w:color="auto" w:fill="auto"/>
        <w:spacing w:after="240"/>
        <w:jc w:val="center"/>
      </w:pPr>
    </w:p>
    <w:p w:rsidR="004E1EFF" w:rsidRDefault="00AC7DAE">
      <w:pPr>
        <w:pStyle w:val="Nadpis20"/>
        <w:keepNext/>
        <w:keepLines/>
        <w:shd w:val="clear" w:color="auto" w:fill="auto"/>
        <w:spacing w:after="240"/>
        <w:jc w:val="center"/>
      </w:pPr>
      <w:r>
        <w:t>1. Předmět Dodatku</w:t>
      </w:r>
      <w:bookmarkEnd w:id="4"/>
      <w:bookmarkEnd w:id="5"/>
    </w:p>
    <w:p w:rsidR="004E1EFF" w:rsidRDefault="00AC7DAE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720" w:hanging="720"/>
        <w:jc w:val="both"/>
      </w:pPr>
      <w:r>
        <w:t xml:space="preserve">Předmětem tohoto Dodatku je dohoda smluvních stran o dočasném snížení měsíčního nájemného za prostory sloužící k podnikání vymezené v čl. I Smlouvy v období od </w:t>
      </w:r>
      <w:proofErr w:type="gramStart"/>
      <w:r>
        <w:rPr>
          <w:b/>
          <w:bCs/>
        </w:rPr>
        <w:t>1.4.2021</w:t>
      </w:r>
      <w:proofErr w:type="gramEnd"/>
      <w:r>
        <w:rPr>
          <w:b/>
          <w:bCs/>
        </w:rPr>
        <w:t xml:space="preserve"> do 31.10.2021.</w:t>
      </w:r>
    </w:p>
    <w:p w:rsidR="004E1EFF" w:rsidRDefault="00AC7DAE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720" w:hanging="720"/>
        <w:jc w:val="both"/>
      </w:pPr>
      <w:r>
        <w:t xml:space="preserve">Nájemce se v období od </w:t>
      </w:r>
      <w:proofErr w:type="gramStart"/>
      <w:r>
        <w:t>1.4.2021</w:t>
      </w:r>
      <w:proofErr w:type="gramEnd"/>
      <w:r>
        <w:t xml:space="preserve"> do 31.10.2021 zavazuje platit pronajímateli nájemné za prostory sloužící k podnikání ve snížené výši, a to </w:t>
      </w:r>
      <w:r>
        <w:rPr>
          <w:b/>
          <w:bCs/>
        </w:rPr>
        <w:t xml:space="preserve">25.000,- Kč </w:t>
      </w:r>
      <w:r>
        <w:t xml:space="preserve">(slovy: </w:t>
      </w:r>
      <w:proofErr w:type="spellStart"/>
      <w:r>
        <w:t>dvacet_pět_tisíc</w:t>
      </w:r>
      <w:proofErr w:type="spellEnd"/>
      <w:r>
        <w:t xml:space="preserve"> korun českých) měsíčně bez DPH.</w:t>
      </w:r>
    </w:p>
    <w:p w:rsidR="004E1EFF" w:rsidRDefault="00AC7DAE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720" w:hanging="720"/>
        <w:jc w:val="both"/>
      </w:pPr>
      <w:r>
        <w:t xml:space="preserve">Výše měsíčního nájemného za zařízení </w:t>
      </w:r>
      <w:proofErr w:type="spellStart"/>
      <w:r>
        <w:t>gastro</w:t>
      </w:r>
      <w:proofErr w:type="spellEnd"/>
      <w:r>
        <w:t xml:space="preserve"> provozu a měsíční výše záloh za služby spojené s užíváním předmětu nájmu zůstávají tímto Dodatkem nedotčeny.</w:t>
      </w:r>
    </w:p>
    <w:p w:rsidR="004E1EFF" w:rsidRDefault="00AC7DAE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720" w:hanging="720"/>
        <w:jc w:val="both"/>
      </w:pPr>
      <w:r>
        <w:t xml:space="preserve">Nájemné za prostory sloužící k podnikání za měsíc duben - říjen 2021 uhradí nájemce v souladu s ustanovením čl. 5.3. Smlouvy, tj. na základě faktury, vystavené do posledního dne předcházejícího kalendářního měsíce, se </w:t>
      </w:r>
      <w:proofErr w:type="gramStart"/>
      <w:r>
        <w:t>splatnosti</w:t>
      </w:r>
      <w:proofErr w:type="gramEnd"/>
      <w:r>
        <w:t xml:space="preserve"> 14 dnů ode dne jejího vystavení.</w:t>
      </w:r>
    </w:p>
    <w:p w:rsidR="004E1EFF" w:rsidRDefault="00AC7DAE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jc w:val="both"/>
      </w:pPr>
      <w:r>
        <w:t>Ostatní ustanovení Smlouvy zůstávají tímto Dodatkem nedotčena.</w:t>
      </w:r>
    </w:p>
    <w:p w:rsidR="004E1EFF" w:rsidRDefault="00AC7DAE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500"/>
        <w:ind w:left="720" w:hanging="720"/>
        <w:jc w:val="both"/>
      </w:pPr>
      <w:r>
        <w:t xml:space="preserve">Nájemce je, ke dni nabytí účinnosti tohoto Dodatku, věřitelem splatné pohledávky za pronajímatelem z titulu přeplatku na zálohách za služby poskytované v souvislosti s užíváním předmětu nájmu za rok 2020 v celkové výši </w:t>
      </w:r>
      <w:r>
        <w:rPr>
          <w:b/>
          <w:bCs/>
        </w:rPr>
        <w:t xml:space="preserve">139.497,55 Kč. </w:t>
      </w:r>
      <w:r>
        <w:t xml:space="preserve">Pronajímatel se zavazuje vypořádat tento přeplatek formou vrácení bankovním převodem nejpozději do </w:t>
      </w:r>
      <w:proofErr w:type="gramStart"/>
      <w:r>
        <w:t>30.4.2021</w:t>
      </w:r>
      <w:proofErr w:type="gramEnd"/>
      <w:r>
        <w:t>.</w:t>
      </w:r>
    </w:p>
    <w:p w:rsidR="004E1EFF" w:rsidRDefault="00AC7DAE">
      <w:pPr>
        <w:pStyle w:val="Zkladntext1"/>
        <w:shd w:val="clear" w:color="auto" w:fill="auto"/>
        <w:spacing w:after="740"/>
        <w:jc w:val="center"/>
      </w:pPr>
      <w:r>
        <w:rPr>
          <w:b/>
          <w:bCs/>
        </w:rPr>
        <w:t>2.</w:t>
      </w:r>
    </w:p>
    <w:p w:rsidR="004E1EFF" w:rsidRDefault="00AC7DAE">
      <w:pPr>
        <w:pStyle w:val="Nadpis20"/>
        <w:keepNext/>
        <w:keepLines/>
        <w:shd w:val="clear" w:color="auto" w:fill="auto"/>
        <w:spacing w:after="240"/>
        <w:jc w:val="center"/>
      </w:pPr>
      <w:bookmarkStart w:id="6" w:name="bookmark6"/>
      <w:bookmarkStart w:id="7" w:name="bookmark7"/>
      <w:r>
        <w:t>3. Závěrečná ustanovení</w:t>
      </w:r>
      <w:bookmarkEnd w:id="6"/>
      <w:bookmarkEnd w:id="7"/>
    </w:p>
    <w:p w:rsidR="004E1EFF" w:rsidRDefault="00AC7DAE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ind w:left="720" w:hanging="720"/>
        <w:jc w:val="both"/>
      </w:pPr>
      <w:r>
        <w:t>Tento Dodatek je vyhotoven ve třech stejnopisech, z nichž dva obdrží pronajímatel a jeden obdrží nájemce.</w:t>
      </w:r>
    </w:p>
    <w:p w:rsidR="004E1EFF" w:rsidRDefault="00AC7DAE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ind w:left="720" w:hanging="720"/>
        <w:jc w:val="both"/>
      </w:pPr>
      <w:r>
        <w:t>Tento Dodatek nabývá platnosti dnem podpisu poslední smluvní stranou, účinnosti pak nabývá dnem zveřejnění v registru smluv, a to v souladu se zákonem č. 340/2015 Sb., o zvláštních podmínkách účinnosti některých smluv, uveřejňování těchto smluv a o registru smluv. Obě smluvní strany berou na vědomí, že nebudou zveřejněny pouze ty informace, které nelze poskytnout podle předpisů upravujících svobodný přístup k informacím.</w:t>
      </w:r>
      <w:r>
        <w:br w:type="page"/>
      </w:r>
    </w:p>
    <w:p w:rsidR="004E1EFF" w:rsidRDefault="00AC7DAE">
      <w:pPr>
        <w:pStyle w:val="Zkladntext1"/>
        <w:shd w:val="clear" w:color="auto" w:fill="auto"/>
        <w:ind w:left="640" w:firstLine="80"/>
        <w:jc w:val="both"/>
      </w:pPr>
      <w:r>
        <w:lastRenderedPageBreak/>
        <w:t>Považuje-li nájemce některé informace uvedené v tomto Dodatku za informace, které nemohou být zveřejněny v registru smluv, je povinen na to pronajímatele současně s uzavřením tohoto Dodatku písemně upozornit.</w:t>
      </w:r>
    </w:p>
    <w:p w:rsidR="004E1EFF" w:rsidRDefault="00AC7DAE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ind w:left="640" w:hanging="640"/>
        <w:jc w:val="both"/>
      </w:pPr>
      <w:r>
        <w:t>Obě smluvní strany prohlašují, že tento Dodatek je projevem jejich svobodné, vážně míněné a omylu prosté vůle, což stvrzují svými podpisy</w:t>
      </w:r>
    </w:p>
    <w:p w:rsidR="004E1EFF" w:rsidRDefault="00AC7DAE">
      <w:pPr>
        <w:pStyle w:val="Zkladntext1"/>
        <w:shd w:val="clear" w:color="auto" w:fill="auto"/>
        <w:spacing w:after="1000"/>
      </w:pPr>
      <w:r>
        <w:t>3.4.</w:t>
      </w:r>
    </w:p>
    <w:p w:rsidR="00E538E5" w:rsidRDefault="00E538E5">
      <w:pPr>
        <w:pStyle w:val="Zkladntext1"/>
        <w:shd w:val="clear" w:color="auto" w:fill="auto"/>
        <w:spacing w:after="1000"/>
      </w:pPr>
      <w:r>
        <w:tab/>
        <w:t>V Praze dne</w:t>
      </w:r>
      <w:r>
        <w:tab/>
      </w:r>
      <w:r>
        <w:tab/>
      </w:r>
      <w:r>
        <w:tab/>
      </w:r>
      <w:r>
        <w:tab/>
      </w:r>
      <w:r>
        <w:tab/>
        <w:t>V Praze dne</w:t>
      </w:r>
      <w:bookmarkStart w:id="8" w:name="_GoBack"/>
      <w:bookmarkEnd w:id="8"/>
    </w:p>
    <w:p w:rsidR="00E538E5" w:rsidRDefault="00E538E5" w:rsidP="00E538E5">
      <w:pPr>
        <w:pStyle w:val="Zkladntext1"/>
        <w:shd w:val="clear" w:color="auto" w:fill="auto"/>
        <w:spacing w:after="0"/>
      </w:pPr>
      <w:r>
        <w:tab/>
        <w:t>______________________</w:t>
      </w:r>
      <w:r>
        <w:tab/>
      </w:r>
      <w:r>
        <w:tab/>
      </w:r>
      <w:r>
        <w:tab/>
        <w:t>______________________</w:t>
      </w:r>
    </w:p>
    <w:p w:rsidR="00E538E5" w:rsidRDefault="00E538E5">
      <w:pPr>
        <w:pStyle w:val="Zkladntext1"/>
        <w:shd w:val="clear" w:color="auto" w:fill="auto"/>
        <w:spacing w:after="1000"/>
      </w:pPr>
      <w:r>
        <w:tab/>
      </w: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  <w:t xml:space="preserve">   nájemce</w:t>
      </w:r>
    </w:p>
    <w:p w:rsidR="00E538E5" w:rsidRDefault="00E538E5">
      <w:pPr>
        <w:pStyle w:val="Zkladntext1"/>
        <w:shd w:val="clear" w:color="auto" w:fill="auto"/>
        <w:spacing w:after="1000"/>
      </w:pPr>
    </w:p>
    <w:p w:rsidR="00E538E5" w:rsidRDefault="00E538E5">
      <w:pPr>
        <w:pStyle w:val="Zkladntext1"/>
        <w:shd w:val="clear" w:color="auto" w:fill="auto"/>
        <w:spacing w:after="1000"/>
      </w:pPr>
    </w:p>
    <w:sectPr w:rsidR="00E538E5" w:rsidSect="00BD6987">
      <w:headerReference w:type="default" r:id="rId12"/>
      <w:footerReference w:type="default" r:id="rId13"/>
      <w:type w:val="continuous"/>
      <w:pgSz w:w="11952" w:h="17405"/>
      <w:pgMar w:top="1100" w:right="1801" w:bottom="3745" w:left="18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6B" w:rsidRDefault="0056246B">
      <w:r>
        <w:separator/>
      </w:r>
    </w:p>
  </w:endnote>
  <w:endnote w:type="continuationSeparator" w:id="0">
    <w:p w:rsidR="0056246B" w:rsidRDefault="0056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FF" w:rsidRDefault="00AC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9479280</wp:posOffset>
              </wp:positionV>
              <wp:extent cx="749935" cy="3111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+420 224 301122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info@ngprague.cz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www.ngprague.cz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02.10000000000002pt;margin-top:746.39999999999998pt;width:59.049999999999997pt;height:24.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+420 224 301122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info@ngprague.cz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www.ngprague.cz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462280</wp:posOffset>
              </wp:positionH>
              <wp:positionV relativeFrom="page">
                <wp:posOffset>9482455</wp:posOffset>
              </wp:positionV>
              <wp:extent cx="1167130" cy="6489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Národní galerie v Praze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Staroměstské nám. 12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11015 Praha 1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IČ: 00023281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Česká národní banka: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050008-0008839011/0710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6.399999999999999pt;margin-top:746.64999999999998pt;width:91.900000000000006pt;height:51.1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Národní galerie v Praze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Staroměstské nám. 12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11015 Praha 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IČ: 00023281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Česká národní banka: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050008-0008839011/0710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2145030</wp:posOffset>
              </wp:positionH>
              <wp:positionV relativeFrom="page">
                <wp:posOffset>9482455</wp:posOffset>
              </wp:positionV>
              <wp:extent cx="1295400" cy="6432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643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National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Gallery Prague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Staroměstské nám. 12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 xml:space="preserve">11015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Prague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 xml:space="preserve">1,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Czech Republic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Company no.: CZ00023281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Czech National Bank: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050008-0008839011/0710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168.90000000000001pt;margin-top:746.64999999999998pt;width:102.pt;height:50.649999999999999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National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Gallery Prague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Staroměstské nám. 12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11015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 xml:space="preserve">Prague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1,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Czech Republic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Company no.: CZ00023281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Czech National Bank: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050008-0008839011/0710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FF" w:rsidRDefault="00AC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2020570</wp:posOffset>
              </wp:positionH>
              <wp:positionV relativeFrom="page">
                <wp:posOffset>9811385</wp:posOffset>
              </wp:positionV>
              <wp:extent cx="1286510" cy="6489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6510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National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Gallery Prague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Staroměstské nám. 12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 xml:space="preserve">11015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Prague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 xml:space="preserve">1,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Czech Republic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Company no.: CZ00023281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Czech National Bank: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050008-0008839011/0710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59.09999999999999pt;margin-top:772.54999999999995pt;width:101.3pt;height:51.1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National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Gallery Prague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Staroměstské nám. 12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11015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 xml:space="preserve">Prague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1,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Czech Republic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Company no.: CZ00023281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Czech National Bank: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050008-0008839011/0710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3700145</wp:posOffset>
              </wp:positionH>
              <wp:positionV relativeFrom="page">
                <wp:posOffset>9811385</wp:posOffset>
              </wp:positionV>
              <wp:extent cx="758825" cy="3136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+420 224 301122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info@ngprague.cz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www.ngprague.cz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91.35000000000002pt;margin-top:772.54999999999995pt;width:59.75pt;height:24.699999999999999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+420 224 301122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info@ngprague.cz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</w:rPr>
                      <w:t>www.ngprague.cz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9814560</wp:posOffset>
              </wp:positionV>
              <wp:extent cx="1161415" cy="64325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643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Národní galerie v Praze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Staroměstské nám. 12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11015 Praha 1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IČ: 00023281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Česká národní banka: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 w:eastAsia="cs-CZ" w:bidi="cs-CZ"/>
                            </w:rPr>
                            <w:t>050008-0008839011/0710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6.899999999999999pt;margin-top:772.79999999999995pt;width:91.450000000000003pt;height:50.649999999999999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Národní galerie v Praze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Staroměstské nám. 12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11015 Praha 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IČ: 00023281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Česká národní banka: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050008-0008839011/0710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FF" w:rsidRDefault="004E1E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6B" w:rsidRDefault="0056246B"/>
  </w:footnote>
  <w:footnote w:type="continuationSeparator" w:id="0">
    <w:p w:rsidR="0056246B" w:rsidRDefault="005624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FF" w:rsidRDefault="00AC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490220</wp:posOffset>
              </wp:positionH>
              <wp:positionV relativeFrom="page">
                <wp:posOffset>106680</wp:posOffset>
              </wp:positionV>
              <wp:extent cx="1395730" cy="3016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lang w:val="cs-CZ" w:eastAsia="cs-CZ" w:bidi="cs-CZ"/>
                            </w:rPr>
                            <w:t>NÁRODNÍ GALERIE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lang w:val="cs-CZ" w:eastAsia="cs-CZ" w:bidi="cs-CZ"/>
                            </w:rPr>
                            <w:t>PRAHA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.600000000000001pt;margin-top:8.4000000000000004pt;width:109.90000000000001pt;height:23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NÁRODNÍ GALERIE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PRAHA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2172335</wp:posOffset>
              </wp:positionH>
              <wp:positionV relativeFrom="page">
                <wp:posOffset>131445</wp:posOffset>
              </wp:positionV>
              <wp:extent cx="1536065" cy="2679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065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  <w:lang w:val="cs-CZ" w:eastAsia="cs-CZ" w:bidi="cs-CZ"/>
                            </w:rPr>
                            <w:t xml:space="preserve">NATIONAL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GALLERY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PRAGUE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71.05000000000001pt;margin-top:10.35pt;width:120.95pt;height:21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NATIONAL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>GALLERY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>PRAGUE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FF" w:rsidRDefault="00AC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2057400</wp:posOffset>
              </wp:positionH>
              <wp:positionV relativeFrom="page">
                <wp:posOffset>457200</wp:posOffset>
              </wp:positionV>
              <wp:extent cx="152400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NATIONAL GALLERY</w:t>
                          </w:r>
                        </w:p>
                        <w:p w:rsidR="004E1EFF" w:rsidRDefault="00AC7DAE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PRAGUE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62.pt;margin-top:36.pt;width:120.pt;height:21.1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>NATIONAL GALLERY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>PRAGUE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FF" w:rsidRDefault="004E1E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87223"/>
    <w:multiLevelType w:val="multilevel"/>
    <w:tmpl w:val="FBF0AD9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324A69"/>
    <w:multiLevelType w:val="multilevel"/>
    <w:tmpl w:val="B3B0EC8C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FF"/>
    <w:rsid w:val="004E1EFF"/>
    <w:rsid w:val="0056246B"/>
    <w:rsid w:val="005C61D2"/>
    <w:rsid w:val="00AC7DAE"/>
    <w:rsid w:val="00BD6987"/>
    <w:rsid w:val="00E5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ADBB"/>
  <w15:docId w15:val="{E2F5E5CD-72A5-49CB-89AF-87D2D8C5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73A6F9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auto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" w:line="218" w:lineRule="auto"/>
      <w:ind w:right="1160"/>
      <w:jc w:val="right"/>
      <w:outlineLvl w:val="0"/>
    </w:pPr>
    <w:rPr>
      <w:rFonts w:ascii="Arial" w:eastAsia="Arial" w:hAnsi="Arial" w:cs="Arial"/>
      <w:b/>
      <w:bCs/>
      <w:color w:val="73A6F9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58" w:lineRule="auto"/>
      <w:ind w:left="7780"/>
      <w:jc w:val="right"/>
    </w:pPr>
    <w:rPr>
      <w:rFonts w:ascii="Arial" w:eastAsia="Arial" w:hAnsi="Arial" w:cs="Arial"/>
      <w:sz w:val="78"/>
      <w:szCs w:val="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511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Skopirka1.V21040112060</dc:title>
  <dc:subject/>
  <dc:creator/>
  <cp:keywords/>
  <cp:lastModifiedBy>Zdenka Šímová</cp:lastModifiedBy>
  <cp:revision>5</cp:revision>
  <dcterms:created xsi:type="dcterms:W3CDTF">2021-04-01T10:45:00Z</dcterms:created>
  <dcterms:modified xsi:type="dcterms:W3CDTF">2021-04-01T13:05:00Z</dcterms:modified>
</cp:coreProperties>
</file>