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B363" w14:textId="77777777" w:rsidR="00F52789" w:rsidRPr="00F52789" w:rsidRDefault="00F52789" w:rsidP="00F06D25">
      <w:pPr>
        <w:pStyle w:val="Nadpis1"/>
        <w:keepNext w:val="0"/>
        <w:widowControl w:val="0"/>
        <w:spacing w:before="0"/>
        <w:rPr>
          <w:rFonts w:ascii="Times New Roman" w:hAnsi="Times New Roman"/>
          <w:szCs w:val="28"/>
        </w:rPr>
      </w:pPr>
      <w:bookmarkStart w:id="0" w:name="_GoBack"/>
      <w:bookmarkEnd w:id="0"/>
      <w:r w:rsidRPr="00F52789">
        <w:rPr>
          <w:rFonts w:ascii="Times New Roman" w:hAnsi="Times New Roman"/>
          <w:szCs w:val="28"/>
        </w:rPr>
        <w:t>Dodatek č. 1</w:t>
      </w:r>
      <w:r w:rsidR="00C4537C">
        <w:rPr>
          <w:rFonts w:ascii="Times New Roman" w:hAnsi="Times New Roman"/>
          <w:szCs w:val="28"/>
        </w:rPr>
        <w:t>4</w:t>
      </w:r>
      <w:r w:rsidRPr="00F52789">
        <w:rPr>
          <w:rFonts w:ascii="Times New Roman" w:hAnsi="Times New Roman"/>
          <w:szCs w:val="28"/>
        </w:rPr>
        <w:t xml:space="preserve"> Smlouvy o dílo</w:t>
      </w:r>
    </w:p>
    <w:p w14:paraId="29879DDB" w14:textId="77777777" w:rsidR="00F52789" w:rsidRPr="00F52789" w:rsidRDefault="00F52789" w:rsidP="00F06D25">
      <w:pPr>
        <w:pStyle w:val="Nadpis1"/>
        <w:keepNext w:val="0"/>
        <w:widowControl w:val="0"/>
        <w:spacing w:before="0"/>
        <w:rPr>
          <w:rFonts w:ascii="Times New Roman" w:hAnsi="Times New Roman"/>
          <w:sz w:val="22"/>
          <w:szCs w:val="22"/>
        </w:rPr>
      </w:pPr>
      <w:r w:rsidRPr="00F52789">
        <w:rPr>
          <w:rFonts w:ascii="Times New Roman" w:hAnsi="Times New Roman"/>
          <w:sz w:val="22"/>
          <w:szCs w:val="22"/>
        </w:rPr>
        <w:t xml:space="preserve">číslo smlouvy objednatele: </w:t>
      </w:r>
    </w:p>
    <w:p w14:paraId="52BF9993" w14:textId="77777777" w:rsidR="00F52789" w:rsidRPr="00F52789" w:rsidRDefault="00F52789" w:rsidP="00F06D25">
      <w:pPr>
        <w:pStyle w:val="Nadpis1"/>
        <w:keepNext w:val="0"/>
        <w:widowControl w:val="0"/>
        <w:spacing w:before="0"/>
        <w:rPr>
          <w:rFonts w:ascii="Times New Roman" w:hAnsi="Times New Roman"/>
          <w:color w:val="FF0000"/>
          <w:sz w:val="22"/>
          <w:szCs w:val="22"/>
        </w:rPr>
      </w:pPr>
      <w:r w:rsidRPr="00F52789">
        <w:rPr>
          <w:rFonts w:ascii="Times New Roman" w:hAnsi="Times New Roman"/>
          <w:sz w:val="22"/>
          <w:szCs w:val="22"/>
        </w:rPr>
        <w:t xml:space="preserve"> číslo smlouvy zhotovitele: SOD INV 799/2016</w:t>
      </w:r>
    </w:p>
    <w:p w14:paraId="1B736D07" w14:textId="77777777" w:rsidR="00F52789" w:rsidRPr="00F52789" w:rsidRDefault="00F52789" w:rsidP="00F06D25">
      <w:pPr>
        <w:widowControl w:val="0"/>
        <w:jc w:val="center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 xml:space="preserve">uzavřená v souladu s § 2586 a násl. zákona č. 89/2012 Sb. občanský zákoník </w:t>
      </w:r>
      <w:r w:rsidRPr="00F52789">
        <w:rPr>
          <w:sz w:val="22"/>
          <w:szCs w:val="22"/>
          <w:vertAlign w:val="baseline"/>
        </w:rPr>
        <w:br/>
        <w:t>(dále jen „</w:t>
      </w:r>
      <w:r w:rsidRPr="00A72243">
        <w:rPr>
          <w:b/>
          <w:sz w:val="22"/>
          <w:szCs w:val="22"/>
          <w:vertAlign w:val="baseline"/>
        </w:rPr>
        <w:t>občanský</w:t>
      </w:r>
      <w:r w:rsidRPr="00F52789">
        <w:rPr>
          <w:sz w:val="22"/>
          <w:szCs w:val="22"/>
          <w:vertAlign w:val="baseline"/>
        </w:rPr>
        <w:t xml:space="preserve"> </w:t>
      </w:r>
      <w:r w:rsidRPr="00A72243">
        <w:rPr>
          <w:b/>
          <w:sz w:val="22"/>
          <w:szCs w:val="22"/>
          <w:vertAlign w:val="baseline"/>
        </w:rPr>
        <w:t>zákoník</w:t>
      </w:r>
      <w:r w:rsidRPr="00F52789">
        <w:rPr>
          <w:sz w:val="22"/>
          <w:szCs w:val="22"/>
          <w:vertAlign w:val="baseline"/>
        </w:rPr>
        <w:t>“)</w:t>
      </w:r>
    </w:p>
    <w:p w14:paraId="362A6A1A" w14:textId="77777777" w:rsidR="00F52789" w:rsidRPr="00F52789" w:rsidRDefault="00F52789" w:rsidP="00F06D25">
      <w:pPr>
        <w:widowControl w:val="0"/>
        <w:jc w:val="center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>(dále jen „</w:t>
      </w:r>
      <w:r w:rsidRPr="00A72243">
        <w:rPr>
          <w:b/>
          <w:sz w:val="22"/>
          <w:szCs w:val="22"/>
          <w:vertAlign w:val="baseline"/>
        </w:rPr>
        <w:t>Smlouva</w:t>
      </w:r>
      <w:r w:rsidRPr="00F52789">
        <w:rPr>
          <w:sz w:val="22"/>
          <w:szCs w:val="22"/>
          <w:vertAlign w:val="baseline"/>
        </w:rPr>
        <w:t>“)</w:t>
      </w:r>
    </w:p>
    <w:p w14:paraId="14354901" w14:textId="77777777" w:rsidR="00F52789" w:rsidRPr="00F52789" w:rsidRDefault="00F52789" w:rsidP="00F06D25">
      <w:pPr>
        <w:pStyle w:val="normln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F52789">
        <w:rPr>
          <w:rFonts w:ascii="Times New Roman" w:hAnsi="Times New Roman"/>
          <w:b/>
          <w:sz w:val="28"/>
          <w:szCs w:val="28"/>
        </w:rPr>
        <w:t>I. Smluvní strany</w:t>
      </w:r>
    </w:p>
    <w:p w14:paraId="5B3E71DF" w14:textId="77777777" w:rsidR="00F52789" w:rsidRPr="00F52789" w:rsidRDefault="00F52789" w:rsidP="00F06D25">
      <w:pPr>
        <w:pStyle w:val="Zkladntext"/>
        <w:widowControl w:val="0"/>
        <w:numPr>
          <w:ilvl w:val="0"/>
          <w:numId w:val="1"/>
        </w:numPr>
        <w:tabs>
          <w:tab w:val="left" w:pos="720"/>
        </w:tabs>
        <w:spacing w:beforeLines="100" w:before="240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b/>
          <w:szCs w:val="22"/>
          <w:u w:val="single"/>
        </w:rPr>
        <w:t>Objednatel:</w:t>
      </w:r>
      <w:r w:rsidRPr="00F52789">
        <w:rPr>
          <w:rFonts w:ascii="Times New Roman" w:hAnsi="Times New Roman" w:cs="Times New Roman"/>
          <w:szCs w:val="22"/>
        </w:rPr>
        <w:tab/>
      </w:r>
    </w:p>
    <w:p w14:paraId="05A34EEF" w14:textId="77777777" w:rsidR="00F52789" w:rsidRPr="00F52789" w:rsidRDefault="00F52789" w:rsidP="00F06D25">
      <w:pPr>
        <w:pStyle w:val="Default"/>
        <w:tabs>
          <w:tab w:val="left" w:pos="1680"/>
          <w:tab w:val="left" w:leader="dot" w:pos="9120"/>
        </w:tabs>
        <w:spacing w:before="120"/>
        <w:ind w:leftChars="300"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52789">
        <w:rPr>
          <w:rFonts w:ascii="Times New Roman" w:hAnsi="Times New Roman" w:cs="Times New Roman"/>
          <w:b/>
          <w:color w:val="auto"/>
          <w:sz w:val="22"/>
          <w:szCs w:val="22"/>
        </w:rPr>
        <w:t>Národní divadlo</w:t>
      </w:r>
    </w:p>
    <w:p w14:paraId="6517CEE9" w14:textId="77777777" w:rsidR="00F52789" w:rsidRPr="00F52789" w:rsidRDefault="00F52789" w:rsidP="00F06D25">
      <w:pPr>
        <w:widowControl w:val="0"/>
        <w:ind w:left="709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 xml:space="preserve">zastoupené </w:t>
      </w:r>
      <w:r w:rsidRPr="00F52789">
        <w:rPr>
          <w:sz w:val="22"/>
          <w:szCs w:val="22"/>
          <w:vertAlign w:val="baseline"/>
        </w:rPr>
        <w:tab/>
        <w:t xml:space="preserve">prof. MgA. Janem Burianem, ředitelem </w:t>
      </w:r>
    </w:p>
    <w:p w14:paraId="5D69A14D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 xml:space="preserve">se sídlem: </w:t>
      </w:r>
      <w:r w:rsidRPr="00F52789">
        <w:rPr>
          <w:rFonts w:ascii="Times New Roman" w:hAnsi="Times New Roman" w:cs="Times New Roman"/>
          <w:szCs w:val="22"/>
        </w:rPr>
        <w:tab/>
        <w:t>Ostrovní 1, 112 31 Praha 1</w:t>
      </w:r>
    </w:p>
    <w:p w14:paraId="385DECF3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 xml:space="preserve">IČ: </w:t>
      </w: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  <w:t>00023337</w:t>
      </w:r>
    </w:p>
    <w:p w14:paraId="0658084A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 xml:space="preserve">DIČ: </w:t>
      </w: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  <w:t xml:space="preserve">CZ00023337            </w:t>
      </w:r>
    </w:p>
    <w:p w14:paraId="1E34D271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</w:p>
    <w:p w14:paraId="6B79EC26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>ve věcech technických a organizačních:</w:t>
      </w:r>
    </w:p>
    <w:p w14:paraId="3F65695D" w14:textId="77777777" w:rsidR="00F52789" w:rsidRPr="00F52789" w:rsidRDefault="00F52789" w:rsidP="00F06D25">
      <w:pPr>
        <w:pStyle w:val="Zkladntext"/>
        <w:widowControl w:val="0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  <w:t xml:space="preserve">Ing. Václav Pelouch, ředitel technicko-provozní správy ND, </w:t>
      </w:r>
    </w:p>
    <w:p w14:paraId="3087DC7E" w14:textId="7D440783" w:rsidR="00F52789" w:rsidRPr="00F52789" w:rsidRDefault="00F52789" w:rsidP="00F06D25">
      <w:pPr>
        <w:pStyle w:val="Zkladntext"/>
        <w:widowControl w:val="0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</w:r>
    </w:p>
    <w:p w14:paraId="6722A117" w14:textId="77777777" w:rsidR="00F52789" w:rsidRPr="00F52789" w:rsidRDefault="00F52789" w:rsidP="00F06D25">
      <w:pPr>
        <w:pStyle w:val="Zkladntext"/>
        <w:widowControl w:val="0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  <w:t xml:space="preserve">Miroslav Růžička,  </w:t>
      </w:r>
    </w:p>
    <w:p w14:paraId="368AEEF6" w14:textId="35E11A5C" w:rsidR="00F52789" w:rsidRPr="00F52789" w:rsidRDefault="00F52789" w:rsidP="00F06D25">
      <w:pPr>
        <w:pStyle w:val="Zkladntext"/>
        <w:widowControl w:val="0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ab/>
      </w:r>
      <w:r w:rsidRPr="00F52789">
        <w:rPr>
          <w:rFonts w:ascii="Times New Roman" w:hAnsi="Times New Roman" w:cs="Times New Roman"/>
          <w:szCs w:val="22"/>
        </w:rPr>
        <w:tab/>
      </w:r>
    </w:p>
    <w:p w14:paraId="0AFE13A9" w14:textId="77777777" w:rsidR="00F52789" w:rsidRPr="00F52789" w:rsidRDefault="00F52789" w:rsidP="00F06D25">
      <w:pPr>
        <w:pStyle w:val="Zkladntext"/>
        <w:widowControl w:val="0"/>
        <w:tabs>
          <w:tab w:val="left" w:pos="720"/>
        </w:tabs>
        <w:spacing w:beforeLines="50" w:before="120"/>
        <w:ind w:left="719" w:hangingChars="327" w:hanging="719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ab/>
        <w:t>(dále jen „</w:t>
      </w:r>
      <w:r w:rsidRPr="00F52789">
        <w:rPr>
          <w:rFonts w:ascii="Times New Roman" w:hAnsi="Times New Roman" w:cs="Times New Roman"/>
          <w:b/>
          <w:szCs w:val="22"/>
        </w:rPr>
        <w:t>objednatel</w:t>
      </w:r>
      <w:r w:rsidRPr="00F52789">
        <w:rPr>
          <w:rFonts w:ascii="Times New Roman" w:hAnsi="Times New Roman" w:cs="Times New Roman"/>
          <w:szCs w:val="22"/>
        </w:rPr>
        <w:t>“)</w:t>
      </w:r>
    </w:p>
    <w:p w14:paraId="5044E806" w14:textId="77777777" w:rsidR="00F52789" w:rsidRPr="00F52789" w:rsidRDefault="00F52789" w:rsidP="00F06D25">
      <w:pPr>
        <w:pStyle w:val="Zkladntext"/>
        <w:widowControl w:val="0"/>
        <w:numPr>
          <w:ilvl w:val="0"/>
          <w:numId w:val="1"/>
        </w:numPr>
        <w:tabs>
          <w:tab w:val="left" w:pos="720"/>
        </w:tabs>
        <w:spacing w:beforeLines="50" w:before="120"/>
        <w:ind w:left="357" w:hanging="357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b/>
          <w:szCs w:val="22"/>
          <w:u w:val="single"/>
        </w:rPr>
        <w:t>Zhotovitel:</w:t>
      </w:r>
      <w:r w:rsidRPr="00F52789">
        <w:rPr>
          <w:rFonts w:ascii="Times New Roman" w:hAnsi="Times New Roman" w:cs="Times New Roman"/>
          <w:szCs w:val="22"/>
        </w:rPr>
        <w:tab/>
      </w:r>
    </w:p>
    <w:p w14:paraId="7E861FC4" w14:textId="77777777" w:rsidR="00F52789" w:rsidRPr="00F52789" w:rsidRDefault="00F52789" w:rsidP="00F06D25">
      <w:pPr>
        <w:widowControl w:val="0"/>
        <w:spacing w:before="120"/>
        <w:rPr>
          <w:sz w:val="22"/>
          <w:szCs w:val="22"/>
          <w:vertAlign w:val="baseline"/>
          <w:lang w:eastAsia="zh-CN"/>
        </w:rPr>
      </w:pPr>
      <w:r w:rsidRPr="00F52789">
        <w:rPr>
          <w:rFonts w:eastAsia="Calibri"/>
          <w:b/>
          <w:bCs/>
          <w:sz w:val="22"/>
          <w:szCs w:val="22"/>
          <w:vertAlign w:val="baseline"/>
          <w:lang w:eastAsia="zh-CN"/>
        </w:rPr>
        <w:tab/>
        <w:t>HOCHTIEF CZ a. s.</w:t>
      </w:r>
    </w:p>
    <w:p w14:paraId="7A7DB07D" w14:textId="77777777" w:rsidR="00F52789" w:rsidRPr="00F52789" w:rsidRDefault="00F52789" w:rsidP="00F06D25">
      <w:pPr>
        <w:widowControl w:val="0"/>
        <w:rPr>
          <w:rFonts w:eastAsia="Calibri"/>
          <w:bCs/>
          <w:sz w:val="22"/>
          <w:szCs w:val="22"/>
          <w:vertAlign w:val="baseline"/>
          <w:lang w:eastAsia="zh-CN"/>
        </w:rPr>
      </w:pPr>
      <w:r w:rsidRPr="00F52789">
        <w:rPr>
          <w:sz w:val="22"/>
          <w:szCs w:val="22"/>
          <w:vertAlign w:val="baseline"/>
          <w:lang w:eastAsia="zh-CN"/>
        </w:rPr>
        <w:t xml:space="preserve">       </w:t>
      </w:r>
      <w:r w:rsidRPr="00F52789">
        <w:rPr>
          <w:rFonts w:eastAsia="Calibri"/>
          <w:sz w:val="22"/>
          <w:szCs w:val="22"/>
          <w:vertAlign w:val="baseline"/>
          <w:lang w:eastAsia="zh-CN"/>
        </w:rPr>
        <w:tab/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 xml:space="preserve">zastoupená: </w:t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  <w:t>Ing. Tomášem Korandou, předsedou představenstva</w:t>
      </w:r>
    </w:p>
    <w:p w14:paraId="42E8A937" w14:textId="77777777" w:rsidR="00F52789" w:rsidRPr="00F52789" w:rsidRDefault="00F52789" w:rsidP="00F06D25">
      <w:pPr>
        <w:widowControl w:val="0"/>
        <w:rPr>
          <w:b/>
          <w:bCs/>
          <w:sz w:val="22"/>
          <w:szCs w:val="22"/>
          <w:vertAlign w:val="baseline"/>
          <w:lang w:eastAsia="zh-CN"/>
        </w:rPr>
      </w:pP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  <w:t xml:space="preserve">     </w:t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  <w:t>a Jörgem Mathewem, členem představenstva</w:t>
      </w:r>
    </w:p>
    <w:p w14:paraId="72B07BEB" w14:textId="77777777" w:rsidR="00F52789" w:rsidRPr="00F52789" w:rsidRDefault="00F52789" w:rsidP="00F06D25">
      <w:pPr>
        <w:widowControl w:val="0"/>
        <w:rPr>
          <w:bCs/>
          <w:sz w:val="22"/>
          <w:szCs w:val="22"/>
          <w:vertAlign w:val="baseline"/>
          <w:lang w:eastAsia="zh-CN"/>
        </w:rPr>
      </w:pPr>
      <w:r w:rsidRPr="00F52789">
        <w:rPr>
          <w:bCs/>
          <w:sz w:val="22"/>
          <w:szCs w:val="22"/>
          <w:vertAlign w:val="baseline"/>
          <w:lang w:eastAsia="zh-CN"/>
        </w:rPr>
        <w:t xml:space="preserve">             </w:t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 xml:space="preserve">IČ: </w:t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  <w:t xml:space="preserve">46678468              </w:t>
      </w:r>
    </w:p>
    <w:p w14:paraId="778ED782" w14:textId="77777777" w:rsidR="00F52789" w:rsidRPr="00F52789" w:rsidRDefault="00F52789" w:rsidP="00F06D25">
      <w:pPr>
        <w:widowControl w:val="0"/>
        <w:rPr>
          <w:bCs/>
          <w:sz w:val="22"/>
          <w:szCs w:val="22"/>
          <w:vertAlign w:val="baseline"/>
          <w:lang w:eastAsia="zh-CN"/>
        </w:rPr>
      </w:pPr>
      <w:r w:rsidRPr="00F52789">
        <w:rPr>
          <w:bCs/>
          <w:sz w:val="22"/>
          <w:szCs w:val="22"/>
          <w:vertAlign w:val="baseline"/>
          <w:lang w:eastAsia="zh-CN"/>
        </w:rPr>
        <w:t xml:space="preserve">  </w:t>
      </w:r>
      <w:r w:rsidRPr="00F52789">
        <w:rPr>
          <w:bCs/>
          <w:sz w:val="22"/>
          <w:szCs w:val="22"/>
          <w:vertAlign w:val="baseline"/>
          <w:lang w:eastAsia="zh-CN"/>
        </w:rPr>
        <w:tab/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 xml:space="preserve">DIČ: </w:t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F52789">
        <w:rPr>
          <w:rFonts w:eastAsia="Calibri"/>
          <w:bCs/>
          <w:sz w:val="22"/>
          <w:szCs w:val="22"/>
          <w:vertAlign w:val="baseline"/>
          <w:lang w:eastAsia="zh-CN"/>
        </w:rPr>
        <w:tab/>
        <w:t>CZ46678468</w:t>
      </w:r>
    </w:p>
    <w:p w14:paraId="06ABB917" w14:textId="17BD194F" w:rsidR="00F52789" w:rsidRPr="00F52789" w:rsidRDefault="00F52789" w:rsidP="003017D6">
      <w:pPr>
        <w:widowControl w:val="0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F52789">
        <w:rPr>
          <w:bCs/>
          <w:sz w:val="22"/>
          <w:szCs w:val="22"/>
          <w:vertAlign w:val="baseline"/>
          <w:lang w:eastAsia="zh-CN"/>
        </w:rPr>
        <w:t xml:space="preserve">        </w:t>
      </w:r>
      <w:r w:rsidRPr="00F52789">
        <w:rPr>
          <w:bCs/>
          <w:sz w:val="22"/>
          <w:szCs w:val="22"/>
          <w:vertAlign w:val="baseline"/>
          <w:lang w:eastAsia="zh-CN"/>
        </w:rPr>
        <w:tab/>
      </w:r>
    </w:p>
    <w:p w14:paraId="04E84F5F" w14:textId="77777777" w:rsidR="00F52789" w:rsidRPr="00F52789" w:rsidRDefault="00F52789" w:rsidP="00F06D25">
      <w:pPr>
        <w:widowControl w:val="0"/>
        <w:ind w:firstLine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F52789">
        <w:rPr>
          <w:rFonts w:eastAsia="Calibri"/>
          <w:bCs/>
          <w:iCs/>
          <w:sz w:val="22"/>
          <w:szCs w:val="22"/>
          <w:vertAlign w:val="baseline"/>
          <w:lang w:eastAsia="zh-CN"/>
        </w:rPr>
        <w:t>zapsána v obchodním rejstříku, vedeném Městským soudem v Praze, oddíl B, vložka 6229.</w:t>
      </w:r>
    </w:p>
    <w:p w14:paraId="5F39A2D6" w14:textId="77777777" w:rsidR="00F52789" w:rsidRPr="00F52789" w:rsidRDefault="00F52789" w:rsidP="00F06D25">
      <w:pPr>
        <w:widowControl w:val="0"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14:paraId="4128D5D7" w14:textId="77777777" w:rsidR="00F52789" w:rsidRPr="00F52789" w:rsidRDefault="00F52789" w:rsidP="00F06D25">
      <w:pPr>
        <w:widowControl w:val="0"/>
        <w:ind w:firstLine="709"/>
        <w:rPr>
          <w:rFonts w:eastAsia="Calibri"/>
          <w:sz w:val="22"/>
          <w:szCs w:val="22"/>
          <w:vertAlign w:val="baseline"/>
          <w:lang w:eastAsia="zh-CN"/>
        </w:rPr>
      </w:pPr>
      <w:r w:rsidRPr="00F52789">
        <w:rPr>
          <w:rFonts w:eastAsia="Calibri"/>
          <w:bCs/>
          <w:iCs/>
          <w:sz w:val="22"/>
          <w:szCs w:val="22"/>
          <w:vertAlign w:val="baseline"/>
          <w:lang w:eastAsia="zh-CN"/>
        </w:rPr>
        <w:t>(dále jen „</w:t>
      </w:r>
      <w:r w:rsidRPr="00F52789">
        <w:rPr>
          <w:rFonts w:eastAsia="Calibri"/>
          <w:b/>
          <w:bCs/>
          <w:iCs/>
          <w:sz w:val="22"/>
          <w:szCs w:val="22"/>
          <w:vertAlign w:val="baseline"/>
          <w:lang w:eastAsia="zh-CN"/>
        </w:rPr>
        <w:t>zhotovitel</w:t>
      </w:r>
      <w:r w:rsidRPr="00F52789">
        <w:rPr>
          <w:rFonts w:eastAsia="Calibri"/>
          <w:bCs/>
          <w:iCs/>
          <w:sz w:val="22"/>
          <w:szCs w:val="22"/>
          <w:vertAlign w:val="baseline"/>
          <w:lang w:eastAsia="zh-CN"/>
        </w:rPr>
        <w:t>“)</w:t>
      </w:r>
    </w:p>
    <w:p w14:paraId="56A07ABC" w14:textId="77777777" w:rsidR="00F52789" w:rsidRPr="00F52789" w:rsidRDefault="00F52789" w:rsidP="00F06D25">
      <w:pPr>
        <w:pStyle w:val="Zkladntext"/>
        <w:widowControl w:val="0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5917222" w14:textId="77777777" w:rsidR="004D2A43" w:rsidRDefault="004D2A43" w:rsidP="00F06D25">
      <w:pPr>
        <w:pStyle w:val="Zkladntext"/>
        <w:widowControl w:val="0"/>
        <w:tabs>
          <w:tab w:val="left" w:pos="0"/>
        </w:tabs>
        <w:rPr>
          <w:rFonts w:ascii="Times New Roman" w:hAnsi="Times New Roman" w:cs="Times New Roman"/>
          <w:b/>
          <w:i/>
          <w:szCs w:val="22"/>
        </w:rPr>
      </w:pPr>
    </w:p>
    <w:p w14:paraId="17D47B83" w14:textId="77777777" w:rsidR="00F52789" w:rsidRPr="00F52789" w:rsidRDefault="00F52789" w:rsidP="00F06D25">
      <w:pPr>
        <w:pStyle w:val="Zkladntext"/>
        <w:widowControl w:val="0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F52789">
        <w:rPr>
          <w:rFonts w:ascii="Times New Roman" w:hAnsi="Times New Roman" w:cs="Times New Roman"/>
          <w:b/>
          <w:i/>
          <w:szCs w:val="22"/>
        </w:rPr>
        <w:t>Preambule:</w:t>
      </w:r>
      <w:r w:rsidRPr="00F52789">
        <w:rPr>
          <w:rFonts w:ascii="Times New Roman" w:hAnsi="Times New Roman" w:cs="Times New Roman"/>
          <w:i/>
          <w:szCs w:val="22"/>
        </w:rPr>
        <w:t xml:space="preserve"> </w:t>
      </w:r>
    </w:p>
    <w:p w14:paraId="4D931F6A" w14:textId="77777777" w:rsidR="00F52789" w:rsidRDefault="00F52789" w:rsidP="00F06D25">
      <w:pPr>
        <w:pStyle w:val="Zkladntext"/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F52789">
        <w:rPr>
          <w:rFonts w:ascii="Times New Roman" w:hAnsi="Times New Roman" w:cs="Times New Roman"/>
          <w:szCs w:val="22"/>
        </w:rPr>
        <w:t>Vzhledem k tomu, že v průběhu provádění díla došlo ke změnám technických parametrů předmětu díla a nepředpokládaným více a méně pracím, se smluvní strany dohodly na změně a doplnění Smlouvy o dílo č. INV 799/2016 ze dne 20. 02. 2017 ve znění dodatku č. 1</w:t>
      </w:r>
      <w:r w:rsidR="00C4537C">
        <w:rPr>
          <w:rFonts w:ascii="Times New Roman" w:hAnsi="Times New Roman" w:cs="Times New Roman"/>
          <w:szCs w:val="22"/>
        </w:rPr>
        <w:t xml:space="preserve"> - 13</w:t>
      </w:r>
      <w:r w:rsidRPr="00F52789">
        <w:rPr>
          <w:rFonts w:ascii="Times New Roman" w:hAnsi="Times New Roman" w:cs="Times New Roman"/>
          <w:szCs w:val="22"/>
        </w:rPr>
        <w:t xml:space="preserve"> (dále jen „</w:t>
      </w:r>
      <w:r w:rsidRPr="00A72243">
        <w:rPr>
          <w:rFonts w:ascii="Times New Roman" w:hAnsi="Times New Roman" w:cs="Times New Roman"/>
          <w:b/>
          <w:szCs w:val="22"/>
        </w:rPr>
        <w:t>Smlouva</w:t>
      </w:r>
      <w:r w:rsidRPr="00F52789">
        <w:rPr>
          <w:rFonts w:ascii="Times New Roman" w:hAnsi="Times New Roman" w:cs="Times New Roman"/>
          <w:szCs w:val="22"/>
        </w:rPr>
        <w:t>“ nebo „</w:t>
      </w:r>
      <w:r w:rsidRPr="00A72243">
        <w:rPr>
          <w:rFonts w:ascii="Times New Roman" w:hAnsi="Times New Roman" w:cs="Times New Roman"/>
          <w:b/>
          <w:szCs w:val="22"/>
        </w:rPr>
        <w:t>SOD</w:t>
      </w:r>
      <w:r w:rsidRPr="00F52789">
        <w:rPr>
          <w:rFonts w:ascii="Times New Roman" w:hAnsi="Times New Roman" w:cs="Times New Roman"/>
          <w:szCs w:val="22"/>
        </w:rPr>
        <w:t xml:space="preserve">“) tímto dodatkem č. </w:t>
      </w:r>
      <w:r w:rsidR="00C4537C">
        <w:rPr>
          <w:rFonts w:ascii="Times New Roman" w:hAnsi="Times New Roman" w:cs="Times New Roman"/>
          <w:szCs w:val="22"/>
        </w:rPr>
        <w:t>14</w:t>
      </w:r>
      <w:r w:rsidRPr="00F52789">
        <w:rPr>
          <w:rFonts w:ascii="Times New Roman" w:hAnsi="Times New Roman" w:cs="Times New Roman"/>
          <w:szCs w:val="22"/>
        </w:rPr>
        <w:t xml:space="preserve"> (dále jen „</w:t>
      </w:r>
      <w:r w:rsidRPr="00A72243">
        <w:rPr>
          <w:rFonts w:ascii="Times New Roman" w:hAnsi="Times New Roman" w:cs="Times New Roman"/>
          <w:b/>
          <w:szCs w:val="22"/>
        </w:rPr>
        <w:t>Dodatek</w:t>
      </w:r>
      <w:r w:rsidRPr="00F52789">
        <w:rPr>
          <w:rFonts w:ascii="Times New Roman" w:hAnsi="Times New Roman" w:cs="Times New Roman"/>
          <w:szCs w:val="22"/>
        </w:rPr>
        <w:t>“ či „</w:t>
      </w:r>
      <w:r w:rsidRPr="00A72243">
        <w:rPr>
          <w:rFonts w:ascii="Times New Roman" w:hAnsi="Times New Roman" w:cs="Times New Roman"/>
          <w:b/>
          <w:szCs w:val="22"/>
        </w:rPr>
        <w:t>Dodatek č. 1</w:t>
      </w:r>
      <w:r w:rsidR="00C4537C" w:rsidRPr="00A72243">
        <w:rPr>
          <w:rFonts w:ascii="Times New Roman" w:hAnsi="Times New Roman" w:cs="Times New Roman"/>
          <w:b/>
          <w:szCs w:val="22"/>
        </w:rPr>
        <w:t>4</w:t>
      </w:r>
      <w:r w:rsidRPr="00F52789">
        <w:rPr>
          <w:rFonts w:ascii="Times New Roman" w:hAnsi="Times New Roman" w:cs="Times New Roman"/>
          <w:szCs w:val="22"/>
        </w:rPr>
        <w:t>“) takto:</w:t>
      </w:r>
    </w:p>
    <w:p w14:paraId="202902A5" w14:textId="77777777" w:rsidR="004D2A43" w:rsidRPr="00F52789" w:rsidRDefault="004D2A43" w:rsidP="00F06D25">
      <w:pPr>
        <w:pStyle w:val="Zkladntext"/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</w:p>
    <w:p w14:paraId="60574550" w14:textId="77777777" w:rsidR="00F52789" w:rsidRPr="00F52789" w:rsidRDefault="00F52789" w:rsidP="00F06D25">
      <w:pPr>
        <w:pStyle w:val="normln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F52789">
        <w:rPr>
          <w:rFonts w:ascii="Times New Roman" w:hAnsi="Times New Roman"/>
          <w:b/>
          <w:sz w:val="28"/>
        </w:rPr>
        <w:t>II. Předmět Dodatku</w:t>
      </w:r>
    </w:p>
    <w:p w14:paraId="0F0AF1F2" w14:textId="77777777" w:rsidR="00F52789" w:rsidRPr="00F52789" w:rsidRDefault="00F52789" w:rsidP="00F06D25">
      <w:pPr>
        <w:pStyle w:val="Zkladntext"/>
        <w:widowControl w:val="0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F52789">
        <w:rPr>
          <w:rFonts w:ascii="Times New Roman" w:hAnsi="Times New Roman" w:cs="Times New Roman"/>
          <w:b/>
          <w:sz w:val="24"/>
        </w:rPr>
        <w:t>ND Rekonstrukce historické a provozní budovy Státní opery</w:t>
      </w:r>
    </w:p>
    <w:p w14:paraId="31F08943" w14:textId="77777777" w:rsidR="00C4537C" w:rsidRDefault="00C4537C" w:rsidP="00C4537C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535333">
        <w:rPr>
          <w:rFonts w:ascii="Times New Roman" w:hAnsi="Times New Roman" w:cs="Times New Roman"/>
        </w:rPr>
        <w:t>Při provádění díla se vyskytly dodatečné stavební práce, které nebyly obsaženy v zadávacích podmínkách veřejné zakázky označené jako „</w:t>
      </w:r>
      <w:r w:rsidRPr="00535333">
        <w:rPr>
          <w:rFonts w:ascii="Times New Roman" w:hAnsi="Times New Roman" w:cs="Times New Roman"/>
          <w:b/>
        </w:rPr>
        <w:t xml:space="preserve">ND </w:t>
      </w:r>
      <w:r>
        <w:rPr>
          <w:rFonts w:ascii="Times New Roman" w:hAnsi="Times New Roman" w:cs="Times New Roman"/>
          <w:b/>
        </w:rPr>
        <w:t xml:space="preserve">- </w:t>
      </w:r>
      <w:r w:rsidRPr="00535333">
        <w:rPr>
          <w:rFonts w:ascii="Times New Roman" w:hAnsi="Times New Roman" w:cs="Times New Roman"/>
          <w:b/>
        </w:rPr>
        <w:t>Rekonstrukce historické a provozní budovy Stání opery“</w:t>
      </w:r>
      <w:r w:rsidRPr="00535333">
        <w:rPr>
          <w:rFonts w:ascii="Times New Roman" w:hAnsi="Times New Roman" w:cs="Times New Roman"/>
        </w:rPr>
        <w:t>, a jejichž potřeba vznikla v důsledku objektivně nepředvídatelných okolností, které zadavatel jednající s náležitou péčí nemohl předvídat, a tyto dodatečné stavební práce jsou nezbytné pro provedení původních stavebních prací, nelze je technicky oddělit od původní veřejné zakázky a jsou nezbytné pro dokončení předmětu původní veřejné zakázky.</w:t>
      </w:r>
    </w:p>
    <w:p w14:paraId="73CE9997" w14:textId="77777777" w:rsidR="00C4537C" w:rsidRDefault="00C4537C" w:rsidP="00C4537C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7774B3">
        <w:rPr>
          <w:rFonts w:ascii="Times New Roman" w:hAnsi="Times New Roman" w:cs="Times New Roman"/>
        </w:rPr>
        <w:t xml:space="preserve">Tyto změny, jejich příčiny a důsledky jsou průběžně mezi smluvními stranami projednávány, s nejvyšší možnou péčí je posuzována vhodnost i nutnost jejich provedení, a to zejména – nikoliv však výlučně – </w:t>
      </w:r>
      <w:r w:rsidRPr="007774B3">
        <w:rPr>
          <w:rFonts w:ascii="Times New Roman" w:hAnsi="Times New Roman" w:cs="Times New Roman"/>
        </w:rPr>
        <w:lastRenderedPageBreak/>
        <w:t>z hlediska hospodárnosti, efektivnosti a účelnosti jejich provedení, a to vše s cílem hospodárného vynakládání veřejných prostředků v souladu se všemi zásadami právních předpisů, zejména zásadami zákona č. 137/2006 Sb., o veřejných zakázkách</w:t>
      </w:r>
      <w:r>
        <w:rPr>
          <w:rFonts w:ascii="Times New Roman" w:hAnsi="Times New Roman" w:cs="Times New Roman"/>
        </w:rPr>
        <w:t xml:space="preserve"> a zákona č. 134/2016 Sb., o zadávání veřejných zakázek,</w:t>
      </w:r>
      <w:r w:rsidRPr="007774B3">
        <w:rPr>
          <w:rFonts w:ascii="Times New Roman" w:hAnsi="Times New Roman" w:cs="Times New Roman"/>
        </w:rPr>
        <w:t xml:space="preserve"> ve znění pozdějších předpisů. Průběh i výsledky projednávání těchto změn jsou </w:t>
      </w:r>
      <w:r>
        <w:rPr>
          <w:rFonts w:ascii="Times New Roman" w:hAnsi="Times New Roman" w:cs="Times New Roman"/>
        </w:rPr>
        <w:t xml:space="preserve">stranami průběžně </w:t>
      </w:r>
      <w:r w:rsidRPr="007774B3">
        <w:rPr>
          <w:rFonts w:ascii="Times New Roman" w:hAnsi="Times New Roman" w:cs="Times New Roman"/>
        </w:rPr>
        <w:t>zaznamenávány zejména v zápisech ve stavebním deníku, změnových listech a následně též v dodatcích k této Smlouvě</w:t>
      </w:r>
      <w:r>
        <w:rPr>
          <w:rFonts w:ascii="Times New Roman" w:hAnsi="Times New Roman" w:cs="Times New Roman"/>
        </w:rPr>
        <w:t>.</w:t>
      </w:r>
    </w:p>
    <w:p w14:paraId="57E73648" w14:textId="77777777" w:rsidR="00F52789" w:rsidRPr="00F52789" w:rsidRDefault="00F52789" w:rsidP="00F06D25">
      <w:pPr>
        <w:pStyle w:val="normln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F52789">
        <w:rPr>
          <w:rFonts w:ascii="Times New Roman" w:hAnsi="Times New Roman"/>
          <w:b/>
          <w:sz w:val="28"/>
        </w:rPr>
        <w:t>III. Ujednání o změně Smlouvy</w:t>
      </w:r>
    </w:p>
    <w:p w14:paraId="5C1A4EE2" w14:textId="77777777" w:rsidR="00762065" w:rsidRPr="00762065" w:rsidRDefault="00762065" w:rsidP="00F06D25">
      <w:pPr>
        <w:widowControl w:val="0"/>
        <w:rPr>
          <w:b/>
          <w:sz w:val="22"/>
          <w:szCs w:val="22"/>
          <w:vertAlign w:val="baseline"/>
        </w:rPr>
      </w:pPr>
    </w:p>
    <w:p w14:paraId="78510F10" w14:textId="68F8210D" w:rsidR="00762065" w:rsidRDefault="00762065" w:rsidP="00F06D25">
      <w:pPr>
        <w:pStyle w:val="Odstavecseseznamem"/>
        <w:widowControl w:val="0"/>
        <w:numPr>
          <w:ilvl w:val="0"/>
          <w:numId w:val="2"/>
        </w:numPr>
        <w:rPr>
          <w:b/>
          <w:sz w:val="22"/>
          <w:szCs w:val="22"/>
          <w:vertAlign w:val="baseline"/>
        </w:rPr>
      </w:pPr>
      <w:r w:rsidRPr="00762065">
        <w:rPr>
          <w:b/>
          <w:sz w:val="22"/>
          <w:szCs w:val="22"/>
          <w:vertAlign w:val="baseline"/>
        </w:rPr>
        <w:t>Do stávajícího článku III. „Předmět smlouvy“ se za odsta</w:t>
      </w:r>
      <w:r w:rsidR="00C4537C">
        <w:rPr>
          <w:b/>
          <w:sz w:val="22"/>
          <w:szCs w:val="22"/>
          <w:vertAlign w:val="baseline"/>
        </w:rPr>
        <w:t>vec 41</w:t>
      </w:r>
      <w:r>
        <w:rPr>
          <w:b/>
          <w:sz w:val="22"/>
          <w:szCs w:val="22"/>
          <w:vertAlign w:val="baseline"/>
        </w:rPr>
        <w:t xml:space="preserve">. vkládají nové odstavce </w:t>
      </w:r>
      <w:r w:rsidR="00DF0FB5">
        <w:rPr>
          <w:b/>
          <w:sz w:val="22"/>
          <w:szCs w:val="22"/>
          <w:vertAlign w:val="baseline"/>
        </w:rPr>
        <w:t xml:space="preserve">42., </w:t>
      </w:r>
      <w:r w:rsidR="00C4537C">
        <w:rPr>
          <w:b/>
          <w:sz w:val="22"/>
          <w:szCs w:val="22"/>
          <w:vertAlign w:val="baseline"/>
        </w:rPr>
        <w:t>43</w:t>
      </w:r>
      <w:r w:rsidRPr="00762065">
        <w:rPr>
          <w:b/>
          <w:sz w:val="22"/>
          <w:szCs w:val="22"/>
          <w:vertAlign w:val="baseline"/>
        </w:rPr>
        <w:t xml:space="preserve">. </w:t>
      </w:r>
      <w:r w:rsidR="00DF0FB5">
        <w:rPr>
          <w:b/>
          <w:sz w:val="22"/>
          <w:szCs w:val="22"/>
          <w:vertAlign w:val="baseline"/>
        </w:rPr>
        <w:t xml:space="preserve">a 44. </w:t>
      </w:r>
      <w:r w:rsidRPr="00762065">
        <w:rPr>
          <w:b/>
          <w:sz w:val="22"/>
          <w:szCs w:val="22"/>
          <w:vertAlign w:val="baseline"/>
        </w:rPr>
        <w:t>následujícího znění</w:t>
      </w:r>
      <w:r>
        <w:rPr>
          <w:b/>
          <w:sz w:val="22"/>
          <w:szCs w:val="22"/>
          <w:vertAlign w:val="baseline"/>
        </w:rPr>
        <w:t>:</w:t>
      </w:r>
    </w:p>
    <w:p w14:paraId="58BBC648" w14:textId="77777777" w:rsidR="00762065" w:rsidRDefault="00762065" w:rsidP="00F06D25">
      <w:pPr>
        <w:pStyle w:val="Odstavecseseznamem"/>
        <w:widowControl w:val="0"/>
        <w:rPr>
          <w:b/>
          <w:sz w:val="22"/>
          <w:szCs w:val="22"/>
          <w:vertAlign w:val="baseline"/>
        </w:rPr>
      </w:pPr>
    </w:p>
    <w:p w14:paraId="36B2A088" w14:textId="77777777" w:rsidR="00762065" w:rsidRPr="00762065" w:rsidRDefault="00C4537C" w:rsidP="00F06D25">
      <w:pPr>
        <w:pStyle w:val="Odstavecseseznamem"/>
        <w:widowControl w:val="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„ 42.</w:t>
      </w:r>
      <w:r w:rsidR="00762065">
        <w:rPr>
          <w:sz w:val="22"/>
          <w:szCs w:val="22"/>
          <w:vertAlign w:val="baseline"/>
        </w:rPr>
        <w:t xml:space="preserve"> </w:t>
      </w:r>
      <w:r w:rsidR="00762065" w:rsidRPr="00762065">
        <w:rPr>
          <w:sz w:val="22"/>
          <w:szCs w:val="22"/>
          <w:vertAlign w:val="baseline"/>
        </w:rPr>
        <w:t>Předmět díla je specifikován mimo výše uvedené dokumenty i ve změnových listech ZL 181a a ZL 181b, které upravují předmět smlouvy uvedený v předchozích odstavcích této smlo</w:t>
      </w:r>
      <w:r>
        <w:rPr>
          <w:sz w:val="22"/>
          <w:szCs w:val="22"/>
          <w:vertAlign w:val="baseline"/>
        </w:rPr>
        <w:t>uvy, a které tvoří přílohu č. 33</w:t>
      </w:r>
      <w:r w:rsidR="00762065" w:rsidRPr="00762065">
        <w:rPr>
          <w:sz w:val="22"/>
          <w:szCs w:val="22"/>
          <w:vertAlign w:val="baseline"/>
        </w:rPr>
        <w:t xml:space="preserve"> této smlouvy.</w:t>
      </w:r>
      <w:r w:rsidR="00762065">
        <w:rPr>
          <w:sz w:val="22"/>
          <w:szCs w:val="22"/>
          <w:vertAlign w:val="baseline"/>
        </w:rPr>
        <w:t>“</w:t>
      </w:r>
    </w:p>
    <w:p w14:paraId="7DC55C37" w14:textId="77777777" w:rsidR="00762065" w:rsidRDefault="00762065" w:rsidP="00F06D25">
      <w:pPr>
        <w:pStyle w:val="Odstavecseseznamem"/>
        <w:widowControl w:val="0"/>
        <w:rPr>
          <w:b/>
          <w:sz w:val="22"/>
          <w:szCs w:val="22"/>
          <w:vertAlign w:val="baseline"/>
        </w:rPr>
      </w:pPr>
    </w:p>
    <w:p w14:paraId="176FAFE1" w14:textId="77777777" w:rsidR="00762065" w:rsidRDefault="00762065" w:rsidP="00F06D25">
      <w:pPr>
        <w:pStyle w:val="Odstavecseseznamem"/>
        <w:widowControl w:val="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„ 4</w:t>
      </w:r>
      <w:r w:rsidR="00C4537C">
        <w:rPr>
          <w:sz w:val="22"/>
          <w:szCs w:val="22"/>
          <w:vertAlign w:val="baseline"/>
        </w:rPr>
        <w:t>3</w:t>
      </w:r>
      <w:r>
        <w:rPr>
          <w:sz w:val="22"/>
          <w:szCs w:val="22"/>
          <w:vertAlign w:val="baseline"/>
        </w:rPr>
        <w:t xml:space="preserve">. </w:t>
      </w:r>
      <w:r w:rsidRPr="00762065">
        <w:rPr>
          <w:sz w:val="22"/>
          <w:szCs w:val="22"/>
          <w:vertAlign w:val="baseline"/>
        </w:rPr>
        <w:t xml:space="preserve">S ohledem </w:t>
      </w:r>
      <w:r w:rsidR="00007F25">
        <w:rPr>
          <w:sz w:val="22"/>
          <w:szCs w:val="22"/>
          <w:vertAlign w:val="baseline"/>
        </w:rPr>
        <w:t>na změny</w:t>
      </w:r>
      <w:r w:rsidRPr="00762065">
        <w:rPr>
          <w:sz w:val="22"/>
          <w:szCs w:val="22"/>
          <w:vertAlign w:val="baseline"/>
        </w:rPr>
        <w:t xml:space="preserve"> technických </w:t>
      </w:r>
      <w:r w:rsidR="00007F25">
        <w:rPr>
          <w:sz w:val="22"/>
          <w:szCs w:val="22"/>
          <w:vertAlign w:val="baseline"/>
        </w:rPr>
        <w:t>parametrů a s tím spojené změny materiálů či způsoby</w:t>
      </w:r>
      <w:r w:rsidRPr="00762065">
        <w:rPr>
          <w:sz w:val="22"/>
          <w:szCs w:val="22"/>
          <w:vertAlign w:val="baseline"/>
        </w:rPr>
        <w:t xml:space="preserve"> provedení některých dílčích částí díla nebo jednotlivých stavebních prvků se mění vymezení předmětu díla tak, že se v rámci výkazu výměr, jež tvoří součást nabídky zhotovitele, nahrazují jednotlivé položky zcela nebo z části novými položkami, popř. se mění jejich množství či výměra. Veškeré změny dle tohoto článku jsou podrobně uvedeny a popsány ve změnových listech ZL 181a a ZL</w:t>
      </w:r>
      <w:r w:rsidR="00C4537C">
        <w:rPr>
          <w:sz w:val="22"/>
          <w:szCs w:val="22"/>
          <w:vertAlign w:val="baseline"/>
        </w:rPr>
        <w:t xml:space="preserve"> 181b, které tvoří přílohu č. 33</w:t>
      </w:r>
      <w:r w:rsidRPr="00762065">
        <w:rPr>
          <w:sz w:val="22"/>
          <w:szCs w:val="22"/>
          <w:vertAlign w:val="baseline"/>
        </w:rPr>
        <w:t xml:space="preserve"> této smlouvy.</w:t>
      </w:r>
      <w:r w:rsidR="00007F25">
        <w:rPr>
          <w:sz w:val="22"/>
          <w:szCs w:val="22"/>
          <w:vertAlign w:val="baseline"/>
        </w:rPr>
        <w:t>“</w:t>
      </w:r>
    </w:p>
    <w:p w14:paraId="32BB14FE" w14:textId="77777777" w:rsidR="00762065" w:rsidRDefault="00762065" w:rsidP="00F06D25">
      <w:pPr>
        <w:pStyle w:val="Odstavecseseznamem"/>
        <w:widowControl w:val="0"/>
        <w:jc w:val="both"/>
        <w:rPr>
          <w:sz w:val="22"/>
          <w:szCs w:val="22"/>
          <w:vertAlign w:val="baseline"/>
        </w:rPr>
      </w:pPr>
    </w:p>
    <w:p w14:paraId="4E212E56" w14:textId="61D4AF40" w:rsidR="00007F25" w:rsidRPr="005331EA" w:rsidRDefault="005331EA" w:rsidP="005331EA">
      <w:pPr>
        <w:widowControl w:val="0"/>
        <w:ind w:left="709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„44. </w:t>
      </w:r>
      <w:r w:rsidR="00007F25" w:rsidRPr="005331EA">
        <w:rPr>
          <w:sz w:val="22"/>
          <w:szCs w:val="22"/>
          <w:vertAlign w:val="baseline"/>
        </w:rPr>
        <w:t>Přestože plnění popsaná ve změnových listech ZL 181a a ZL 181b mají a budou</w:t>
      </w:r>
      <w:r w:rsidR="00324275" w:rsidRPr="005331EA">
        <w:rPr>
          <w:sz w:val="22"/>
          <w:szCs w:val="22"/>
          <w:vertAlign w:val="baseline"/>
        </w:rPr>
        <w:t xml:space="preserve"> </w:t>
      </w:r>
      <w:r w:rsidR="00007F25" w:rsidRPr="005331EA">
        <w:rPr>
          <w:sz w:val="22"/>
          <w:szCs w:val="22"/>
          <w:vertAlign w:val="baseline"/>
        </w:rPr>
        <w:t>mít přímý vliv na provádění zbývajících prací na díle</w:t>
      </w:r>
      <w:r w:rsidR="00324275" w:rsidRPr="005331EA">
        <w:rPr>
          <w:sz w:val="22"/>
          <w:szCs w:val="22"/>
          <w:vertAlign w:val="baseline"/>
        </w:rPr>
        <w:t xml:space="preserve"> po 15. 12. 2019</w:t>
      </w:r>
      <w:r w:rsidR="00007F25" w:rsidRPr="005331EA">
        <w:rPr>
          <w:sz w:val="22"/>
          <w:szCs w:val="22"/>
          <w:vertAlign w:val="baseline"/>
        </w:rPr>
        <w:t xml:space="preserve"> (zejména pak prací na vzduchotechnice, čidlech EPS, části rozvodů slaboproudu a silnoproudu), smluvní strany se dohodly, že zhotovitel přijme veškerá možná opatření, aby provádění těchto plnění z výše uvedených změnových listů nemělo vliv na f</w:t>
      </w:r>
      <w:r w:rsidR="00B6017D" w:rsidRPr="005331EA">
        <w:rPr>
          <w:sz w:val="22"/>
          <w:szCs w:val="22"/>
          <w:vertAlign w:val="baseline"/>
        </w:rPr>
        <w:t>unkčnost zbývajících částí díla</w:t>
      </w:r>
      <w:r w:rsidR="00F46FE2" w:rsidRPr="005331EA">
        <w:rPr>
          <w:sz w:val="22"/>
          <w:szCs w:val="22"/>
          <w:vertAlign w:val="baseline"/>
        </w:rPr>
        <w:t xml:space="preserve"> </w:t>
      </w:r>
      <w:r w:rsidR="00B6017D" w:rsidRPr="005331EA">
        <w:rPr>
          <w:sz w:val="22"/>
          <w:szCs w:val="22"/>
          <w:vertAlign w:val="baseline"/>
        </w:rPr>
        <w:t xml:space="preserve">prostorově a technicky </w:t>
      </w:r>
      <w:r w:rsidR="00F46FE2" w:rsidRPr="005331EA">
        <w:rPr>
          <w:sz w:val="22"/>
          <w:szCs w:val="22"/>
          <w:vertAlign w:val="baseline"/>
        </w:rPr>
        <w:t>souvisejících</w:t>
      </w:r>
      <w:r w:rsidR="00B6017D" w:rsidRPr="005331EA">
        <w:rPr>
          <w:sz w:val="22"/>
          <w:szCs w:val="22"/>
          <w:vertAlign w:val="baseline"/>
        </w:rPr>
        <w:t xml:space="preserve"> s částí díla popsanou ve ZL 181b</w:t>
      </w:r>
      <w:r w:rsidR="007A4C6D" w:rsidRPr="005331EA">
        <w:rPr>
          <w:sz w:val="22"/>
          <w:szCs w:val="22"/>
          <w:vertAlign w:val="baseline"/>
        </w:rPr>
        <w:t>.</w:t>
      </w:r>
      <w:r>
        <w:rPr>
          <w:sz w:val="22"/>
          <w:szCs w:val="22"/>
          <w:vertAlign w:val="baseline"/>
        </w:rPr>
        <w:t>“</w:t>
      </w:r>
    </w:p>
    <w:p w14:paraId="69FB7FD1" w14:textId="77777777" w:rsidR="00007F25" w:rsidRDefault="00007F25" w:rsidP="00007F25">
      <w:pPr>
        <w:pStyle w:val="Odstavecseseznamem"/>
        <w:widowControl w:val="0"/>
        <w:rPr>
          <w:b/>
          <w:sz w:val="22"/>
          <w:szCs w:val="22"/>
          <w:vertAlign w:val="baseline"/>
        </w:rPr>
      </w:pPr>
    </w:p>
    <w:p w14:paraId="70636850" w14:textId="77777777" w:rsidR="00762065" w:rsidRPr="00762065" w:rsidRDefault="00762065" w:rsidP="005331EA">
      <w:pPr>
        <w:pStyle w:val="Odstavecseseznamem"/>
        <w:widowControl w:val="0"/>
        <w:numPr>
          <w:ilvl w:val="0"/>
          <w:numId w:val="2"/>
        </w:numPr>
        <w:rPr>
          <w:b/>
          <w:sz w:val="22"/>
          <w:szCs w:val="22"/>
          <w:vertAlign w:val="baseline"/>
        </w:rPr>
      </w:pPr>
      <w:r w:rsidRPr="00762065">
        <w:rPr>
          <w:b/>
          <w:sz w:val="22"/>
          <w:szCs w:val="22"/>
          <w:vertAlign w:val="baseline"/>
        </w:rPr>
        <w:t>Příloha č. 3</w:t>
      </w:r>
      <w:r w:rsidR="00C4537C">
        <w:rPr>
          <w:b/>
          <w:sz w:val="22"/>
          <w:szCs w:val="22"/>
          <w:vertAlign w:val="baseline"/>
        </w:rPr>
        <w:t>3</w:t>
      </w:r>
      <w:r w:rsidRPr="00762065">
        <w:rPr>
          <w:b/>
          <w:sz w:val="22"/>
          <w:szCs w:val="22"/>
          <w:vertAlign w:val="baseline"/>
        </w:rPr>
        <w:t xml:space="preserve"> – Změnové listy ZL 181a a ZL 181b </w:t>
      </w:r>
      <w:r>
        <w:rPr>
          <w:b/>
          <w:sz w:val="22"/>
          <w:szCs w:val="22"/>
          <w:vertAlign w:val="baseline"/>
        </w:rPr>
        <w:t>tvoří přílohu A tohoto Dodatku.</w:t>
      </w:r>
    </w:p>
    <w:p w14:paraId="30A5BAC7" w14:textId="77777777" w:rsidR="00762065" w:rsidRDefault="00762065" w:rsidP="00F06D25">
      <w:pPr>
        <w:pStyle w:val="Odstavecseseznamem"/>
        <w:widowControl w:val="0"/>
        <w:rPr>
          <w:b/>
          <w:sz w:val="22"/>
          <w:szCs w:val="22"/>
          <w:vertAlign w:val="baseline"/>
        </w:rPr>
      </w:pPr>
    </w:p>
    <w:p w14:paraId="60FB258E" w14:textId="77777777" w:rsidR="00A72243" w:rsidRDefault="00A72243" w:rsidP="005331EA">
      <w:pPr>
        <w:pStyle w:val="Odstavecseseznamem"/>
        <w:numPr>
          <w:ilvl w:val="0"/>
          <w:numId w:val="2"/>
        </w:numPr>
        <w:spacing w:before="200"/>
        <w:jc w:val="both"/>
        <w:rPr>
          <w:color w:val="000000"/>
          <w:sz w:val="22"/>
          <w:szCs w:val="22"/>
          <w:vertAlign w:val="baseline"/>
        </w:rPr>
      </w:pPr>
      <w:r w:rsidRPr="00291082">
        <w:rPr>
          <w:b/>
          <w:sz w:val="22"/>
          <w:vertAlign w:val="baseline"/>
        </w:rPr>
        <w:t>Stávající článek VII. „Cena díla“ odst. 1 se ruší a nově zní takto:</w:t>
      </w:r>
    </w:p>
    <w:p w14:paraId="1DDC9A72" w14:textId="77777777" w:rsidR="00A72243" w:rsidRPr="00A72243" w:rsidRDefault="00A72243" w:rsidP="00A72243">
      <w:pPr>
        <w:pStyle w:val="Odstavecseseznamem"/>
        <w:rPr>
          <w:color w:val="000000"/>
          <w:sz w:val="22"/>
          <w:szCs w:val="22"/>
          <w:vertAlign w:val="baseline"/>
        </w:rPr>
      </w:pPr>
    </w:p>
    <w:p w14:paraId="331DC36F" w14:textId="77777777" w:rsidR="00A72243" w:rsidRDefault="00A72243" w:rsidP="00A72243">
      <w:pPr>
        <w:pStyle w:val="Odstavecseseznamem"/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 xml:space="preserve">„ 1. </w:t>
      </w:r>
      <w:r w:rsidRPr="00A72243">
        <w:rPr>
          <w:color w:val="000000"/>
          <w:sz w:val="22"/>
          <w:szCs w:val="22"/>
          <w:vertAlign w:val="baseline"/>
        </w:rPr>
        <w:t>Objednatel se za dále uvedených podmínek zavazuje uhradit zhotoviteli celkovou smluvní cenu za řádné provedení díla ve výši:</w:t>
      </w:r>
    </w:p>
    <w:p w14:paraId="2AB480E4" w14:textId="77777777" w:rsidR="005331EA" w:rsidRDefault="005331EA" w:rsidP="00A72243">
      <w:pPr>
        <w:pStyle w:val="Odstavecseseznamem"/>
        <w:spacing w:before="200"/>
        <w:jc w:val="both"/>
        <w:rPr>
          <w:color w:val="000000"/>
          <w:sz w:val="22"/>
          <w:szCs w:val="22"/>
          <w:vertAlign w:val="baseline"/>
        </w:rPr>
      </w:pPr>
    </w:p>
    <w:tbl>
      <w:tblPr>
        <w:tblpPr w:leftFromText="141" w:rightFromText="141" w:vertAnchor="text" w:horzAnchor="page" w:tblpX="2161" w:tblpY="248"/>
        <w:tblW w:w="8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876"/>
        <w:gridCol w:w="2126"/>
      </w:tblGrid>
      <w:tr w:rsidR="005331EA" w:rsidRPr="005B7D72" w14:paraId="2B192795" w14:textId="77777777" w:rsidTr="005331EA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AD68429" w14:textId="77777777" w:rsidR="005331EA" w:rsidRPr="005B7D72" w:rsidRDefault="005331EA" w:rsidP="005331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6298DAAE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A317C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5331EA" w:rsidRPr="005B7D72" w14:paraId="68D138C9" w14:textId="77777777" w:rsidTr="00843411">
        <w:trPr>
          <w:trHeight w:val="8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82E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EAE10BC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83B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8A84AC4" w14:textId="129B2B63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díla dle původní sml</w:t>
            </w:r>
            <w:r>
              <w:rPr>
                <w:color w:val="000000"/>
                <w:sz w:val="22"/>
                <w:szCs w:val="22"/>
                <w:vertAlign w:val="baseline"/>
              </w:rPr>
              <w:t>o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uvy ve znění Dodatků č. 1 - 1</w:t>
            </w:r>
            <w:r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5B491A4B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7F7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10A6C49B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1 0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91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 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169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F46FE2">
              <w:rPr>
                <w:b/>
                <w:color w:val="000000"/>
                <w:sz w:val="22"/>
                <w:szCs w:val="22"/>
                <w:vertAlign w:val="baseline"/>
              </w:rPr>
              <w:t>475,- Kč</w:t>
            </w:r>
          </w:p>
        </w:tc>
      </w:tr>
      <w:tr w:rsidR="005331EA" w:rsidRPr="005B7D72" w14:paraId="21861083" w14:textId="77777777" w:rsidTr="00843411">
        <w:trPr>
          <w:trHeight w:val="4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5FD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861751F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7DD71AC6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914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4E081483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víceprací dle Dodatku č. 1</w:t>
            </w:r>
            <w:r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2707D409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D11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1F3D02D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     </w:t>
            </w:r>
            <w:r>
              <w:rPr>
                <w:color w:val="000000"/>
                <w:sz w:val="22"/>
                <w:szCs w:val="22"/>
                <w:vertAlign w:val="baseline"/>
              </w:rPr>
              <w:t>7 559 434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5331EA" w:rsidRPr="005B7D72" w14:paraId="6E75C4AD" w14:textId="77777777" w:rsidTr="00843411">
        <w:trPr>
          <w:trHeight w:val="53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33FA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00BAD51E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477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87C9548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méněprací dle Dodatku č. 1</w:t>
            </w:r>
            <w:r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0E77DE83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003D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4035E3ED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     -</w:t>
            </w:r>
            <w:r>
              <w:rPr>
                <w:color w:val="000000"/>
                <w:sz w:val="22"/>
                <w:szCs w:val="22"/>
                <w:vertAlign w:val="baseline"/>
              </w:rPr>
              <w:t>663 509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5331EA" w:rsidRPr="005B7D72" w14:paraId="7C0721D1" w14:textId="77777777" w:rsidTr="00843411">
        <w:trPr>
          <w:trHeight w:val="1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8ED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3EE2B1D" w14:textId="77777777" w:rsidR="005331EA" w:rsidRPr="005B7D72" w:rsidRDefault="005331EA" w:rsidP="0084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829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788FF0B2" w14:textId="65DC370D" w:rsidR="005331EA" w:rsidRPr="005B7D72" w:rsidRDefault="005331EA" w:rsidP="005331E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Celková cena díla dle základní SOD ve znění Dodatku č. 1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E08A" w14:textId="77777777" w:rsidR="005331EA" w:rsidRPr="005B7D72" w:rsidRDefault="005331EA" w:rsidP="0084341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59DFDBFB" w14:textId="77777777" w:rsidR="005331EA" w:rsidRPr="005B7D72" w:rsidRDefault="005331EA" w:rsidP="00843411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1 0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98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 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065 400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</w:tbl>
    <w:p w14:paraId="69C172D5" w14:textId="77777777" w:rsidR="005331EA" w:rsidRPr="00A72243" w:rsidRDefault="005331EA" w:rsidP="00A72243">
      <w:pPr>
        <w:pStyle w:val="Odstavecseseznamem"/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1DEA849" w14:textId="3D0A61D6" w:rsidR="005930E4" w:rsidRDefault="005331EA" w:rsidP="005930E4">
      <w:pPr>
        <w:widowControl w:val="0"/>
        <w:tabs>
          <w:tab w:val="left" w:pos="993"/>
        </w:tabs>
        <w:spacing w:before="240"/>
        <w:ind w:left="720" w:hanging="11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 </w:t>
      </w:r>
      <w:r w:rsidR="0043405C">
        <w:rPr>
          <w:sz w:val="22"/>
          <w:szCs w:val="22"/>
          <w:vertAlign w:val="baseline"/>
        </w:rPr>
        <w:t xml:space="preserve">„ 1. </w:t>
      </w:r>
      <w:r w:rsidR="00F52789" w:rsidRPr="005930E4">
        <w:rPr>
          <w:b/>
          <w:sz w:val="22"/>
          <w:szCs w:val="22"/>
          <w:vertAlign w:val="baseline"/>
        </w:rPr>
        <w:t>Zhot</w:t>
      </w:r>
      <w:r w:rsidR="005930E4" w:rsidRPr="005930E4">
        <w:rPr>
          <w:b/>
          <w:sz w:val="22"/>
          <w:szCs w:val="22"/>
          <w:vertAlign w:val="baseline"/>
        </w:rPr>
        <w:t xml:space="preserve"> </w:t>
      </w:r>
      <w:r w:rsidR="005930E4">
        <w:rPr>
          <w:b/>
          <w:sz w:val="22"/>
          <w:szCs w:val="22"/>
          <w:vertAlign w:val="baseline"/>
        </w:rPr>
        <w:t>4.</w:t>
      </w:r>
      <w:r w:rsidR="005930E4">
        <w:rPr>
          <w:b/>
          <w:sz w:val="22"/>
          <w:szCs w:val="22"/>
          <w:vertAlign w:val="baseline"/>
        </w:rPr>
        <w:tab/>
      </w:r>
      <w:r w:rsidR="005930E4" w:rsidRPr="005930E4">
        <w:rPr>
          <w:b/>
          <w:sz w:val="22"/>
          <w:szCs w:val="22"/>
          <w:vertAlign w:val="baseline"/>
        </w:rPr>
        <w:t>Stávající článek V. „Doba plnění“ odst.1 se ruší a nově zní takto:</w:t>
      </w:r>
      <w:r w:rsidR="005930E4">
        <w:rPr>
          <w:sz w:val="22"/>
          <w:szCs w:val="22"/>
          <w:vertAlign w:val="baseline"/>
        </w:rPr>
        <w:t xml:space="preserve"> </w:t>
      </w:r>
    </w:p>
    <w:p w14:paraId="77F9C02F" w14:textId="03A7FE24" w:rsidR="00F52789" w:rsidRPr="00F52789" w:rsidRDefault="005930E4" w:rsidP="00F06D25">
      <w:pPr>
        <w:widowControl w:val="0"/>
        <w:tabs>
          <w:tab w:val="left" w:pos="7380"/>
        </w:tabs>
        <w:spacing w:before="240"/>
        <w:ind w:left="72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lastRenderedPageBreak/>
        <w:t xml:space="preserve">„1. Zhotovitel </w:t>
      </w:r>
      <w:r w:rsidR="00F52789" w:rsidRPr="007F260B">
        <w:rPr>
          <w:sz w:val="22"/>
          <w:szCs w:val="22"/>
          <w:vertAlign w:val="baseline"/>
        </w:rPr>
        <w:t>se zavazuje provést dílo v souladu s </w:t>
      </w:r>
      <w:r w:rsidR="007F260B" w:rsidRPr="007F260B">
        <w:rPr>
          <w:sz w:val="22"/>
          <w:szCs w:val="22"/>
          <w:vertAlign w:val="baseline"/>
        </w:rPr>
        <w:t>aktualizovaným časovým harmonogramem postupu provedení díla, který se doplňuje o harmonogram Piazzetty</w:t>
      </w:r>
      <w:r w:rsidR="007F260B">
        <w:rPr>
          <w:sz w:val="22"/>
          <w:szCs w:val="22"/>
          <w:vertAlign w:val="baseline"/>
        </w:rPr>
        <w:t xml:space="preserve"> jako samostatné části díla</w:t>
      </w:r>
      <w:r w:rsidR="007F260B" w:rsidRPr="007F260B">
        <w:rPr>
          <w:sz w:val="22"/>
          <w:szCs w:val="22"/>
          <w:vertAlign w:val="baseline"/>
        </w:rPr>
        <w:t xml:space="preserve"> </w:t>
      </w:r>
      <w:r w:rsidR="007F260B">
        <w:rPr>
          <w:sz w:val="22"/>
          <w:szCs w:val="22"/>
          <w:vertAlign w:val="baseline"/>
        </w:rPr>
        <w:t>(</w:t>
      </w:r>
      <w:r w:rsidR="007F260B" w:rsidRPr="007F260B">
        <w:rPr>
          <w:sz w:val="22"/>
          <w:szCs w:val="22"/>
          <w:vertAlign w:val="baseline"/>
        </w:rPr>
        <w:t>příloh</w:t>
      </w:r>
      <w:r w:rsidR="007F260B">
        <w:rPr>
          <w:sz w:val="22"/>
          <w:szCs w:val="22"/>
          <w:vertAlign w:val="baseline"/>
        </w:rPr>
        <w:t>a</w:t>
      </w:r>
      <w:r w:rsidR="007F260B" w:rsidRPr="007F260B">
        <w:rPr>
          <w:sz w:val="22"/>
          <w:szCs w:val="22"/>
          <w:vertAlign w:val="baseline"/>
        </w:rPr>
        <w:t xml:space="preserve"> č. 34 této smlouvy</w:t>
      </w:r>
      <w:r w:rsidR="007F260B">
        <w:rPr>
          <w:sz w:val="22"/>
          <w:szCs w:val="22"/>
          <w:vertAlign w:val="baseline"/>
        </w:rPr>
        <w:t>)</w:t>
      </w:r>
      <w:r w:rsidR="00F52789" w:rsidRPr="007F260B">
        <w:rPr>
          <w:sz w:val="22"/>
          <w:szCs w:val="22"/>
          <w:vertAlign w:val="baseline"/>
        </w:rPr>
        <w:t xml:space="preserve">, přičemž zhotovitel </w:t>
      </w:r>
      <w:r w:rsidR="00E92227" w:rsidRPr="007F260B">
        <w:rPr>
          <w:sz w:val="22"/>
          <w:szCs w:val="22"/>
          <w:vertAlign w:val="baseline"/>
        </w:rPr>
        <w:t xml:space="preserve">se </w:t>
      </w:r>
      <w:r w:rsidR="00F52789" w:rsidRPr="007F260B">
        <w:rPr>
          <w:sz w:val="22"/>
          <w:szCs w:val="22"/>
          <w:vertAlign w:val="baseline"/>
        </w:rPr>
        <w:t>zavazuje dodržet následující termíny:</w:t>
      </w:r>
    </w:p>
    <w:p w14:paraId="434EB7A5" w14:textId="77777777" w:rsidR="00F52789" w:rsidRPr="00F52789" w:rsidRDefault="00F52789" w:rsidP="00F06D25">
      <w:pPr>
        <w:widowControl w:val="0"/>
        <w:numPr>
          <w:ilvl w:val="1"/>
          <w:numId w:val="3"/>
        </w:numPr>
        <w:tabs>
          <w:tab w:val="right" w:pos="4860"/>
        </w:tabs>
        <w:spacing w:before="60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>termín převzetí staveniště bude určen v písemné výzvě objednatele zhotoviteli;</w:t>
      </w:r>
    </w:p>
    <w:p w14:paraId="3DE8166C" w14:textId="77777777" w:rsidR="00F52789" w:rsidRPr="00F52789" w:rsidRDefault="00F52789" w:rsidP="00F06D25">
      <w:pPr>
        <w:widowControl w:val="0"/>
        <w:numPr>
          <w:ilvl w:val="1"/>
          <w:numId w:val="3"/>
        </w:numPr>
        <w:tabs>
          <w:tab w:val="right" w:pos="-4536"/>
        </w:tabs>
        <w:spacing w:before="60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>předpok</w:t>
      </w:r>
      <w:r w:rsidR="00E1118C">
        <w:rPr>
          <w:sz w:val="22"/>
          <w:szCs w:val="22"/>
          <w:vertAlign w:val="baseline"/>
        </w:rPr>
        <w:t xml:space="preserve">ládaný termín zahájení stavby: </w:t>
      </w:r>
      <w:r w:rsidR="00E1118C">
        <w:rPr>
          <w:sz w:val="22"/>
          <w:szCs w:val="22"/>
          <w:vertAlign w:val="baseline"/>
        </w:rPr>
        <w:tab/>
      </w:r>
      <w:r w:rsidR="00E1118C">
        <w:rPr>
          <w:sz w:val="22"/>
          <w:szCs w:val="22"/>
          <w:vertAlign w:val="baseline"/>
        </w:rPr>
        <w:tab/>
      </w:r>
      <w:r w:rsidRPr="00F52789">
        <w:rPr>
          <w:b/>
          <w:bCs/>
          <w:sz w:val="22"/>
          <w:szCs w:val="22"/>
          <w:vertAlign w:val="baseline"/>
        </w:rPr>
        <w:t>bezodkladně po převzetí staveniště</w:t>
      </w:r>
      <w:r w:rsidRPr="00F52789">
        <w:rPr>
          <w:bCs/>
          <w:sz w:val="22"/>
          <w:szCs w:val="22"/>
          <w:vertAlign w:val="baseline"/>
        </w:rPr>
        <w:t>;</w:t>
      </w:r>
    </w:p>
    <w:p w14:paraId="0BB11324" w14:textId="77777777" w:rsidR="00F52789" w:rsidRPr="00E1118C" w:rsidRDefault="00F52789" w:rsidP="00F06D25">
      <w:pPr>
        <w:widowControl w:val="0"/>
        <w:numPr>
          <w:ilvl w:val="1"/>
          <w:numId w:val="3"/>
        </w:numPr>
        <w:tabs>
          <w:tab w:val="right" w:pos="-4536"/>
        </w:tabs>
        <w:spacing w:before="60"/>
        <w:jc w:val="both"/>
        <w:rPr>
          <w:sz w:val="22"/>
          <w:szCs w:val="22"/>
          <w:vertAlign w:val="baseline"/>
        </w:rPr>
      </w:pPr>
      <w:r w:rsidRPr="00F52789">
        <w:rPr>
          <w:bCs/>
          <w:sz w:val="22"/>
          <w:szCs w:val="22"/>
          <w:vertAlign w:val="baseline"/>
        </w:rPr>
        <w:t>lhůta pro předání části díla specifikované v příloze č. 28) smlouvy</w:t>
      </w:r>
    </w:p>
    <w:p w14:paraId="233800C1" w14:textId="2AE4FBE9" w:rsidR="00E1118C" w:rsidRPr="00F52789" w:rsidRDefault="00E1118C" w:rsidP="00F06D25">
      <w:pPr>
        <w:widowControl w:val="0"/>
        <w:tabs>
          <w:tab w:val="right" w:pos="-4536"/>
        </w:tabs>
        <w:spacing w:before="60"/>
        <w:ind w:left="1440"/>
        <w:jc w:val="both"/>
        <w:rPr>
          <w:b/>
          <w:bCs/>
          <w:sz w:val="22"/>
          <w:szCs w:val="22"/>
          <w:vertAlign w:val="baseline"/>
        </w:rPr>
      </w:pPr>
    </w:p>
    <w:p w14:paraId="3681BA31" w14:textId="77777777" w:rsidR="00E1118C" w:rsidRPr="00C4537C" w:rsidRDefault="00F52789" w:rsidP="00F06D25">
      <w:pPr>
        <w:widowControl w:val="0"/>
        <w:numPr>
          <w:ilvl w:val="1"/>
          <w:numId w:val="3"/>
        </w:numPr>
        <w:tabs>
          <w:tab w:val="right" w:pos="-4536"/>
          <w:tab w:val="right" w:pos="5103"/>
        </w:tabs>
        <w:spacing w:before="60"/>
        <w:rPr>
          <w:sz w:val="22"/>
          <w:szCs w:val="22"/>
          <w:vertAlign w:val="baseline"/>
        </w:rPr>
      </w:pPr>
      <w:r w:rsidRPr="00C4537C">
        <w:rPr>
          <w:sz w:val="22"/>
          <w:szCs w:val="22"/>
          <w:vertAlign w:val="baseline"/>
        </w:rPr>
        <w:t xml:space="preserve">lhůta pro dokončení stavebních prací, lhůta pro předání kompletního díla </w:t>
      </w:r>
    </w:p>
    <w:p w14:paraId="29D0A79E" w14:textId="0ADB0C35" w:rsidR="00F52789" w:rsidRPr="00C4537C" w:rsidRDefault="00F52789" w:rsidP="00F06D25">
      <w:pPr>
        <w:widowControl w:val="0"/>
        <w:tabs>
          <w:tab w:val="right" w:pos="-4536"/>
          <w:tab w:val="right" w:pos="5103"/>
        </w:tabs>
        <w:spacing w:before="60"/>
        <w:ind w:left="1440"/>
        <w:rPr>
          <w:sz w:val="22"/>
          <w:szCs w:val="22"/>
          <w:vertAlign w:val="baseline"/>
        </w:rPr>
      </w:pPr>
      <w:r w:rsidRPr="00C4537C">
        <w:rPr>
          <w:sz w:val="22"/>
          <w:szCs w:val="22"/>
          <w:vertAlign w:val="baseline"/>
        </w:rPr>
        <w:t xml:space="preserve">(vyjma </w:t>
      </w:r>
      <w:r w:rsidR="00CE2842">
        <w:rPr>
          <w:sz w:val="22"/>
          <w:szCs w:val="22"/>
          <w:vertAlign w:val="baseline"/>
        </w:rPr>
        <w:t>samostatných částí díla</w:t>
      </w:r>
      <w:r w:rsidRPr="00C4537C">
        <w:rPr>
          <w:sz w:val="22"/>
          <w:szCs w:val="22"/>
          <w:vertAlign w:val="baseline"/>
        </w:rPr>
        <w:t xml:space="preserve">): </w:t>
      </w:r>
      <w:r w:rsidR="00CE2842">
        <w:rPr>
          <w:sz w:val="22"/>
          <w:szCs w:val="22"/>
          <w:vertAlign w:val="baseline"/>
        </w:rPr>
        <w:tab/>
      </w:r>
      <w:r w:rsidR="00E1118C" w:rsidRPr="00C4537C">
        <w:rPr>
          <w:sz w:val="22"/>
          <w:szCs w:val="22"/>
          <w:vertAlign w:val="baseline"/>
        </w:rPr>
        <w:tab/>
      </w:r>
      <w:r w:rsidRPr="00C4537C">
        <w:rPr>
          <w:b/>
          <w:sz w:val="22"/>
          <w:szCs w:val="22"/>
          <w:vertAlign w:val="baseline"/>
        </w:rPr>
        <w:t>15.</w:t>
      </w:r>
      <w:r w:rsidR="00E1118C" w:rsidRPr="00C4537C">
        <w:rPr>
          <w:b/>
          <w:sz w:val="22"/>
          <w:szCs w:val="22"/>
          <w:vertAlign w:val="baseline"/>
        </w:rPr>
        <w:t xml:space="preserve"> </w:t>
      </w:r>
      <w:r w:rsidRPr="00C4537C">
        <w:rPr>
          <w:b/>
          <w:sz w:val="22"/>
          <w:szCs w:val="22"/>
          <w:vertAlign w:val="baseline"/>
        </w:rPr>
        <w:t>12.</w:t>
      </w:r>
      <w:r w:rsidR="00E1118C" w:rsidRPr="00C4537C">
        <w:rPr>
          <w:b/>
          <w:sz w:val="22"/>
          <w:szCs w:val="22"/>
          <w:vertAlign w:val="baseline"/>
        </w:rPr>
        <w:t xml:space="preserve"> </w:t>
      </w:r>
      <w:r w:rsidRPr="00C4537C">
        <w:rPr>
          <w:b/>
          <w:sz w:val="22"/>
          <w:szCs w:val="22"/>
          <w:vertAlign w:val="baseline"/>
        </w:rPr>
        <w:t>2019</w:t>
      </w:r>
    </w:p>
    <w:p w14:paraId="44BB2C9E" w14:textId="77777777" w:rsidR="00E1118C" w:rsidRDefault="00F52789" w:rsidP="00F06D25">
      <w:pPr>
        <w:widowControl w:val="0"/>
        <w:numPr>
          <w:ilvl w:val="1"/>
          <w:numId w:val="3"/>
        </w:numPr>
        <w:tabs>
          <w:tab w:val="right" w:pos="-4536"/>
        </w:tabs>
        <w:spacing w:before="60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 xml:space="preserve">termín odstranění zařízení staveniště </w:t>
      </w:r>
    </w:p>
    <w:p w14:paraId="5BAB8988" w14:textId="446C727F" w:rsidR="00F52789" w:rsidRPr="00F52789" w:rsidRDefault="00F52789" w:rsidP="00F06D25">
      <w:pPr>
        <w:widowControl w:val="0"/>
        <w:tabs>
          <w:tab w:val="right" w:pos="-4536"/>
        </w:tabs>
        <w:spacing w:before="60"/>
        <w:ind w:left="1440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 xml:space="preserve">(vyjma staveniště specifikovaného v ZL 181b): </w:t>
      </w:r>
      <w:r w:rsidR="00E1118C">
        <w:rPr>
          <w:sz w:val="22"/>
          <w:szCs w:val="22"/>
          <w:vertAlign w:val="baseline"/>
        </w:rPr>
        <w:tab/>
      </w:r>
      <w:r w:rsidRPr="00F52789">
        <w:rPr>
          <w:b/>
          <w:sz w:val="22"/>
          <w:szCs w:val="22"/>
          <w:vertAlign w:val="baseline"/>
        </w:rPr>
        <w:t>20.</w:t>
      </w:r>
      <w:r w:rsidR="00E1118C" w:rsidRPr="00E1118C">
        <w:rPr>
          <w:b/>
          <w:sz w:val="22"/>
          <w:szCs w:val="22"/>
          <w:vertAlign w:val="baseline"/>
        </w:rPr>
        <w:t xml:space="preserve"> </w:t>
      </w:r>
      <w:r w:rsidRPr="00F52789">
        <w:rPr>
          <w:b/>
          <w:sz w:val="22"/>
          <w:szCs w:val="22"/>
          <w:vertAlign w:val="baseline"/>
        </w:rPr>
        <w:t>12.</w:t>
      </w:r>
      <w:r w:rsidR="00E1118C" w:rsidRPr="00E1118C">
        <w:rPr>
          <w:b/>
          <w:sz w:val="22"/>
          <w:szCs w:val="22"/>
          <w:vertAlign w:val="baseline"/>
        </w:rPr>
        <w:t xml:space="preserve"> </w:t>
      </w:r>
      <w:r w:rsidRPr="00F52789">
        <w:rPr>
          <w:b/>
          <w:sz w:val="22"/>
          <w:szCs w:val="22"/>
          <w:vertAlign w:val="baseline"/>
        </w:rPr>
        <w:t>2019</w:t>
      </w:r>
    </w:p>
    <w:p w14:paraId="5EC801F8" w14:textId="77777777" w:rsidR="00E1118C" w:rsidRDefault="00F52789" w:rsidP="00F06D25">
      <w:pPr>
        <w:widowControl w:val="0"/>
        <w:numPr>
          <w:ilvl w:val="1"/>
          <w:numId w:val="3"/>
        </w:numPr>
        <w:tabs>
          <w:tab w:val="right" w:pos="-4536"/>
        </w:tabs>
        <w:spacing w:before="60"/>
        <w:jc w:val="both"/>
        <w:rPr>
          <w:sz w:val="22"/>
          <w:szCs w:val="22"/>
          <w:vertAlign w:val="baseline"/>
        </w:rPr>
      </w:pPr>
      <w:r w:rsidRPr="00F52789">
        <w:rPr>
          <w:sz w:val="22"/>
          <w:szCs w:val="22"/>
          <w:vertAlign w:val="baseline"/>
        </w:rPr>
        <w:t>termín dokončení prací a odevzdání staveniště dle ZL 181b</w:t>
      </w:r>
      <w:r w:rsidR="00E1118C">
        <w:rPr>
          <w:sz w:val="22"/>
          <w:szCs w:val="22"/>
          <w:vertAlign w:val="baseline"/>
        </w:rPr>
        <w:t>)</w:t>
      </w:r>
      <w:r w:rsidRPr="00F52789">
        <w:rPr>
          <w:sz w:val="22"/>
          <w:szCs w:val="22"/>
          <w:vertAlign w:val="baseline"/>
        </w:rPr>
        <w:t xml:space="preserve"> </w:t>
      </w:r>
    </w:p>
    <w:p w14:paraId="3A005F96" w14:textId="77777777" w:rsidR="00F52789" w:rsidRPr="00F52789" w:rsidRDefault="00E1118C" w:rsidP="00F06D25">
      <w:pPr>
        <w:widowControl w:val="0"/>
        <w:tabs>
          <w:tab w:val="right" w:pos="-4536"/>
        </w:tabs>
        <w:spacing w:before="60"/>
        <w:ind w:left="1440"/>
        <w:jc w:val="both"/>
        <w:rPr>
          <w:b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ab/>
      </w:r>
      <w:r>
        <w:rPr>
          <w:sz w:val="22"/>
          <w:szCs w:val="22"/>
          <w:vertAlign w:val="baseline"/>
        </w:rPr>
        <w:tab/>
      </w:r>
      <w:r>
        <w:rPr>
          <w:sz w:val="22"/>
          <w:szCs w:val="22"/>
          <w:vertAlign w:val="baseline"/>
        </w:rPr>
        <w:tab/>
      </w:r>
      <w:r>
        <w:rPr>
          <w:sz w:val="22"/>
          <w:szCs w:val="22"/>
          <w:vertAlign w:val="baseline"/>
        </w:rPr>
        <w:tab/>
      </w:r>
      <w:r>
        <w:rPr>
          <w:sz w:val="22"/>
          <w:szCs w:val="22"/>
          <w:vertAlign w:val="baseline"/>
        </w:rPr>
        <w:tab/>
      </w:r>
      <w:r>
        <w:rPr>
          <w:sz w:val="22"/>
          <w:szCs w:val="22"/>
          <w:vertAlign w:val="baseline"/>
        </w:rPr>
        <w:tab/>
      </w:r>
      <w:r w:rsidR="00F52789" w:rsidRPr="00F52789">
        <w:rPr>
          <w:b/>
          <w:sz w:val="22"/>
          <w:szCs w:val="22"/>
          <w:vertAlign w:val="baseline"/>
        </w:rPr>
        <w:t>31.</w:t>
      </w:r>
      <w:r w:rsidR="00F52789" w:rsidRPr="00E1118C">
        <w:rPr>
          <w:b/>
          <w:sz w:val="22"/>
          <w:szCs w:val="22"/>
          <w:vertAlign w:val="baseline"/>
        </w:rPr>
        <w:t xml:space="preserve"> </w:t>
      </w:r>
      <w:r w:rsidR="00F52789" w:rsidRPr="00F52789">
        <w:rPr>
          <w:b/>
          <w:sz w:val="22"/>
          <w:szCs w:val="22"/>
          <w:vertAlign w:val="baseline"/>
        </w:rPr>
        <w:t>5.</w:t>
      </w:r>
      <w:r w:rsidR="00F52789" w:rsidRPr="00E1118C">
        <w:rPr>
          <w:b/>
          <w:sz w:val="22"/>
          <w:szCs w:val="22"/>
          <w:vertAlign w:val="baseline"/>
        </w:rPr>
        <w:t xml:space="preserve"> </w:t>
      </w:r>
      <w:r w:rsidR="00F52789" w:rsidRPr="00F52789">
        <w:rPr>
          <w:b/>
          <w:sz w:val="22"/>
          <w:szCs w:val="22"/>
          <w:vertAlign w:val="baseline"/>
        </w:rPr>
        <w:t>2020</w:t>
      </w:r>
    </w:p>
    <w:p w14:paraId="2189349F" w14:textId="39A3F263" w:rsidR="00E1118C" w:rsidRPr="00A760AF" w:rsidRDefault="00F52789" w:rsidP="007F260B">
      <w:pPr>
        <w:widowControl w:val="0"/>
        <w:numPr>
          <w:ilvl w:val="1"/>
          <w:numId w:val="3"/>
        </w:numPr>
        <w:spacing w:before="200"/>
        <w:jc w:val="both"/>
        <w:rPr>
          <w:sz w:val="22"/>
          <w:vertAlign w:val="baseline"/>
        </w:rPr>
      </w:pPr>
      <w:r w:rsidRPr="00A760AF">
        <w:rPr>
          <w:sz w:val="22"/>
          <w:szCs w:val="22"/>
          <w:vertAlign w:val="baseline"/>
        </w:rPr>
        <w:t xml:space="preserve">termín odevzdání dokumentace skutečného provedení v systému BIM (v rozsahu dle </w:t>
      </w:r>
      <w:r w:rsidR="00F06D25" w:rsidRPr="00A760AF">
        <w:rPr>
          <w:sz w:val="22"/>
          <w:szCs w:val="22"/>
          <w:vertAlign w:val="baseline"/>
        </w:rPr>
        <w:br/>
      </w:r>
      <w:r w:rsidRPr="00A760AF">
        <w:rPr>
          <w:sz w:val="22"/>
          <w:szCs w:val="22"/>
          <w:vertAlign w:val="baseline"/>
        </w:rPr>
        <w:t xml:space="preserve">čl. III odst. 4 smlouvy) </w:t>
      </w:r>
      <w:r w:rsidR="00C4537C" w:rsidRPr="00A760AF">
        <w:rPr>
          <w:sz w:val="22"/>
          <w:vertAlign w:val="baseline"/>
        </w:rPr>
        <w:tab/>
      </w:r>
      <w:r w:rsidR="00C4537C" w:rsidRPr="00A760AF">
        <w:rPr>
          <w:sz w:val="22"/>
          <w:vertAlign w:val="baseline"/>
        </w:rPr>
        <w:tab/>
      </w:r>
      <w:r w:rsidR="00C4537C" w:rsidRPr="00A760AF">
        <w:rPr>
          <w:sz w:val="22"/>
          <w:vertAlign w:val="baseline"/>
        </w:rPr>
        <w:tab/>
      </w:r>
      <w:r w:rsidR="00C4537C" w:rsidRPr="00A760AF">
        <w:rPr>
          <w:sz w:val="22"/>
          <w:vertAlign w:val="baseline"/>
        </w:rPr>
        <w:tab/>
      </w:r>
      <w:r w:rsidR="00C4537C" w:rsidRPr="00A760AF">
        <w:rPr>
          <w:b/>
          <w:sz w:val="22"/>
          <w:vertAlign w:val="baseline"/>
        </w:rPr>
        <w:t>31. 3. 2020</w:t>
      </w:r>
      <w:r w:rsidR="00C4537C" w:rsidRPr="00A760AF">
        <w:rPr>
          <w:sz w:val="22"/>
          <w:vertAlign w:val="baseline"/>
        </w:rPr>
        <w:t>“</w:t>
      </w:r>
    </w:p>
    <w:p w14:paraId="27B4762E" w14:textId="798D94EF" w:rsidR="001B0BD8" w:rsidRDefault="000019B6" w:rsidP="005930E4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 w:rsidRPr="00297D87">
        <w:rPr>
          <w:sz w:val="22"/>
          <w:szCs w:val="22"/>
          <w:vertAlign w:val="baseline"/>
        </w:rPr>
        <w:t>Vzhledem k výše uvedeným změnám termínů se smluvní strany dohodly, že plnění dohodnuté stranami v rámci změnového listu ZL 181b</w:t>
      </w:r>
      <w:r w:rsidR="00C4537C">
        <w:rPr>
          <w:sz w:val="22"/>
          <w:szCs w:val="22"/>
          <w:vertAlign w:val="baseline"/>
        </w:rPr>
        <w:t xml:space="preserve"> (provedení Piazzetty)</w:t>
      </w:r>
      <w:r w:rsidRPr="00297D87">
        <w:rPr>
          <w:sz w:val="22"/>
          <w:szCs w:val="22"/>
          <w:vertAlign w:val="baseline"/>
        </w:rPr>
        <w:t xml:space="preserve"> se považují za samostatnou část díla</w:t>
      </w:r>
      <w:r w:rsidR="008E7023">
        <w:rPr>
          <w:sz w:val="22"/>
          <w:szCs w:val="22"/>
          <w:vertAlign w:val="baseline"/>
        </w:rPr>
        <w:t xml:space="preserve"> (dále jen „</w:t>
      </w:r>
      <w:r w:rsidR="008E7023" w:rsidRPr="008E7023">
        <w:rPr>
          <w:b/>
          <w:sz w:val="22"/>
          <w:szCs w:val="22"/>
          <w:vertAlign w:val="baseline"/>
        </w:rPr>
        <w:t>samostatné části díla</w:t>
      </w:r>
      <w:r w:rsidR="008E7023">
        <w:rPr>
          <w:sz w:val="22"/>
          <w:szCs w:val="22"/>
          <w:vertAlign w:val="baseline"/>
        </w:rPr>
        <w:t>“)</w:t>
      </w:r>
      <w:r w:rsidRPr="00297D87">
        <w:rPr>
          <w:sz w:val="22"/>
          <w:szCs w:val="22"/>
          <w:vertAlign w:val="baseline"/>
        </w:rPr>
        <w:t xml:space="preserve">, kterou zhotovitel dokončí a předá a objednatel </w:t>
      </w:r>
      <w:r w:rsidR="00297D87" w:rsidRPr="00297D87">
        <w:rPr>
          <w:sz w:val="22"/>
          <w:szCs w:val="22"/>
          <w:vertAlign w:val="baseline"/>
        </w:rPr>
        <w:t xml:space="preserve">takovou samostatnou část díla </w:t>
      </w:r>
      <w:r w:rsidRPr="00297D87">
        <w:rPr>
          <w:sz w:val="22"/>
          <w:szCs w:val="22"/>
          <w:vertAlign w:val="baseline"/>
        </w:rPr>
        <w:t>převezme po lhůtě (termínu) pro předání kompletního díla</w:t>
      </w:r>
      <w:r w:rsidR="00297D87" w:rsidRPr="00297D87">
        <w:rPr>
          <w:sz w:val="22"/>
          <w:szCs w:val="22"/>
          <w:vertAlign w:val="baseline"/>
        </w:rPr>
        <w:t xml:space="preserve"> stanovené v čl.</w:t>
      </w:r>
      <w:r w:rsidR="003804DE">
        <w:rPr>
          <w:sz w:val="22"/>
          <w:szCs w:val="22"/>
          <w:vertAlign w:val="baseline"/>
        </w:rPr>
        <w:t xml:space="preserve"> V, odst. 1, písm. d</w:t>
      </w:r>
      <w:r w:rsidR="00297D87" w:rsidRPr="00297D87">
        <w:rPr>
          <w:sz w:val="22"/>
          <w:szCs w:val="22"/>
          <w:vertAlign w:val="baseline"/>
        </w:rPr>
        <w:t>) Smlouvy</w:t>
      </w:r>
      <w:r w:rsidRPr="00297D87">
        <w:rPr>
          <w:sz w:val="22"/>
          <w:szCs w:val="22"/>
          <w:vertAlign w:val="baseline"/>
        </w:rPr>
        <w:t xml:space="preserve">. Předání a převzetí </w:t>
      </w:r>
      <w:r w:rsidR="00762065">
        <w:rPr>
          <w:sz w:val="22"/>
          <w:szCs w:val="22"/>
          <w:vertAlign w:val="baseline"/>
        </w:rPr>
        <w:t>samostatných částí díla</w:t>
      </w:r>
      <w:r w:rsidRPr="00297D87">
        <w:rPr>
          <w:sz w:val="22"/>
          <w:szCs w:val="22"/>
          <w:vertAlign w:val="baseline"/>
        </w:rPr>
        <w:t xml:space="preserve"> </w:t>
      </w:r>
      <w:r w:rsidR="00297D87" w:rsidRPr="00297D87">
        <w:rPr>
          <w:sz w:val="22"/>
          <w:szCs w:val="22"/>
          <w:vertAlign w:val="baseline"/>
        </w:rPr>
        <w:t>bude provedeno obdobně v souladu s podmínkami pro předání a převzetí díla dle Smlouvy.</w:t>
      </w:r>
      <w:r w:rsidR="001B0BD8">
        <w:rPr>
          <w:sz w:val="22"/>
          <w:szCs w:val="22"/>
          <w:vertAlign w:val="baseline"/>
        </w:rPr>
        <w:t xml:space="preserve"> </w:t>
      </w:r>
      <w:r w:rsidR="001B0BD8" w:rsidRPr="001B0BD8">
        <w:rPr>
          <w:sz w:val="22"/>
          <w:szCs w:val="22"/>
          <w:vertAlign w:val="baseline"/>
        </w:rPr>
        <w:t>Pro vyloučení pochybností smluvní strany prohlašují, že tam, kde se ve Smlouvě používá nebo odkazuje na termín „kompletní dílo“</w:t>
      </w:r>
      <w:r w:rsidR="001B0BD8">
        <w:rPr>
          <w:sz w:val="22"/>
          <w:szCs w:val="22"/>
          <w:vertAlign w:val="baseline"/>
        </w:rPr>
        <w:t xml:space="preserve"> a/nebo „hotové dílo“</w:t>
      </w:r>
      <w:r w:rsidR="00DD494E">
        <w:rPr>
          <w:sz w:val="22"/>
          <w:szCs w:val="22"/>
          <w:vertAlign w:val="baseline"/>
        </w:rPr>
        <w:t xml:space="preserve"> a/nebo „dokončené dílo“</w:t>
      </w:r>
      <w:r w:rsidR="0055547D">
        <w:rPr>
          <w:sz w:val="22"/>
          <w:szCs w:val="22"/>
          <w:vertAlign w:val="baseline"/>
        </w:rPr>
        <w:t xml:space="preserve"> a/nebo „dílo“</w:t>
      </w:r>
      <w:r w:rsidR="001B0BD8" w:rsidRPr="001B0BD8">
        <w:rPr>
          <w:sz w:val="22"/>
          <w:szCs w:val="22"/>
          <w:vertAlign w:val="baseline"/>
        </w:rPr>
        <w:t>, má se tím namysli dílo bez samostatných částí díla.</w:t>
      </w:r>
      <w:r w:rsidR="005930E4">
        <w:rPr>
          <w:sz w:val="22"/>
          <w:szCs w:val="22"/>
          <w:vertAlign w:val="baseline"/>
        </w:rPr>
        <w:t>“</w:t>
      </w:r>
    </w:p>
    <w:p w14:paraId="512681F3" w14:textId="77777777" w:rsidR="001B0BD8" w:rsidRPr="001B0BD8" w:rsidRDefault="001B0BD8" w:rsidP="00F06D25">
      <w:pPr>
        <w:pStyle w:val="Odstavecseseznamem"/>
        <w:widowControl w:val="0"/>
        <w:rPr>
          <w:sz w:val="22"/>
          <w:szCs w:val="22"/>
          <w:vertAlign w:val="baseline"/>
        </w:rPr>
      </w:pPr>
    </w:p>
    <w:p w14:paraId="063A00AB" w14:textId="4A9AB5B2" w:rsidR="0043405C" w:rsidRPr="005930E4" w:rsidRDefault="0043405C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 w:rsidRPr="005930E4">
        <w:rPr>
          <w:b/>
          <w:sz w:val="22"/>
          <w:szCs w:val="22"/>
          <w:vertAlign w:val="baseline"/>
        </w:rPr>
        <w:t>V čl. XVII. „Předání a převzetí díla“ se odst. 3 ruší a nově zní takto:</w:t>
      </w:r>
    </w:p>
    <w:p w14:paraId="7A385192" w14:textId="77777777" w:rsidR="0043405C" w:rsidRDefault="0043405C" w:rsidP="00F06D25">
      <w:pPr>
        <w:pStyle w:val="Odstavecseseznamem"/>
        <w:widowControl w:val="0"/>
        <w:spacing w:before="200"/>
        <w:jc w:val="both"/>
        <w:rPr>
          <w:b/>
          <w:sz w:val="22"/>
          <w:szCs w:val="22"/>
          <w:vertAlign w:val="baseline"/>
        </w:rPr>
      </w:pPr>
    </w:p>
    <w:p w14:paraId="5D9E49BF" w14:textId="77777777" w:rsidR="009F61A3" w:rsidRDefault="009F61A3" w:rsidP="00F06D25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„ 3</w:t>
      </w:r>
      <w:r w:rsidR="00EA5D78">
        <w:rPr>
          <w:sz w:val="22"/>
          <w:szCs w:val="22"/>
          <w:vertAlign w:val="baseline"/>
        </w:rPr>
        <w:t>.</w:t>
      </w:r>
      <w:r>
        <w:t xml:space="preserve"> </w:t>
      </w:r>
      <w:r w:rsidRPr="009F61A3">
        <w:rPr>
          <w:sz w:val="22"/>
          <w:szCs w:val="22"/>
          <w:vertAlign w:val="baseline"/>
        </w:rPr>
        <w:t>Nebezpečí škody přechází na objednatele předáním části díla, a to v rozsahu části díla, která byla objednateli předána</w:t>
      </w:r>
      <w:r>
        <w:rPr>
          <w:sz w:val="22"/>
          <w:szCs w:val="22"/>
          <w:vertAlign w:val="baseline"/>
        </w:rPr>
        <w:t xml:space="preserve"> </w:t>
      </w:r>
      <w:r w:rsidRPr="009F61A3">
        <w:rPr>
          <w:sz w:val="22"/>
          <w:szCs w:val="22"/>
          <w:vertAlign w:val="baseline"/>
        </w:rPr>
        <w:t>a objednatelem převzata.</w:t>
      </w:r>
      <w:r>
        <w:rPr>
          <w:sz w:val="22"/>
          <w:szCs w:val="22"/>
          <w:vertAlign w:val="baseline"/>
        </w:rPr>
        <w:t>“</w:t>
      </w:r>
    </w:p>
    <w:p w14:paraId="1C7FFA08" w14:textId="77777777" w:rsidR="00EA5D78" w:rsidRPr="0043405C" w:rsidRDefault="00EA5D78" w:rsidP="00F06D25">
      <w:pPr>
        <w:pStyle w:val="Odstavecseseznamem"/>
        <w:widowControl w:val="0"/>
        <w:spacing w:before="200"/>
        <w:jc w:val="both"/>
        <w:rPr>
          <w:b/>
          <w:sz w:val="22"/>
          <w:szCs w:val="22"/>
          <w:vertAlign w:val="baseline"/>
        </w:rPr>
      </w:pPr>
    </w:p>
    <w:p w14:paraId="74A7CFFB" w14:textId="0E55FAD4" w:rsidR="00EA5D78" w:rsidRPr="005930E4" w:rsidRDefault="00EA5D78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 w:rsidRPr="005930E4">
        <w:rPr>
          <w:b/>
          <w:sz w:val="22"/>
          <w:szCs w:val="22"/>
          <w:vertAlign w:val="baseline"/>
        </w:rPr>
        <w:t>V čl. X. „Záruka za dílo, provádění servisu“ se odst. 1 a 2 ruší a nově zní takto:</w:t>
      </w:r>
    </w:p>
    <w:p w14:paraId="64E2D089" w14:textId="77777777" w:rsidR="00EA5D78" w:rsidRDefault="00EA5D78" w:rsidP="00F06D25">
      <w:pPr>
        <w:pStyle w:val="Odstavecseseznamem"/>
        <w:widowControl w:val="0"/>
        <w:spacing w:before="200"/>
        <w:jc w:val="both"/>
        <w:rPr>
          <w:b/>
          <w:sz w:val="22"/>
          <w:szCs w:val="22"/>
          <w:vertAlign w:val="baseline"/>
        </w:rPr>
      </w:pPr>
    </w:p>
    <w:p w14:paraId="6C66F773" w14:textId="77777777" w:rsidR="00EA5D78" w:rsidRDefault="00EA5D78" w:rsidP="00F06D25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„ 1. </w:t>
      </w:r>
      <w:r w:rsidRPr="00EA5D78">
        <w:rPr>
          <w:sz w:val="22"/>
          <w:szCs w:val="22"/>
          <w:vertAlign w:val="baseline"/>
        </w:rPr>
        <w:t>Zhotovitel bude odpovídat za vady díla, které se vyskytnou po převzetí díla objednatelem ve sjednaných záručních lhůtách. Tyto vady musí zhotovitel povinen v souladu s níže uvedenými podmínkami bezplatně odstranit. Práva z odpovědnosti za vady díla musí být písemně uplatněna objednatelem u zhotovitele nejpozději posledn</w:t>
      </w:r>
      <w:r>
        <w:rPr>
          <w:sz w:val="22"/>
          <w:szCs w:val="22"/>
          <w:vertAlign w:val="baseline"/>
        </w:rPr>
        <w:t>í den záruční doby, která činí:</w:t>
      </w:r>
    </w:p>
    <w:p w14:paraId="452FF542" w14:textId="77777777" w:rsidR="00EA5D78" w:rsidRDefault="00EA5D78" w:rsidP="00F06D25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5BE0AFD4" w14:textId="31D38A25" w:rsidR="00EA5D78" w:rsidRDefault="00EA5D78" w:rsidP="00631937">
      <w:pPr>
        <w:pStyle w:val="Odstavecseseznamem"/>
        <w:widowControl w:val="0"/>
        <w:numPr>
          <w:ilvl w:val="0"/>
          <w:numId w:val="19"/>
        </w:numPr>
        <w:spacing w:before="200"/>
        <w:jc w:val="both"/>
        <w:rPr>
          <w:sz w:val="22"/>
          <w:szCs w:val="22"/>
          <w:vertAlign w:val="baseline"/>
        </w:rPr>
      </w:pPr>
      <w:r w:rsidRPr="00EA5D78">
        <w:rPr>
          <w:b/>
          <w:sz w:val="22"/>
          <w:szCs w:val="22"/>
          <w:vertAlign w:val="baseline"/>
        </w:rPr>
        <w:t>60 měsíců</w:t>
      </w:r>
      <w:r>
        <w:rPr>
          <w:sz w:val="22"/>
          <w:szCs w:val="22"/>
          <w:vertAlign w:val="baseline"/>
        </w:rPr>
        <w:t xml:space="preserve"> na kompletní dílo (tj. bez samostatných částí dí</w:t>
      </w:r>
      <w:r w:rsidR="00A72243">
        <w:rPr>
          <w:sz w:val="22"/>
          <w:szCs w:val="22"/>
          <w:vertAlign w:val="baseline"/>
        </w:rPr>
        <w:t>la</w:t>
      </w:r>
      <w:r>
        <w:rPr>
          <w:sz w:val="22"/>
          <w:szCs w:val="22"/>
          <w:vertAlign w:val="baseline"/>
        </w:rPr>
        <w:t>)</w:t>
      </w:r>
    </w:p>
    <w:p w14:paraId="55C64376" w14:textId="77777777" w:rsidR="00EA5D78" w:rsidRDefault="00EA5D78" w:rsidP="00F06D25">
      <w:pPr>
        <w:pStyle w:val="Odstavecseseznamem"/>
        <w:widowControl w:val="0"/>
        <w:spacing w:before="200"/>
        <w:ind w:left="1440"/>
        <w:jc w:val="both"/>
        <w:rPr>
          <w:sz w:val="22"/>
          <w:szCs w:val="22"/>
          <w:vertAlign w:val="baseline"/>
        </w:rPr>
      </w:pPr>
    </w:p>
    <w:p w14:paraId="3216F1D7" w14:textId="33EB5DC2" w:rsidR="00EA5D78" w:rsidRPr="005D7D73" w:rsidRDefault="00EA5D78" w:rsidP="008A36BE">
      <w:pPr>
        <w:pStyle w:val="Odstavecseseznamem"/>
        <w:widowControl w:val="0"/>
        <w:numPr>
          <w:ilvl w:val="0"/>
          <w:numId w:val="19"/>
        </w:numPr>
        <w:spacing w:before="200"/>
        <w:jc w:val="both"/>
        <w:rPr>
          <w:sz w:val="22"/>
          <w:szCs w:val="22"/>
          <w:vertAlign w:val="baseline"/>
        </w:rPr>
      </w:pPr>
      <w:r w:rsidRPr="00EA5D78">
        <w:rPr>
          <w:b/>
          <w:sz w:val="22"/>
          <w:szCs w:val="22"/>
          <w:vertAlign w:val="baseline"/>
        </w:rPr>
        <w:t>60 měsíců</w:t>
      </w:r>
      <w:r w:rsidRPr="00EA5D78">
        <w:rPr>
          <w:sz w:val="22"/>
          <w:szCs w:val="22"/>
          <w:vertAlign w:val="baseline"/>
        </w:rPr>
        <w:t xml:space="preserve"> </w:t>
      </w:r>
      <w:r w:rsidR="003804DE">
        <w:rPr>
          <w:sz w:val="22"/>
          <w:szCs w:val="22"/>
          <w:vertAlign w:val="baseline"/>
        </w:rPr>
        <w:t xml:space="preserve">na </w:t>
      </w:r>
      <w:r w:rsidR="00747938">
        <w:rPr>
          <w:sz w:val="22"/>
          <w:szCs w:val="22"/>
          <w:vertAlign w:val="baseline"/>
        </w:rPr>
        <w:t>samostatné části díla</w:t>
      </w:r>
      <w:r w:rsidRPr="005D7D73">
        <w:rPr>
          <w:sz w:val="22"/>
          <w:szCs w:val="22"/>
          <w:vertAlign w:val="baseline"/>
        </w:rPr>
        <w:t>“</w:t>
      </w:r>
    </w:p>
    <w:p w14:paraId="35489521" w14:textId="77777777" w:rsidR="00EA5D78" w:rsidRPr="00EA5D78" w:rsidRDefault="00EA5D78" w:rsidP="00F06D25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4C1BE151" w14:textId="16414172" w:rsidR="00692411" w:rsidRDefault="00EA5D78" w:rsidP="0055547D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„ 2. Záruční doby </w:t>
      </w:r>
      <w:r w:rsidRPr="00EA5D78">
        <w:rPr>
          <w:sz w:val="22"/>
          <w:szCs w:val="22"/>
          <w:vertAlign w:val="baseline"/>
        </w:rPr>
        <w:t>začínají běžet ode dne protokolárního předání a převzetí dané části díla</w:t>
      </w:r>
      <w:r w:rsidR="003E2B04">
        <w:rPr>
          <w:sz w:val="22"/>
          <w:szCs w:val="22"/>
          <w:vertAlign w:val="baseline"/>
        </w:rPr>
        <w:t xml:space="preserve"> (čl. X, odst. 1, písm. a) a b))</w:t>
      </w:r>
      <w:r w:rsidRPr="00EA5D78">
        <w:rPr>
          <w:sz w:val="22"/>
          <w:szCs w:val="22"/>
          <w:vertAlign w:val="baseline"/>
        </w:rPr>
        <w:t>.</w:t>
      </w:r>
      <w:r>
        <w:rPr>
          <w:sz w:val="22"/>
          <w:szCs w:val="22"/>
          <w:vertAlign w:val="baseline"/>
        </w:rPr>
        <w:t>“</w:t>
      </w:r>
    </w:p>
    <w:p w14:paraId="6078795F" w14:textId="77777777" w:rsidR="0055547D" w:rsidRPr="0055547D" w:rsidRDefault="0055547D" w:rsidP="0055547D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661A33D4" w14:textId="6792F7FB" w:rsidR="009C018B" w:rsidRDefault="00692411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V čl. XI „Bankovní záruka“ s</w:t>
      </w:r>
      <w:r w:rsidR="006F29AB">
        <w:rPr>
          <w:b/>
          <w:sz w:val="22"/>
          <w:szCs w:val="22"/>
          <w:vertAlign w:val="baseline"/>
        </w:rPr>
        <w:t>e čl. XI, odst. 2, písm. c) ruší a nově zní takto</w:t>
      </w:r>
      <w:r w:rsidR="009C018B">
        <w:rPr>
          <w:b/>
          <w:sz w:val="22"/>
          <w:szCs w:val="22"/>
          <w:vertAlign w:val="baseline"/>
        </w:rPr>
        <w:t>:</w:t>
      </w:r>
    </w:p>
    <w:p w14:paraId="5F438E2A" w14:textId="77777777" w:rsidR="00692411" w:rsidRDefault="00692411" w:rsidP="00B6167C">
      <w:pPr>
        <w:pStyle w:val="Odstavecseseznamem"/>
        <w:widowControl w:val="0"/>
        <w:spacing w:before="200"/>
        <w:jc w:val="both"/>
        <w:rPr>
          <w:b/>
          <w:sz w:val="22"/>
          <w:szCs w:val="22"/>
          <w:vertAlign w:val="baseline"/>
        </w:rPr>
      </w:pPr>
    </w:p>
    <w:p w14:paraId="7E3B1BE3" w14:textId="602C2E0F" w:rsidR="00F34B2D" w:rsidRDefault="009C018B" w:rsidP="00B6167C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„</w:t>
      </w:r>
      <w:r w:rsidR="00692411">
        <w:rPr>
          <w:sz w:val="22"/>
          <w:szCs w:val="22"/>
          <w:vertAlign w:val="baseline"/>
        </w:rPr>
        <w:t xml:space="preserve"> </w:t>
      </w:r>
      <w:r w:rsidR="006F29AB">
        <w:rPr>
          <w:sz w:val="22"/>
          <w:szCs w:val="22"/>
          <w:vertAlign w:val="baseline"/>
        </w:rPr>
        <w:t>c) bankovní záruka za dodržení smluvních podmínek, kvality a termínů provedení díla</w:t>
      </w:r>
      <w:r w:rsidR="00652FD6">
        <w:rPr>
          <w:sz w:val="22"/>
          <w:szCs w:val="22"/>
          <w:vertAlign w:val="baseline"/>
        </w:rPr>
        <w:t xml:space="preserve"> (bez samostatných částí díla)</w:t>
      </w:r>
      <w:r w:rsidR="006F29AB">
        <w:rPr>
          <w:sz w:val="22"/>
          <w:szCs w:val="22"/>
          <w:vertAlign w:val="baseline"/>
        </w:rPr>
        <w:t xml:space="preserve"> bude objednatelem uvolněna dnem, </w:t>
      </w:r>
      <w:r w:rsidR="006F29AB" w:rsidRPr="006F29AB">
        <w:rPr>
          <w:sz w:val="22"/>
          <w:szCs w:val="22"/>
          <w:vertAlign w:val="baseline"/>
        </w:rPr>
        <w:t>kdy objednatel potvrdí závěrečný protokol o převzetí díla bez samostatných částí díla a zhotovitel předloží listinu příslušné bankovní záruky za odstraňování vad v záruční době dle čl. XI, odst. 3.</w:t>
      </w:r>
      <w:r w:rsidR="006F29AB">
        <w:rPr>
          <w:sz w:val="22"/>
          <w:szCs w:val="22"/>
          <w:vertAlign w:val="baseline"/>
        </w:rPr>
        <w:t>“</w:t>
      </w:r>
    </w:p>
    <w:p w14:paraId="56D73F26" w14:textId="45EDD5C0" w:rsidR="00F34B2D" w:rsidRDefault="00F34B2D" w:rsidP="00B6167C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129F7296" w14:textId="0684AACE" w:rsidR="00F34B2D" w:rsidRDefault="00F34B2D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V čl. XI „Bankovní záruka“ se čl. XI, odst. 3 ruší a nově zní takto:</w:t>
      </w:r>
    </w:p>
    <w:p w14:paraId="502E1318" w14:textId="77777777" w:rsidR="00F34B2D" w:rsidRDefault="00F34B2D" w:rsidP="00B6167C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44611684" w14:textId="6D1FC91A" w:rsidR="00F34B2D" w:rsidRPr="00B6167C" w:rsidRDefault="00F34B2D" w:rsidP="00B6167C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lastRenderedPageBreak/>
        <w:t xml:space="preserve">„ 3. </w:t>
      </w:r>
      <w:r w:rsidRPr="00B6167C">
        <w:rPr>
          <w:sz w:val="22"/>
          <w:szCs w:val="22"/>
          <w:vertAlign w:val="baseline"/>
        </w:rPr>
        <w:t>Po prot</w:t>
      </w:r>
      <w:r w:rsidRPr="00F34B2D">
        <w:rPr>
          <w:sz w:val="22"/>
          <w:szCs w:val="22"/>
          <w:vertAlign w:val="baseline"/>
        </w:rPr>
        <w:t xml:space="preserve">okolárním předání a převzetí kompletního </w:t>
      </w:r>
      <w:r>
        <w:rPr>
          <w:sz w:val="22"/>
          <w:szCs w:val="22"/>
          <w:vertAlign w:val="baseline"/>
        </w:rPr>
        <w:t>díla (bez samostatných částí)</w:t>
      </w:r>
      <w:r w:rsidRPr="00B6167C">
        <w:rPr>
          <w:sz w:val="22"/>
          <w:szCs w:val="22"/>
          <w:vertAlign w:val="baseline"/>
        </w:rPr>
        <w:t xml:space="preserve"> zhotovitel předloží objednateli bankovní záruku za odstraňování vad v záruční době. Bankovní záruka bude vystavena jako neodvolatelná a bezpodmínečná, přičemž banka se zavazuje k plnění bez námitek a na základě první výzvy oprávněného. Bankovní záruka musí splňovat tyto podmínky.</w:t>
      </w:r>
    </w:p>
    <w:p w14:paraId="0F026FA8" w14:textId="77777777" w:rsidR="00F34B2D" w:rsidRDefault="00F34B2D" w:rsidP="00B6167C">
      <w:pPr>
        <w:pStyle w:val="Odstavecseseznamem"/>
        <w:widowControl w:val="0"/>
        <w:spacing w:before="200"/>
        <w:ind w:left="1440"/>
        <w:rPr>
          <w:sz w:val="22"/>
          <w:szCs w:val="22"/>
          <w:vertAlign w:val="baseline"/>
        </w:rPr>
      </w:pPr>
    </w:p>
    <w:p w14:paraId="5BA99AD8" w14:textId="03CA9262" w:rsidR="00F34B2D" w:rsidRPr="00F34B2D" w:rsidRDefault="00F34B2D" w:rsidP="00B6167C">
      <w:pPr>
        <w:pStyle w:val="Odstavecseseznamem"/>
        <w:widowControl w:val="0"/>
        <w:numPr>
          <w:ilvl w:val="0"/>
          <w:numId w:val="21"/>
        </w:numPr>
        <w:spacing w:before="200"/>
        <w:jc w:val="both"/>
        <w:rPr>
          <w:sz w:val="22"/>
          <w:szCs w:val="22"/>
          <w:vertAlign w:val="baseline"/>
        </w:rPr>
      </w:pPr>
      <w:r w:rsidRPr="00F34B2D">
        <w:rPr>
          <w:sz w:val="22"/>
          <w:szCs w:val="22"/>
          <w:vertAlign w:val="baseline"/>
        </w:rPr>
        <w:t>výše zaj</w:t>
      </w:r>
      <w:r w:rsidR="00270E11">
        <w:rPr>
          <w:sz w:val="22"/>
          <w:szCs w:val="22"/>
          <w:vertAlign w:val="baseline"/>
        </w:rPr>
        <w:t>išťovací částky je minimálně 80.000.</w:t>
      </w:r>
      <w:r w:rsidRPr="00F34B2D">
        <w:rPr>
          <w:sz w:val="22"/>
          <w:szCs w:val="22"/>
          <w:vertAlign w:val="baseline"/>
        </w:rPr>
        <w:t xml:space="preserve">000,- Kč. Zhotovitel poskytne objednateli za řádné plnění záručních podmínek dle článku X. bankovní záruku, která bude platná po celou dobu záruční </w:t>
      </w:r>
      <w:r>
        <w:rPr>
          <w:sz w:val="22"/>
          <w:szCs w:val="22"/>
          <w:vertAlign w:val="baseline"/>
        </w:rPr>
        <w:t>doby</w:t>
      </w:r>
      <w:r w:rsidRPr="00F34B2D">
        <w:rPr>
          <w:sz w:val="22"/>
          <w:szCs w:val="22"/>
          <w:vertAlign w:val="baseline"/>
        </w:rPr>
        <w:t xml:space="preserve"> </w:t>
      </w:r>
      <w:r>
        <w:rPr>
          <w:sz w:val="22"/>
          <w:szCs w:val="22"/>
          <w:vertAlign w:val="baseline"/>
        </w:rPr>
        <w:t xml:space="preserve">kompletního </w:t>
      </w:r>
      <w:r w:rsidRPr="00F34B2D">
        <w:rPr>
          <w:sz w:val="22"/>
          <w:szCs w:val="22"/>
          <w:vertAlign w:val="baseline"/>
        </w:rPr>
        <w:t>díla</w:t>
      </w:r>
      <w:r>
        <w:rPr>
          <w:sz w:val="22"/>
          <w:szCs w:val="22"/>
          <w:vertAlign w:val="baseline"/>
        </w:rPr>
        <w:t xml:space="preserve"> bez samostatných částí díla</w:t>
      </w:r>
      <w:r w:rsidRPr="00F34B2D">
        <w:rPr>
          <w:sz w:val="22"/>
          <w:szCs w:val="22"/>
          <w:vertAlign w:val="baseline"/>
        </w:rPr>
        <w:t xml:space="preserve">. Bankovní záruka bude předána objednateli ke dni protokolárního předání a převzetí </w:t>
      </w:r>
      <w:r>
        <w:rPr>
          <w:sz w:val="22"/>
          <w:szCs w:val="22"/>
          <w:vertAlign w:val="baseline"/>
        </w:rPr>
        <w:t xml:space="preserve">kompletního </w:t>
      </w:r>
      <w:r w:rsidRPr="00F34B2D">
        <w:rPr>
          <w:sz w:val="22"/>
          <w:szCs w:val="22"/>
          <w:vertAlign w:val="baseline"/>
        </w:rPr>
        <w:t>díla</w:t>
      </w:r>
      <w:r>
        <w:rPr>
          <w:sz w:val="22"/>
          <w:szCs w:val="22"/>
          <w:vertAlign w:val="baseline"/>
        </w:rPr>
        <w:t xml:space="preserve"> (bez samostatných částí díla)</w:t>
      </w:r>
      <w:r w:rsidRPr="00F34B2D">
        <w:rPr>
          <w:sz w:val="22"/>
          <w:szCs w:val="22"/>
          <w:vertAlign w:val="baseline"/>
        </w:rPr>
        <w:t>.</w:t>
      </w:r>
    </w:p>
    <w:p w14:paraId="7FFB717F" w14:textId="77777777" w:rsidR="00F34B2D" w:rsidRDefault="00F34B2D" w:rsidP="00B6167C">
      <w:pPr>
        <w:pStyle w:val="Odstavecseseznamem"/>
        <w:widowControl w:val="0"/>
        <w:spacing w:before="200"/>
        <w:ind w:left="1440"/>
        <w:jc w:val="both"/>
        <w:rPr>
          <w:sz w:val="22"/>
          <w:szCs w:val="22"/>
          <w:vertAlign w:val="baseline"/>
        </w:rPr>
      </w:pPr>
    </w:p>
    <w:p w14:paraId="14A648F5" w14:textId="6B824770" w:rsidR="00F34B2D" w:rsidRPr="00F34B2D" w:rsidRDefault="00F34B2D" w:rsidP="00B6167C">
      <w:pPr>
        <w:pStyle w:val="Odstavecseseznamem"/>
        <w:widowControl w:val="0"/>
        <w:numPr>
          <w:ilvl w:val="0"/>
          <w:numId w:val="21"/>
        </w:numPr>
        <w:spacing w:before="200"/>
        <w:jc w:val="both"/>
        <w:rPr>
          <w:sz w:val="22"/>
          <w:szCs w:val="22"/>
          <w:vertAlign w:val="baseline"/>
        </w:rPr>
      </w:pPr>
      <w:r w:rsidRPr="00F34B2D">
        <w:rPr>
          <w:sz w:val="22"/>
          <w:szCs w:val="22"/>
          <w:vertAlign w:val="baseline"/>
        </w:rPr>
        <w:t>právo z bankovní záruky je objednatel oprávněn uplatnit v případech, že zhotovitel nebude řádně plnit záruční podmínky, neodstraní v dohodnuté lhůtě objednatelem reklamované vady, nebude na reklamaci včas reagovat nebo neuhradí objednateli způsobenou škodu či smluvní pokutu, k níž je podle smlouvy povinen,</w:t>
      </w:r>
    </w:p>
    <w:p w14:paraId="21672327" w14:textId="77777777" w:rsidR="00F34B2D" w:rsidRDefault="00F34B2D" w:rsidP="0055547D">
      <w:pPr>
        <w:pStyle w:val="Odstavecseseznamem"/>
        <w:widowControl w:val="0"/>
        <w:spacing w:before="200"/>
        <w:ind w:left="1440"/>
        <w:jc w:val="both"/>
        <w:rPr>
          <w:sz w:val="22"/>
          <w:szCs w:val="22"/>
          <w:vertAlign w:val="baseline"/>
        </w:rPr>
      </w:pPr>
    </w:p>
    <w:p w14:paraId="4A49957A" w14:textId="1EE70869" w:rsidR="00F34B2D" w:rsidRPr="00F34B2D" w:rsidRDefault="00F34B2D" w:rsidP="0055547D">
      <w:pPr>
        <w:pStyle w:val="Odstavecseseznamem"/>
        <w:widowControl w:val="0"/>
        <w:numPr>
          <w:ilvl w:val="0"/>
          <w:numId w:val="21"/>
        </w:numPr>
        <w:spacing w:before="200"/>
        <w:jc w:val="both"/>
        <w:rPr>
          <w:sz w:val="22"/>
          <w:szCs w:val="22"/>
          <w:vertAlign w:val="baseline"/>
        </w:rPr>
      </w:pPr>
      <w:r w:rsidRPr="00F34B2D">
        <w:rPr>
          <w:sz w:val="22"/>
          <w:szCs w:val="22"/>
          <w:vertAlign w:val="baseline"/>
        </w:rPr>
        <w:t xml:space="preserve">bankovní záruka bude objednatelem uvolněna bezodkladně po skončení záruční </w:t>
      </w:r>
      <w:r>
        <w:rPr>
          <w:sz w:val="22"/>
          <w:szCs w:val="22"/>
          <w:vertAlign w:val="baseline"/>
        </w:rPr>
        <w:t>doby</w:t>
      </w:r>
      <w:r w:rsidRPr="00F34B2D">
        <w:rPr>
          <w:sz w:val="22"/>
          <w:szCs w:val="22"/>
          <w:vertAlign w:val="baseline"/>
        </w:rPr>
        <w:t xml:space="preserve"> díla dle čl. X</w:t>
      </w:r>
      <w:r>
        <w:rPr>
          <w:sz w:val="22"/>
          <w:szCs w:val="22"/>
          <w:vertAlign w:val="baseline"/>
        </w:rPr>
        <w:t>, odst. 1 písm. a)</w:t>
      </w:r>
      <w:r w:rsidRPr="00F34B2D">
        <w:rPr>
          <w:sz w:val="22"/>
          <w:szCs w:val="22"/>
          <w:vertAlign w:val="baseline"/>
        </w:rPr>
        <w:t xml:space="preserve"> nebo po odstranění poslední reklamované vady v</w:t>
      </w:r>
      <w:r>
        <w:rPr>
          <w:sz w:val="22"/>
          <w:szCs w:val="22"/>
          <w:vertAlign w:val="baseline"/>
        </w:rPr>
        <w:t xml:space="preserve"> této </w:t>
      </w:r>
      <w:r w:rsidRPr="00F34B2D">
        <w:rPr>
          <w:sz w:val="22"/>
          <w:szCs w:val="22"/>
          <w:vertAlign w:val="baseline"/>
        </w:rPr>
        <w:t>záruční době.</w:t>
      </w:r>
    </w:p>
    <w:p w14:paraId="2F9FEB3B" w14:textId="77777777" w:rsidR="00F34B2D" w:rsidRDefault="00F34B2D" w:rsidP="0055547D">
      <w:pPr>
        <w:pStyle w:val="Odstavecseseznamem"/>
        <w:widowControl w:val="0"/>
        <w:spacing w:before="200"/>
        <w:ind w:left="1440"/>
        <w:jc w:val="both"/>
        <w:rPr>
          <w:sz w:val="22"/>
          <w:szCs w:val="22"/>
          <w:vertAlign w:val="baseline"/>
        </w:rPr>
      </w:pPr>
    </w:p>
    <w:p w14:paraId="03F84530" w14:textId="7B0C249B" w:rsidR="00F34B2D" w:rsidRPr="00F34B2D" w:rsidRDefault="00F34B2D" w:rsidP="0055547D">
      <w:pPr>
        <w:pStyle w:val="Odstavecseseznamem"/>
        <w:widowControl w:val="0"/>
        <w:numPr>
          <w:ilvl w:val="0"/>
          <w:numId w:val="21"/>
        </w:numPr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j</w:t>
      </w:r>
      <w:r w:rsidRPr="00F34B2D">
        <w:rPr>
          <w:sz w:val="22"/>
          <w:szCs w:val="22"/>
          <w:vertAlign w:val="baseline"/>
        </w:rPr>
        <w:t>estliže zhotovitel nepředloží bankovní záruku za odstraňování vad v záruční době ke dni protok</w:t>
      </w:r>
      <w:r>
        <w:rPr>
          <w:sz w:val="22"/>
          <w:szCs w:val="22"/>
          <w:vertAlign w:val="baseline"/>
        </w:rPr>
        <w:t>olárního předání a převzetí kompletního díla (bez samostatných částí díla)</w:t>
      </w:r>
      <w:r w:rsidRPr="00F34B2D">
        <w:rPr>
          <w:sz w:val="22"/>
          <w:szCs w:val="22"/>
          <w:vertAlign w:val="baseline"/>
        </w:rPr>
        <w:t xml:space="preserve">, není objednatel povinen </w:t>
      </w:r>
      <w:r>
        <w:rPr>
          <w:sz w:val="22"/>
          <w:szCs w:val="22"/>
          <w:vertAlign w:val="baseline"/>
        </w:rPr>
        <w:t xml:space="preserve">tuto část </w:t>
      </w:r>
      <w:r w:rsidRPr="00F34B2D">
        <w:rPr>
          <w:sz w:val="22"/>
          <w:szCs w:val="22"/>
          <w:vertAlign w:val="baseline"/>
        </w:rPr>
        <w:t>převzít.</w:t>
      </w:r>
      <w:r>
        <w:rPr>
          <w:sz w:val="22"/>
          <w:szCs w:val="22"/>
          <w:vertAlign w:val="baseline"/>
        </w:rPr>
        <w:t>“</w:t>
      </w:r>
    </w:p>
    <w:p w14:paraId="28377C9C" w14:textId="77777777" w:rsidR="00F34B2D" w:rsidRDefault="00F34B2D" w:rsidP="00692411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54BD8FD5" w14:textId="6703E46C" w:rsidR="00F34B2D" w:rsidRDefault="00F34B2D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V čl. XI „Bankovní záruka“ se za odst. 3 vkládá nový odstavec 3a. v tomto znění:</w:t>
      </w:r>
    </w:p>
    <w:p w14:paraId="61D4915F" w14:textId="77777777" w:rsidR="00F34B2D" w:rsidRDefault="00F34B2D" w:rsidP="00692411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6B57C63F" w14:textId="0D1CA685" w:rsidR="00692411" w:rsidRPr="00692411" w:rsidRDefault="00F34B2D" w:rsidP="00692411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„ 3a.</w:t>
      </w:r>
      <w:r w:rsidR="009C018B">
        <w:rPr>
          <w:sz w:val="22"/>
          <w:szCs w:val="22"/>
          <w:vertAlign w:val="baseline"/>
        </w:rPr>
        <w:t xml:space="preserve"> </w:t>
      </w:r>
      <w:r w:rsidR="009C018B" w:rsidRPr="0055547D">
        <w:rPr>
          <w:sz w:val="22"/>
          <w:szCs w:val="22"/>
          <w:vertAlign w:val="baseline"/>
        </w:rPr>
        <w:t>Po protokolárním předání a převzetí</w:t>
      </w:r>
      <w:r w:rsidR="0055547D">
        <w:rPr>
          <w:sz w:val="22"/>
          <w:szCs w:val="22"/>
          <w:vertAlign w:val="baseline"/>
        </w:rPr>
        <w:t xml:space="preserve"> samostatných částí díla</w:t>
      </w:r>
      <w:r w:rsidR="009C018B" w:rsidRPr="0055547D">
        <w:rPr>
          <w:sz w:val="22"/>
          <w:szCs w:val="22"/>
          <w:vertAlign w:val="baseline"/>
        </w:rPr>
        <w:t xml:space="preserve"> zhotovitel předloží objednateli rovněž bankovní záruku za </w:t>
      </w:r>
      <w:r w:rsidR="009C018B">
        <w:rPr>
          <w:sz w:val="22"/>
          <w:szCs w:val="22"/>
          <w:vertAlign w:val="baseline"/>
        </w:rPr>
        <w:t xml:space="preserve">odstraňování vad samostatných částí díla </w:t>
      </w:r>
      <w:r w:rsidR="001C0D92">
        <w:rPr>
          <w:sz w:val="22"/>
          <w:szCs w:val="22"/>
          <w:vertAlign w:val="baseline"/>
        </w:rPr>
        <w:t>v záruční době dle článku</w:t>
      </w:r>
      <w:r w:rsidR="009C018B">
        <w:rPr>
          <w:sz w:val="22"/>
          <w:szCs w:val="22"/>
          <w:vertAlign w:val="baseline"/>
        </w:rPr>
        <w:t xml:space="preserve"> X, odst. 1</w:t>
      </w:r>
      <w:r w:rsidR="0055547D">
        <w:rPr>
          <w:sz w:val="22"/>
          <w:szCs w:val="22"/>
          <w:vertAlign w:val="baseline"/>
        </w:rPr>
        <w:t>, písm. b</w:t>
      </w:r>
      <w:r w:rsidR="009C018B">
        <w:rPr>
          <w:sz w:val="22"/>
          <w:szCs w:val="22"/>
          <w:vertAlign w:val="baseline"/>
        </w:rPr>
        <w:t>)</w:t>
      </w:r>
      <w:r w:rsidR="009C018B" w:rsidRPr="0055547D">
        <w:rPr>
          <w:sz w:val="22"/>
          <w:szCs w:val="22"/>
          <w:vertAlign w:val="baseline"/>
        </w:rPr>
        <w:t xml:space="preserve">. </w:t>
      </w:r>
      <w:r w:rsidR="00692411" w:rsidRPr="00692411">
        <w:rPr>
          <w:sz w:val="22"/>
          <w:szCs w:val="22"/>
          <w:vertAlign w:val="baseline"/>
        </w:rPr>
        <w:t>Bankovní záruka bude vystavena jako neodvolatelná a bezpodmínečná, přičemž banka se zavazuje k plnění bez námitek a na základě první výzvy oprávněného. Bankovní záruka musí splňovat tyto podmínky.</w:t>
      </w:r>
    </w:p>
    <w:p w14:paraId="588B98C0" w14:textId="77777777" w:rsidR="00692411" w:rsidRDefault="00692411" w:rsidP="00692411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61D10D91" w14:textId="74AA2851" w:rsidR="00692411" w:rsidRDefault="00692411" w:rsidP="0055547D">
      <w:pPr>
        <w:pStyle w:val="Odstavecseseznamem"/>
        <w:widowControl w:val="0"/>
        <w:numPr>
          <w:ilvl w:val="0"/>
          <w:numId w:val="20"/>
        </w:numPr>
        <w:spacing w:before="200"/>
        <w:jc w:val="both"/>
        <w:rPr>
          <w:sz w:val="22"/>
          <w:szCs w:val="22"/>
          <w:vertAlign w:val="baseline"/>
        </w:rPr>
      </w:pPr>
      <w:r w:rsidRPr="00692411">
        <w:rPr>
          <w:sz w:val="22"/>
          <w:szCs w:val="22"/>
          <w:vertAlign w:val="baseline"/>
        </w:rPr>
        <w:t xml:space="preserve">výše zajišťovací částky je minimálně </w:t>
      </w:r>
      <w:r w:rsidR="00270E11">
        <w:rPr>
          <w:color w:val="000000"/>
          <w:sz w:val="22"/>
          <w:szCs w:val="22"/>
          <w:vertAlign w:val="baseline"/>
        </w:rPr>
        <w:t>399.</w:t>
      </w:r>
      <w:r w:rsidR="00270E11" w:rsidRPr="00270E11">
        <w:rPr>
          <w:color w:val="000000"/>
          <w:sz w:val="22"/>
          <w:szCs w:val="22"/>
          <w:vertAlign w:val="baseline"/>
        </w:rPr>
        <w:t>421</w:t>
      </w:r>
      <w:r w:rsidR="00370FBC">
        <w:rPr>
          <w:color w:val="000000"/>
          <w:sz w:val="22"/>
          <w:szCs w:val="22"/>
          <w:vertAlign w:val="baseline"/>
        </w:rPr>
        <w:t>,- Kč</w:t>
      </w:r>
      <w:r w:rsidRPr="00692411">
        <w:rPr>
          <w:sz w:val="22"/>
          <w:szCs w:val="22"/>
          <w:vertAlign w:val="baseline"/>
        </w:rPr>
        <w:t xml:space="preserve">. Zhotovitel poskytne objednateli za řádné plnění záručních podmínek dle </w:t>
      </w:r>
      <w:r>
        <w:rPr>
          <w:sz w:val="22"/>
          <w:szCs w:val="22"/>
          <w:vertAlign w:val="baseline"/>
        </w:rPr>
        <w:t>článku X.</w:t>
      </w:r>
      <w:r w:rsidRPr="00692411">
        <w:rPr>
          <w:sz w:val="22"/>
          <w:szCs w:val="22"/>
          <w:vertAlign w:val="baseline"/>
        </w:rPr>
        <w:t xml:space="preserve"> bankovní záruku, která bude platná po celou dobu záruční </w:t>
      </w:r>
      <w:r>
        <w:rPr>
          <w:sz w:val="22"/>
          <w:szCs w:val="22"/>
          <w:vertAlign w:val="baseline"/>
        </w:rPr>
        <w:t>doby dle</w:t>
      </w:r>
      <w:r w:rsidRPr="00692411">
        <w:rPr>
          <w:sz w:val="22"/>
          <w:szCs w:val="22"/>
          <w:vertAlign w:val="baseline"/>
        </w:rPr>
        <w:t xml:space="preserve"> článku X.</w:t>
      </w:r>
      <w:r>
        <w:rPr>
          <w:sz w:val="22"/>
          <w:szCs w:val="22"/>
          <w:vertAlign w:val="baseline"/>
        </w:rPr>
        <w:t>, odst.</w:t>
      </w:r>
      <w:r w:rsidR="0055547D">
        <w:rPr>
          <w:sz w:val="22"/>
          <w:szCs w:val="22"/>
          <w:vertAlign w:val="baseline"/>
        </w:rPr>
        <w:t xml:space="preserve"> 1, písm. b</w:t>
      </w:r>
      <w:r>
        <w:rPr>
          <w:sz w:val="22"/>
          <w:szCs w:val="22"/>
          <w:vertAlign w:val="baseline"/>
        </w:rPr>
        <w:t>)</w:t>
      </w:r>
      <w:r w:rsidRPr="00692411">
        <w:rPr>
          <w:sz w:val="22"/>
          <w:szCs w:val="22"/>
          <w:vertAlign w:val="baseline"/>
        </w:rPr>
        <w:t>. Bankovní záruka bude předána objednateli ke dni protok</w:t>
      </w:r>
      <w:r w:rsidR="001C0D92">
        <w:rPr>
          <w:sz w:val="22"/>
          <w:szCs w:val="22"/>
          <w:vertAlign w:val="baseline"/>
        </w:rPr>
        <w:t>olárního předání a převzetí samostatné</w:t>
      </w:r>
      <w:r>
        <w:rPr>
          <w:sz w:val="22"/>
          <w:szCs w:val="22"/>
          <w:vertAlign w:val="baseline"/>
        </w:rPr>
        <w:t xml:space="preserve"> částí díla</w:t>
      </w:r>
      <w:r w:rsidRPr="00692411">
        <w:rPr>
          <w:sz w:val="22"/>
          <w:szCs w:val="22"/>
          <w:vertAlign w:val="baseline"/>
        </w:rPr>
        <w:t>.</w:t>
      </w:r>
    </w:p>
    <w:p w14:paraId="70B4E37E" w14:textId="77777777" w:rsidR="00692411" w:rsidRDefault="00692411" w:rsidP="0055547D">
      <w:pPr>
        <w:pStyle w:val="Odstavecseseznamem"/>
        <w:widowControl w:val="0"/>
        <w:spacing w:before="200"/>
        <w:ind w:left="1080"/>
        <w:jc w:val="both"/>
        <w:rPr>
          <w:sz w:val="22"/>
          <w:szCs w:val="22"/>
          <w:vertAlign w:val="baseline"/>
        </w:rPr>
      </w:pPr>
    </w:p>
    <w:p w14:paraId="2903B631" w14:textId="77777777" w:rsidR="00692411" w:rsidRDefault="00692411" w:rsidP="0055547D">
      <w:pPr>
        <w:pStyle w:val="Odstavecseseznamem"/>
        <w:widowControl w:val="0"/>
        <w:numPr>
          <w:ilvl w:val="0"/>
          <w:numId w:val="20"/>
        </w:numPr>
        <w:spacing w:before="200"/>
        <w:jc w:val="both"/>
        <w:rPr>
          <w:sz w:val="22"/>
          <w:szCs w:val="22"/>
          <w:vertAlign w:val="baseline"/>
        </w:rPr>
      </w:pPr>
      <w:r w:rsidRPr="0055547D">
        <w:rPr>
          <w:sz w:val="22"/>
          <w:szCs w:val="22"/>
          <w:vertAlign w:val="baseline"/>
        </w:rPr>
        <w:t>právo z bankovní záruky je objednatel oprávněn uplatnit v případech, že zhotovitel nebude řádně plnit záruční podmínky, neodstraní v dohodnuté lhůtě objednatelem reklamované vady, nebude na reklamaci včas reagovat nebo neuhradí objednateli způsobenou škodu či smluvní pokutu, k níž je podle smlouvy povinen,</w:t>
      </w:r>
    </w:p>
    <w:p w14:paraId="0E7143CE" w14:textId="77777777" w:rsidR="00692411" w:rsidRPr="0055547D" w:rsidRDefault="00692411" w:rsidP="0055547D">
      <w:pPr>
        <w:pStyle w:val="Odstavecseseznamem"/>
        <w:rPr>
          <w:sz w:val="22"/>
          <w:szCs w:val="22"/>
          <w:vertAlign w:val="baseline"/>
        </w:rPr>
      </w:pPr>
    </w:p>
    <w:p w14:paraId="7059FCFB" w14:textId="1C2BE580" w:rsidR="00692411" w:rsidRDefault="00692411" w:rsidP="0055547D">
      <w:pPr>
        <w:pStyle w:val="Odstavecseseznamem"/>
        <w:widowControl w:val="0"/>
        <w:numPr>
          <w:ilvl w:val="0"/>
          <w:numId w:val="20"/>
        </w:numPr>
        <w:spacing w:before="200"/>
        <w:jc w:val="both"/>
        <w:rPr>
          <w:sz w:val="22"/>
          <w:szCs w:val="22"/>
          <w:vertAlign w:val="baseline"/>
        </w:rPr>
      </w:pPr>
      <w:r w:rsidRPr="0055547D">
        <w:rPr>
          <w:sz w:val="22"/>
          <w:szCs w:val="22"/>
          <w:vertAlign w:val="baseline"/>
        </w:rPr>
        <w:t xml:space="preserve">bankovní záruka bude objednatelem uvolněna bezodkladně po skončení záruční </w:t>
      </w:r>
      <w:r>
        <w:rPr>
          <w:sz w:val="22"/>
          <w:szCs w:val="22"/>
          <w:vertAlign w:val="baseline"/>
        </w:rPr>
        <w:t xml:space="preserve">doby díla dle </w:t>
      </w:r>
      <w:r w:rsidRPr="00692411">
        <w:rPr>
          <w:sz w:val="22"/>
          <w:szCs w:val="22"/>
          <w:vertAlign w:val="baseline"/>
        </w:rPr>
        <w:t>článku X.</w:t>
      </w:r>
      <w:r>
        <w:rPr>
          <w:sz w:val="22"/>
          <w:szCs w:val="22"/>
          <w:vertAlign w:val="baseline"/>
        </w:rPr>
        <w:t>, odst.</w:t>
      </w:r>
      <w:r w:rsidR="0055547D">
        <w:rPr>
          <w:sz w:val="22"/>
          <w:szCs w:val="22"/>
          <w:vertAlign w:val="baseline"/>
        </w:rPr>
        <w:t xml:space="preserve"> 1, písm. b</w:t>
      </w:r>
      <w:r>
        <w:rPr>
          <w:sz w:val="22"/>
          <w:szCs w:val="22"/>
          <w:vertAlign w:val="baseline"/>
        </w:rPr>
        <w:t>)</w:t>
      </w:r>
      <w:r w:rsidRPr="00692411">
        <w:rPr>
          <w:sz w:val="22"/>
          <w:szCs w:val="22"/>
          <w:vertAlign w:val="baseline"/>
        </w:rPr>
        <w:t xml:space="preserve"> </w:t>
      </w:r>
      <w:r w:rsidRPr="0055547D">
        <w:rPr>
          <w:sz w:val="22"/>
          <w:szCs w:val="22"/>
          <w:vertAlign w:val="baseline"/>
        </w:rPr>
        <w:t>nebo po odstranění poslední reklamované vady v záruční době díla</w:t>
      </w:r>
      <w:r>
        <w:rPr>
          <w:sz w:val="22"/>
          <w:szCs w:val="22"/>
          <w:vertAlign w:val="baseline"/>
        </w:rPr>
        <w:t xml:space="preserve"> dle </w:t>
      </w:r>
      <w:r w:rsidRPr="00692411">
        <w:rPr>
          <w:sz w:val="22"/>
          <w:szCs w:val="22"/>
          <w:vertAlign w:val="baseline"/>
        </w:rPr>
        <w:t>článku X.</w:t>
      </w:r>
      <w:r>
        <w:rPr>
          <w:sz w:val="22"/>
          <w:szCs w:val="22"/>
          <w:vertAlign w:val="baseline"/>
        </w:rPr>
        <w:t>, odst.</w:t>
      </w:r>
      <w:r w:rsidR="0055547D">
        <w:rPr>
          <w:sz w:val="22"/>
          <w:szCs w:val="22"/>
          <w:vertAlign w:val="baseline"/>
        </w:rPr>
        <w:t xml:space="preserve"> 1, písm. b</w:t>
      </w:r>
      <w:r>
        <w:rPr>
          <w:sz w:val="22"/>
          <w:szCs w:val="22"/>
          <w:vertAlign w:val="baseline"/>
        </w:rPr>
        <w:t>)</w:t>
      </w:r>
      <w:r w:rsidRPr="0055547D">
        <w:rPr>
          <w:sz w:val="22"/>
          <w:szCs w:val="22"/>
          <w:vertAlign w:val="baseline"/>
        </w:rPr>
        <w:t>.</w:t>
      </w:r>
    </w:p>
    <w:p w14:paraId="474B112F" w14:textId="77777777" w:rsidR="00692411" w:rsidRPr="0055547D" w:rsidRDefault="00692411" w:rsidP="0055547D">
      <w:pPr>
        <w:pStyle w:val="Odstavecseseznamem"/>
        <w:rPr>
          <w:sz w:val="22"/>
          <w:szCs w:val="22"/>
          <w:vertAlign w:val="baseline"/>
        </w:rPr>
      </w:pPr>
    </w:p>
    <w:p w14:paraId="22CD72A7" w14:textId="329A3C74" w:rsidR="009C018B" w:rsidRDefault="00692411" w:rsidP="0055547D">
      <w:pPr>
        <w:pStyle w:val="Odstavecseseznamem"/>
        <w:widowControl w:val="0"/>
        <w:numPr>
          <w:ilvl w:val="0"/>
          <w:numId w:val="20"/>
        </w:numPr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j</w:t>
      </w:r>
      <w:r w:rsidRPr="0055547D">
        <w:rPr>
          <w:sz w:val="22"/>
          <w:szCs w:val="22"/>
          <w:vertAlign w:val="baseline"/>
        </w:rPr>
        <w:t xml:space="preserve">estliže zhotovitel nepředloží bankovní záruku za odstraňování vad v záruční době ke dni protokolárního předání a převzetí </w:t>
      </w:r>
      <w:r>
        <w:rPr>
          <w:sz w:val="22"/>
          <w:szCs w:val="22"/>
          <w:vertAlign w:val="baseline"/>
        </w:rPr>
        <w:t>samostatných částí díla</w:t>
      </w:r>
      <w:r w:rsidRPr="0055547D">
        <w:rPr>
          <w:sz w:val="22"/>
          <w:szCs w:val="22"/>
          <w:vertAlign w:val="baseline"/>
        </w:rPr>
        <w:t xml:space="preserve">, není objednatel povinen </w:t>
      </w:r>
      <w:r>
        <w:rPr>
          <w:sz w:val="22"/>
          <w:szCs w:val="22"/>
          <w:vertAlign w:val="baseline"/>
        </w:rPr>
        <w:t>tuto část</w:t>
      </w:r>
      <w:r w:rsidRPr="0055547D">
        <w:rPr>
          <w:sz w:val="22"/>
          <w:szCs w:val="22"/>
          <w:vertAlign w:val="baseline"/>
        </w:rPr>
        <w:t xml:space="preserve"> převzít.</w:t>
      </w:r>
      <w:r>
        <w:rPr>
          <w:sz w:val="22"/>
          <w:szCs w:val="22"/>
          <w:vertAlign w:val="baseline"/>
        </w:rPr>
        <w:t>“</w:t>
      </w:r>
    </w:p>
    <w:p w14:paraId="48EBA1BA" w14:textId="77777777" w:rsidR="005930E4" w:rsidRPr="005930E4" w:rsidRDefault="005930E4" w:rsidP="005930E4">
      <w:pPr>
        <w:pStyle w:val="Odstavecseseznamem"/>
        <w:rPr>
          <w:sz w:val="22"/>
          <w:szCs w:val="22"/>
          <w:vertAlign w:val="baseline"/>
        </w:rPr>
      </w:pPr>
    </w:p>
    <w:p w14:paraId="739F7F82" w14:textId="77777777" w:rsidR="005930E4" w:rsidRDefault="005930E4" w:rsidP="005930E4">
      <w:pPr>
        <w:pStyle w:val="Odstavecseseznamem"/>
        <w:widowControl w:val="0"/>
        <w:spacing w:before="200"/>
        <w:ind w:left="1080"/>
        <w:jc w:val="both"/>
        <w:rPr>
          <w:sz w:val="22"/>
          <w:szCs w:val="22"/>
          <w:vertAlign w:val="baseline"/>
        </w:rPr>
      </w:pPr>
    </w:p>
    <w:p w14:paraId="2A122342" w14:textId="2FFD6C40" w:rsidR="00692411" w:rsidRPr="00CE2842" w:rsidRDefault="00692411" w:rsidP="00CE2842">
      <w:pPr>
        <w:rPr>
          <w:sz w:val="22"/>
          <w:szCs w:val="22"/>
          <w:vertAlign w:val="baseline"/>
        </w:rPr>
      </w:pPr>
    </w:p>
    <w:p w14:paraId="462E5BC4" w14:textId="3ED996CC" w:rsidR="00F06D25" w:rsidRDefault="002F0050" w:rsidP="005930E4">
      <w:pPr>
        <w:pStyle w:val="Odstavecseseznamem"/>
        <w:widowControl w:val="0"/>
        <w:numPr>
          <w:ilvl w:val="0"/>
          <w:numId w:val="24"/>
        </w:numPr>
        <w:spacing w:before="200"/>
        <w:jc w:val="both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 xml:space="preserve">V čl. XI „Bankovní záruka“ se </w:t>
      </w:r>
      <w:r w:rsidR="00B6167C">
        <w:rPr>
          <w:b/>
          <w:sz w:val="22"/>
          <w:szCs w:val="22"/>
          <w:vertAlign w:val="baseline"/>
        </w:rPr>
        <w:t>za odst. 6 vkládá nový odstavec 7 v tomto znění:</w:t>
      </w:r>
      <w:r>
        <w:rPr>
          <w:b/>
          <w:sz w:val="22"/>
          <w:szCs w:val="22"/>
          <w:vertAlign w:val="baseline"/>
        </w:rPr>
        <w:t>:</w:t>
      </w:r>
    </w:p>
    <w:p w14:paraId="34BDD3A9" w14:textId="055E21F3" w:rsidR="0055547D" w:rsidRDefault="002F0050" w:rsidP="0055547D">
      <w:pPr>
        <w:pStyle w:val="Zkladntextodsazen"/>
        <w:spacing w:before="200"/>
        <w:ind w:left="72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„7. </w:t>
      </w:r>
      <w:r w:rsidR="00B6167C">
        <w:rPr>
          <w:sz w:val="22"/>
          <w:szCs w:val="22"/>
          <w:vertAlign w:val="baseline"/>
        </w:rPr>
        <w:t>Po protokolárním předání a převzetí kompletního díla (bez samostatných částí díla) zhotovitel předloží objednateli bankovní záruku k zajištění smluvní podmínek, kvality a termínů provedení samostatných částí díla (tj.</w:t>
      </w:r>
      <w:r w:rsidR="0055547D">
        <w:rPr>
          <w:sz w:val="22"/>
          <w:szCs w:val="22"/>
          <w:vertAlign w:val="baseline"/>
        </w:rPr>
        <w:t xml:space="preserve"> </w:t>
      </w:r>
      <w:r w:rsidR="00B6167C">
        <w:rPr>
          <w:sz w:val="22"/>
          <w:szCs w:val="22"/>
          <w:vertAlign w:val="baseline"/>
        </w:rPr>
        <w:t>zajištění p</w:t>
      </w:r>
      <w:r w:rsidR="00B6167C" w:rsidRPr="00B6167C">
        <w:rPr>
          <w:sz w:val="22"/>
          <w:szCs w:val="22"/>
          <w:vertAlign w:val="baseline"/>
        </w:rPr>
        <w:t>lnění veškerých dluhů</w:t>
      </w:r>
      <w:r w:rsidR="00B6167C">
        <w:rPr>
          <w:sz w:val="22"/>
          <w:szCs w:val="22"/>
          <w:vertAlign w:val="baseline"/>
        </w:rPr>
        <w:t xml:space="preserve"> souvisejících se samostatnými částmi díla</w:t>
      </w:r>
      <w:r w:rsidR="00B6167C" w:rsidRPr="00B6167C">
        <w:rPr>
          <w:sz w:val="22"/>
          <w:szCs w:val="22"/>
          <w:vertAlign w:val="baseline"/>
        </w:rPr>
        <w:t xml:space="preserve"> (závazků, povinností) vyplývajících pro zhotovitel</w:t>
      </w:r>
      <w:r w:rsidR="00B6167C">
        <w:rPr>
          <w:sz w:val="22"/>
          <w:szCs w:val="22"/>
          <w:vertAlign w:val="baseline"/>
        </w:rPr>
        <w:t>e z této smlouvy či postupu jejich</w:t>
      </w:r>
      <w:r w:rsidR="00B6167C" w:rsidRPr="00B6167C">
        <w:rPr>
          <w:sz w:val="22"/>
          <w:szCs w:val="22"/>
          <w:vertAlign w:val="baseline"/>
        </w:rPr>
        <w:t xml:space="preserve"> plnění nebo z jej</w:t>
      </w:r>
      <w:r w:rsidR="00B6167C">
        <w:rPr>
          <w:sz w:val="22"/>
          <w:szCs w:val="22"/>
          <w:vertAlign w:val="baseline"/>
        </w:rPr>
        <w:t>ich</w:t>
      </w:r>
      <w:r w:rsidR="00B6167C" w:rsidRPr="00B6167C">
        <w:rPr>
          <w:sz w:val="22"/>
          <w:szCs w:val="22"/>
          <w:vertAlign w:val="baseline"/>
        </w:rPr>
        <w:t xml:space="preserve"> porušení zhotovitelem (včetně smluvní pokuty, náhrady škody, vydá</w:t>
      </w:r>
      <w:r w:rsidR="0055547D">
        <w:rPr>
          <w:sz w:val="22"/>
          <w:szCs w:val="22"/>
          <w:vertAlign w:val="baseline"/>
        </w:rPr>
        <w:t xml:space="preserve">ní bezdůvodné obohacení, apod.). Tato bankovní záruka </w:t>
      </w:r>
      <w:r w:rsidR="00B6167C" w:rsidRPr="00B6167C">
        <w:rPr>
          <w:sz w:val="22"/>
          <w:szCs w:val="22"/>
          <w:vertAlign w:val="baseline"/>
        </w:rPr>
        <w:t>bude ve smyslu ustanovení § 2029 a násl. občanského zákoníku platn</w:t>
      </w:r>
      <w:r w:rsidR="0055547D">
        <w:rPr>
          <w:sz w:val="22"/>
          <w:szCs w:val="22"/>
          <w:vertAlign w:val="baseline"/>
        </w:rPr>
        <w:t>á</w:t>
      </w:r>
      <w:r w:rsidR="00B6167C" w:rsidRPr="00B6167C">
        <w:rPr>
          <w:sz w:val="22"/>
          <w:szCs w:val="22"/>
          <w:vertAlign w:val="baseline"/>
        </w:rPr>
        <w:t xml:space="preserve"> a účinn</w:t>
      </w:r>
      <w:r w:rsidR="0055547D">
        <w:rPr>
          <w:sz w:val="22"/>
          <w:szCs w:val="22"/>
          <w:vertAlign w:val="baseline"/>
        </w:rPr>
        <w:t>á</w:t>
      </w:r>
      <w:r w:rsidR="00B6167C" w:rsidRPr="00B6167C">
        <w:rPr>
          <w:sz w:val="22"/>
          <w:szCs w:val="22"/>
          <w:vertAlign w:val="baseline"/>
        </w:rPr>
        <w:t xml:space="preserve"> po celou dobu provádění </w:t>
      </w:r>
      <w:r w:rsidR="0055547D">
        <w:rPr>
          <w:sz w:val="22"/>
          <w:szCs w:val="22"/>
          <w:vertAlign w:val="baseline"/>
        </w:rPr>
        <w:t xml:space="preserve">samostatných částí </w:t>
      </w:r>
      <w:r w:rsidR="00B6167C" w:rsidRPr="00B6167C">
        <w:rPr>
          <w:sz w:val="22"/>
          <w:szCs w:val="22"/>
          <w:vertAlign w:val="baseline"/>
        </w:rPr>
        <w:t xml:space="preserve">díla a </w:t>
      </w:r>
      <w:r w:rsidR="0055547D">
        <w:rPr>
          <w:sz w:val="22"/>
          <w:szCs w:val="22"/>
          <w:vertAlign w:val="baseline"/>
        </w:rPr>
        <w:t xml:space="preserve">bude </w:t>
      </w:r>
      <w:r w:rsidR="00B6167C" w:rsidRPr="00B6167C">
        <w:rPr>
          <w:sz w:val="22"/>
          <w:szCs w:val="22"/>
          <w:vertAlign w:val="baseline"/>
        </w:rPr>
        <w:t>vystaven</w:t>
      </w:r>
      <w:r w:rsidR="0055547D">
        <w:rPr>
          <w:sz w:val="22"/>
          <w:szCs w:val="22"/>
          <w:vertAlign w:val="baseline"/>
        </w:rPr>
        <w:t>á</w:t>
      </w:r>
      <w:r w:rsidR="00B6167C" w:rsidRPr="00B6167C">
        <w:rPr>
          <w:sz w:val="22"/>
          <w:szCs w:val="22"/>
          <w:vertAlign w:val="baseline"/>
        </w:rPr>
        <w:t xml:space="preserve"> ve prospěch objednatele jako oprávněného. Bankovní záruka bude vystavena jako neodvolatelná a bezpodmínečná, přičemž banka se zaváže k plnění bez námitek a na základě první výzvy oprávněného. Bankovní záru</w:t>
      </w:r>
      <w:r w:rsidR="0055547D">
        <w:rPr>
          <w:sz w:val="22"/>
          <w:szCs w:val="22"/>
          <w:vertAlign w:val="baseline"/>
        </w:rPr>
        <w:t>ka musí splňovat tyto podmínky:</w:t>
      </w:r>
    </w:p>
    <w:p w14:paraId="2E197856" w14:textId="541D0D8D" w:rsidR="00B6167C" w:rsidRPr="00B6167C" w:rsidRDefault="0055547D" w:rsidP="0055547D">
      <w:pPr>
        <w:pStyle w:val="Zkladntextodsazen"/>
        <w:spacing w:before="200"/>
        <w:ind w:left="72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a) </w:t>
      </w:r>
      <w:r w:rsidR="00B6167C" w:rsidRPr="00B6167C">
        <w:rPr>
          <w:sz w:val="22"/>
          <w:szCs w:val="22"/>
          <w:vertAlign w:val="baseline"/>
        </w:rPr>
        <w:t>výše bankovní záruky bude nejméně</w:t>
      </w:r>
      <w:r w:rsidR="00270E11">
        <w:t> </w:t>
      </w:r>
      <w:r w:rsidR="00270E11">
        <w:rPr>
          <w:color w:val="000000"/>
          <w:sz w:val="22"/>
          <w:szCs w:val="22"/>
          <w:vertAlign w:val="baseline"/>
        </w:rPr>
        <w:t>399.</w:t>
      </w:r>
      <w:r w:rsidR="00270E11" w:rsidRPr="00270E11">
        <w:rPr>
          <w:color w:val="000000"/>
          <w:sz w:val="22"/>
          <w:szCs w:val="22"/>
          <w:vertAlign w:val="baseline"/>
        </w:rPr>
        <w:t>421</w:t>
      </w:r>
      <w:r w:rsidR="00370FBC">
        <w:rPr>
          <w:color w:val="000000"/>
          <w:sz w:val="22"/>
          <w:szCs w:val="22"/>
          <w:vertAlign w:val="baseline"/>
        </w:rPr>
        <w:t>,- Kč</w:t>
      </w:r>
      <w:r w:rsidR="00B6167C" w:rsidRPr="00B6167C">
        <w:rPr>
          <w:sz w:val="22"/>
          <w:szCs w:val="22"/>
          <w:vertAlign w:val="baseline"/>
        </w:rPr>
        <w:t xml:space="preserve">. Bankovní záruka bude předána objednateli </w:t>
      </w:r>
      <w:r>
        <w:rPr>
          <w:sz w:val="22"/>
          <w:szCs w:val="22"/>
          <w:vertAlign w:val="baseline"/>
        </w:rPr>
        <w:t>ke dni protokolárního předání a převzetí kompletního díla (bez samostatných částí),</w:t>
      </w:r>
    </w:p>
    <w:p w14:paraId="222A4A38" w14:textId="72D3262C" w:rsidR="00B6167C" w:rsidRPr="00B6167C" w:rsidRDefault="00B6167C" w:rsidP="00B6167C">
      <w:pPr>
        <w:pStyle w:val="Zkladntextodsazen"/>
        <w:spacing w:before="200"/>
        <w:ind w:left="720"/>
        <w:jc w:val="both"/>
        <w:rPr>
          <w:sz w:val="22"/>
          <w:szCs w:val="22"/>
          <w:vertAlign w:val="baseline"/>
        </w:rPr>
      </w:pPr>
      <w:r w:rsidRPr="00B6167C">
        <w:rPr>
          <w:sz w:val="22"/>
          <w:szCs w:val="22"/>
          <w:vertAlign w:val="baseline"/>
        </w:rPr>
        <w:t>b)</w:t>
      </w:r>
      <w:r w:rsidR="0055547D">
        <w:rPr>
          <w:sz w:val="22"/>
          <w:szCs w:val="22"/>
          <w:vertAlign w:val="baseline"/>
        </w:rPr>
        <w:t xml:space="preserve"> </w:t>
      </w:r>
      <w:r w:rsidRPr="00B6167C">
        <w:rPr>
          <w:sz w:val="22"/>
          <w:szCs w:val="22"/>
          <w:vertAlign w:val="baseline"/>
        </w:rPr>
        <w:t xml:space="preserve">právo z bankovní záruky je objednatel oprávněn uplatnit v případech, že zhotovitel neprovádí </w:t>
      </w:r>
      <w:r w:rsidR="0055547D">
        <w:rPr>
          <w:sz w:val="22"/>
          <w:szCs w:val="22"/>
          <w:vertAlign w:val="baseline"/>
        </w:rPr>
        <w:t>samostatné části díla</w:t>
      </w:r>
      <w:r w:rsidRPr="00B6167C">
        <w:rPr>
          <w:sz w:val="22"/>
          <w:szCs w:val="22"/>
          <w:vertAlign w:val="baseline"/>
        </w:rPr>
        <w:t xml:space="preserve"> v souladu s podmínkami uzavřené smlouvy nebo neuhradí objednateli způsobenou škodu či smluvní pokutu, k níž je podle smlouvy povinen,</w:t>
      </w:r>
    </w:p>
    <w:p w14:paraId="1D839232" w14:textId="1C5E505C" w:rsidR="009C018B" w:rsidRPr="002F0050" w:rsidRDefault="00B6167C" w:rsidP="00270E11">
      <w:pPr>
        <w:pStyle w:val="Zkladntextodsazen"/>
        <w:spacing w:before="200" w:after="0"/>
        <w:ind w:left="720"/>
        <w:jc w:val="both"/>
        <w:rPr>
          <w:sz w:val="22"/>
          <w:szCs w:val="22"/>
          <w:vertAlign w:val="baseline"/>
        </w:rPr>
      </w:pPr>
      <w:r w:rsidRPr="00B6167C">
        <w:rPr>
          <w:sz w:val="22"/>
          <w:szCs w:val="22"/>
          <w:vertAlign w:val="baseline"/>
        </w:rPr>
        <w:t>c)</w:t>
      </w:r>
      <w:r w:rsidR="0055547D">
        <w:rPr>
          <w:sz w:val="22"/>
          <w:szCs w:val="22"/>
          <w:vertAlign w:val="baseline"/>
        </w:rPr>
        <w:t xml:space="preserve"> </w:t>
      </w:r>
      <w:r w:rsidRPr="00B6167C">
        <w:rPr>
          <w:sz w:val="22"/>
          <w:szCs w:val="22"/>
          <w:vertAlign w:val="baseline"/>
        </w:rPr>
        <w:t xml:space="preserve">bankovní záruka za dodržení smluvních podmínek, kvality a termínů provedení </w:t>
      </w:r>
      <w:r w:rsidR="0055547D">
        <w:rPr>
          <w:sz w:val="22"/>
          <w:szCs w:val="22"/>
          <w:vertAlign w:val="baseline"/>
        </w:rPr>
        <w:t xml:space="preserve">samostatných částí </w:t>
      </w:r>
      <w:r w:rsidRPr="00B6167C">
        <w:rPr>
          <w:sz w:val="22"/>
          <w:szCs w:val="22"/>
          <w:vertAlign w:val="baseline"/>
        </w:rPr>
        <w:t xml:space="preserve">díla bude objednatelem uvolněna dnem, kdy objednatel potvrdí zhotoviteli závěrečný protokol o převzetí </w:t>
      </w:r>
      <w:r w:rsidR="0055547D">
        <w:rPr>
          <w:sz w:val="22"/>
          <w:szCs w:val="22"/>
          <w:vertAlign w:val="baseline"/>
        </w:rPr>
        <w:t xml:space="preserve">samostatných částí </w:t>
      </w:r>
      <w:r w:rsidRPr="00B6167C">
        <w:rPr>
          <w:sz w:val="22"/>
          <w:szCs w:val="22"/>
          <w:vertAlign w:val="baseline"/>
        </w:rPr>
        <w:t>díla a zhotovitel předloží listinu příslušné bankovní záruky za odstraňování vad v záruční době dle čl. XI. 3</w:t>
      </w:r>
      <w:r w:rsidR="0055547D">
        <w:rPr>
          <w:sz w:val="22"/>
          <w:szCs w:val="22"/>
          <w:vertAlign w:val="baseline"/>
        </w:rPr>
        <w:t>a</w:t>
      </w:r>
      <w:r w:rsidRPr="00B6167C">
        <w:rPr>
          <w:sz w:val="22"/>
          <w:szCs w:val="22"/>
          <w:vertAlign w:val="baseline"/>
        </w:rPr>
        <w:t>.</w:t>
      </w:r>
    </w:p>
    <w:p w14:paraId="7478964C" w14:textId="69EF3F25" w:rsidR="00F06D25" w:rsidRDefault="00F06D25" w:rsidP="00F06D25">
      <w:pPr>
        <w:pStyle w:val="normln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Závěrečná ustanovení</w:t>
      </w:r>
    </w:p>
    <w:p w14:paraId="512AD9B8" w14:textId="77777777" w:rsidR="00F06D25" w:rsidRPr="00F06D25" w:rsidRDefault="00F06D25" w:rsidP="00F06D25">
      <w:pPr>
        <w:widowControl w:val="0"/>
        <w:numPr>
          <w:ilvl w:val="0"/>
          <w:numId w:val="15"/>
        </w:numPr>
        <w:tabs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F06D25">
        <w:rPr>
          <w:color w:val="000000"/>
          <w:sz w:val="22"/>
          <w:szCs w:val="22"/>
          <w:vertAlign w:val="baseline"/>
        </w:rPr>
        <w:t xml:space="preserve">Otázky výslovně tímto Dodatkem ke Smlouvě o dílo č. INV 799/2016 ze dne 20. 02. 2017 </w:t>
      </w:r>
      <w:r w:rsidRPr="00F06D25">
        <w:rPr>
          <w:color w:val="000000"/>
          <w:sz w:val="22"/>
          <w:szCs w:val="22"/>
          <w:vertAlign w:val="baseline"/>
        </w:rPr>
        <w:br/>
        <w:t>ve znění pozdějších dodatků neupravené se řídí českým právním řádem, zejména ustanoveními občanského zákoníku.</w:t>
      </w:r>
    </w:p>
    <w:p w14:paraId="73EF4846" w14:textId="77777777" w:rsidR="00F06D25" w:rsidRPr="00F06D25" w:rsidRDefault="00F06D25" w:rsidP="00F06D25">
      <w:pPr>
        <w:widowControl w:val="0"/>
        <w:numPr>
          <w:ilvl w:val="0"/>
          <w:numId w:val="15"/>
        </w:numPr>
        <w:tabs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F06D25">
        <w:rPr>
          <w:color w:val="000000"/>
          <w:sz w:val="22"/>
          <w:szCs w:val="22"/>
          <w:vertAlign w:val="baseline"/>
        </w:rPr>
        <w:t xml:space="preserve">Tento Dodatek je vyhotoven ve 4 vyhotoveních, z nichž objednatel obdrží 2 vyhotovení </w:t>
      </w:r>
      <w:r w:rsidRPr="00F06D25">
        <w:rPr>
          <w:color w:val="000000"/>
          <w:sz w:val="22"/>
          <w:szCs w:val="22"/>
          <w:vertAlign w:val="baseline"/>
        </w:rPr>
        <w:br/>
        <w:t xml:space="preserve">a zhotovitel rovněž 2 vyhotovení. </w:t>
      </w:r>
    </w:p>
    <w:p w14:paraId="3DB49CDE" w14:textId="77777777" w:rsidR="00F06D25" w:rsidRPr="00F06D25" w:rsidRDefault="00F06D25" w:rsidP="00F06D25">
      <w:pPr>
        <w:widowControl w:val="0"/>
        <w:numPr>
          <w:ilvl w:val="0"/>
          <w:numId w:val="15"/>
        </w:numPr>
        <w:tabs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F06D25">
        <w:rPr>
          <w:color w:val="000000"/>
          <w:sz w:val="22"/>
          <w:szCs w:val="22"/>
          <w:vertAlign w:val="baseline"/>
        </w:rPr>
        <w:t>Tento Dodatek nabývá platnosti dnem jeho podpisu smluvními stranami a účinnosti dnem jeho uveřejnění v registru smluv dle zákona č. 340/2015 Sb.</w:t>
      </w:r>
    </w:p>
    <w:p w14:paraId="54F2B8CE" w14:textId="77777777" w:rsidR="00F06D25" w:rsidRPr="00324275" w:rsidRDefault="00F06D25" w:rsidP="00F06D25">
      <w:pPr>
        <w:widowControl w:val="0"/>
        <w:numPr>
          <w:ilvl w:val="0"/>
          <w:numId w:val="15"/>
        </w:numPr>
        <w:tabs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324275">
        <w:rPr>
          <w:color w:val="000000"/>
          <w:sz w:val="22"/>
          <w:szCs w:val="22"/>
          <w:vertAlign w:val="baseline"/>
        </w:rPr>
        <w:t>Smluvní strany prohlašují, že tento Dodatek ke smlouvě byl sepsán podle jejich pravé a svobodné vůle, nikoli v tísni nebo za jinak jednostranně nevýhodných podmínek. Dodatek si přečetly, souhlasí bez výhrad s jeho obsahem a na důkaz toho připojují své podpisy.</w:t>
      </w:r>
    </w:p>
    <w:p w14:paraId="7EA88D99" w14:textId="77777777" w:rsidR="00F06D25" w:rsidRPr="00324275" w:rsidRDefault="00F06D25" w:rsidP="00F06D25">
      <w:pPr>
        <w:pStyle w:val="Zkladntextodsazen"/>
        <w:widowControl w:val="0"/>
        <w:numPr>
          <w:ilvl w:val="0"/>
          <w:numId w:val="15"/>
        </w:numPr>
        <w:tabs>
          <w:tab w:val="num" w:pos="284"/>
        </w:tabs>
        <w:spacing w:before="240" w:after="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324275">
        <w:rPr>
          <w:color w:val="000000"/>
          <w:sz w:val="22"/>
          <w:szCs w:val="22"/>
          <w:vertAlign w:val="baseline"/>
        </w:rPr>
        <w:t>Ostatní ustanovení a přílohy Smlouvy tímto Dodatkem nezměněné zůstávají v platnosti.</w:t>
      </w:r>
    </w:p>
    <w:p w14:paraId="234D33D3" w14:textId="4DE02752" w:rsidR="00F06D25" w:rsidRPr="00324275" w:rsidRDefault="00F06D25" w:rsidP="00F06D25">
      <w:pPr>
        <w:pStyle w:val="Zkladntextodsazen"/>
        <w:widowControl w:val="0"/>
        <w:spacing w:before="240" w:after="0"/>
        <w:ind w:left="284"/>
        <w:jc w:val="both"/>
        <w:rPr>
          <w:color w:val="000000"/>
          <w:sz w:val="22"/>
          <w:szCs w:val="22"/>
          <w:vertAlign w:val="baseline"/>
        </w:rPr>
      </w:pPr>
      <w:r w:rsidRPr="00324275">
        <w:rPr>
          <w:color w:val="000000"/>
          <w:sz w:val="22"/>
          <w:szCs w:val="22"/>
          <w:vertAlign w:val="baseline"/>
        </w:rPr>
        <w:t>Nedílnou součástí a přílohou tohoto Dodatku jsou tyto přílohy:</w:t>
      </w:r>
    </w:p>
    <w:p w14:paraId="63C9E843" w14:textId="77777777" w:rsidR="00F06D25" w:rsidRPr="00324275" w:rsidRDefault="00A72243" w:rsidP="00F06D25">
      <w:pPr>
        <w:pStyle w:val="Zkladntextodsazen"/>
        <w:widowControl w:val="0"/>
        <w:spacing w:before="240" w:after="0"/>
        <w:ind w:left="284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Příloha A - Příloha č. 33</w:t>
      </w:r>
      <w:r w:rsidR="00F06D25" w:rsidRPr="00324275">
        <w:rPr>
          <w:color w:val="000000"/>
          <w:sz w:val="22"/>
          <w:szCs w:val="22"/>
          <w:vertAlign w:val="baseline"/>
        </w:rPr>
        <w:t xml:space="preserve"> – Změnové listy ZL 181a a ZL 181b</w:t>
      </w:r>
    </w:p>
    <w:p w14:paraId="53E03E89" w14:textId="7E5C9746" w:rsidR="00F06D25" w:rsidRPr="00324275" w:rsidRDefault="00A72243" w:rsidP="00F06D25">
      <w:pPr>
        <w:pStyle w:val="Zkladntextodsazen"/>
        <w:widowControl w:val="0"/>
        <w:spacing w:before="240" w:after="0"/>
        <w:ind w:left="284"/>
        <w:jc w:val="both"/>
        <w:rPr>
          <w:color w:val="000000"/>
          <w:sz w:val="22"/>
          <w:szCs w:val="22"/>
          <w:vertAlign w:val="baseline"/>
        </w:rPr>
      </w:pPr>
      <w:r w:rsidRPr="007F260B">
        <w:rPr>
          <w:color w:val="000000"/>
          <w:sz w:val="22"/>
          <w:szCs w:val="22"/>
          <w:vertAlign w:val="baseline"/>
        </w:rPr>
        <w:t>Příloha B – Příloha č. 34</w:t>
      </w:r>
      <w:r w:rsidR="00F06D25" w:rsidRPr="007F260B">
        <w:rPr>
          <w:color w:val="000000"/>
          <w:sz w:val="22"/>
          <w:szCs w:val="22"/>
          <w:vertAlign w:val="baseline"/>
        </w:rPr>
        <w:t xml:space="preserve"> – </w:t>
      </w:r>
      <w:r w:rsidR="007F260B" w:rsidRPr="007F260B">
        <w:rPr>
          <w:color w:val="000000"/>
          <w:sz w:val="22"/>
          <w:szCs w:val="22"/>
          <w:vertAlign w:val="baseline"/>
        </w:rPr>
        <w:t>harmonogram Piazzetty</w:t>
      </w:r>
    </w:p>
    <w:p w14:paraId="5CCBF2B2" w14:textId="2B51511A" w:rsidR="00F06D25" w:rsidRDefault="00F06D25" w:rsidP="00F06D25">
      <w:pPr>
        <w:pStyle w:val="Zkladntextodsazen"/>
        <w:widowControl w:val="0"/>
        <w:ind w:left="284"/>
        <w:rPr>
          <w:color w:val="000000"/>
          <w:sz w:val="22"/>
          <w:szCs w:val="22"/>
          <w:vertAlign w:val="baseline"/>
        </w:rPr>
      </w:pPr>
    </w:p>
    <w:p w14:paraId="69A123E4" w14:textId="59245D40" w:rsidR="00270E11" w:rsidRDefault="00270E11" w:rsidP="00270E11">
      <w:pPr>
        <w:pStyle w:val="Zkladntextodsazen"/>
        <w:widowControl w:val="0"/>
        <w:ind w:left="284"/>
        <w:jc w:val="center"/>
        <w:rPr>
          <w:b/>
          <w:color w:val="000000"/>
          <w:sz w:val="22"/>
          <w:szCs w:val="22"/>
          <w:vertAlign w:val="baseline"/>
        </w:rPr>
      </w:pPr>
      <w:r w:rsidRPr="00270E11">
        <w:rPr>
          <w:b/>
          <w:color w:val="000000"/>
          <w:sz w:val="22"/>
          <w:szCs w:val="22"/>
          <w:vertAlign w:val="baseline"/>
        </w:rPr>
        <w:t>== PODPISY NÁSLEDUJÍ NA DALŠÍ STRANĚ ==</w:t>
      </w:r>
    </w:p>
    <w:p w14:paraId="631A4B8C" w14:textId="77777777" w:rsidR="00270E11" w:rsidRDefault="00270E11">
      <w:pPr>
        <w:spacing w:after="160" w:line="259" w:lineRule="auto"/>
        <w:rPr>
          <w:b/>
          <w:color w:val="000000"/>
          <w:sz w:val="22"/>
          <w:szCs w:val="22"/>
          <w:vertAlign w:val="baseline"/>
        </w:rPr>
      </w:pPr>
      <w:r>
        <w:rPr>
          <w:b/>
          <w:color w:val="000000"/>
          <w:sz w:val="22"/>
          <w:szCs w:val="22"/>
          <w:vertAlign w:val="baseline"/>
        </w:rPr>
        <w:br w:type="page"/>
      </w:r>
    </w:p>
    <w:p w14:paraId="3D4347C0" w14:textId="77777777" w:rsidR="00270E11" w:rsidRPr="00270E11" w:rsidRDefault="00270E11" w:rsidP="00270E11">
      <w:pPr>
        <w:pStyle w:val="Zkladntextodsazen"/>
        <w:widowControl w:val="0"/>
        <w:ind w:left="284"/>
        <w:jc w:val="center"/>
        <w:rPr>
          <w:b/>
          <w:color w:val="000000"/>
          <w:sz w:val="22"/>
          <w:szCs w:val="22"/>
          <w:vertAlign w:val="baseline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482"/>
        <w:gridCol w:w="388"/>
        <w:gridCol w:w="4202"/>
      </w:tblGrid>
      <w:tr w:rsidR="00F06D25" w:rsidRPr="00324275" w14:paraId="2378ABAC" w14:textId="77777777" w:rsidTr="00F06D25">
        <w:trPr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72A8A35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V Praze dne: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604CA2D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0CCFFA9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V Praze dne:</w:t>
            </w:r>
          </w:p>
        </w:tc>
      </w:tr>
      <w:tr w:rsidR="00F06D25" w:rsidRPr="00324275" w14:paraId="54A3E79D" w14:textId="77777777" w:rsidTr="00F06D25">
        <w:trPr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675E9E94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Za zhotovitele: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33F67D57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23349D3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Za objednatele:</w:t>
            </w:r>
          </w:p>
        </w:tc>
      </w:tr>
      <w:tr w:rsidR="00F06D25" w:rsidRPr="00324275" w14:paraId="1BC357BA" w14:textId="77777777" w:rsidTr="00F06D25">
        <w:trPr>
          <w:trHeight w:val="1257"/>
          <w:jc w:val="center"/>
        </w:trPr>
        <w:tc>
          <w:tcPr>
            <w:tcW w:w="250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EF94236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HOCHTIEF CZ a. s.</w:t>
            </w:r>
          </w:p>
          <w:p w14:paraId="2B6DD2BB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br/>
            </w:r>
          </w:p>
          <w:p w14:paraId="2F3A23DB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47E4CD1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  <w:p w14:paraId="5C55D9F9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  <w:p w14:paraId="6497FC72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35BC9D32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Národní divadlo</w:t>
            </w:r>
          </w:p>
          <w:p w14:paraId="1FE763B4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  <w:p w14:paraId="0AE8B062" w14:textId="77777777" w:rsidR="00F06D25" w:rsidRPr="00324275" w:rsidRDefault="00F06D25" w:rsidP="00F06D25">
            <w:pPr>
              <w:pStyle w:val="Zkladntext"/>
              <w:widowControl w:val="0"/>
              <w:spacing w:beforeLines="100" w:before="24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6D25" w:rsidRPr="00324275" w14:paraId="48AC570E" w14:textId="77777777" w:rsidTr="00F06D25">
        <w:trPr>
          <w:jc w:val="center"/>
        </w:trPr>
        <w:tc>
          <w:tcPr>
            <w:tcW w:w="2501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30092FEC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Ing. Tomáš Koranda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6B8030CC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2FDCE790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prof. MgA. Jan Burian</w:t>
            </w:r>
            <w:r w:rsidRPr="00324275">
              <w:rPr>
                <w:rFonts w:ascii="Times New Roman" w:hAnsi="Times New Roman" w:cs="Times New Roman"/>
                <w:i/>
                <w:szCs w:val="22"/>
                <w:shd w:val="clear" w:color="auto" w:fill="FFFF00"/>
              </w:rPr>
              <w:t xml:space="preserve"> </w:t>
            </w:r>
          </w:p>
        </w:tc>
      </w:tr>
      <w:tr w:rsidR="00F06D25" w:rsidRPr="00324275" w14:paraId="73B03A34" w14:textId="77777777" w:rsidTr="00F06D25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6948277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předseda představenstva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5A5DC28E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59FDABAF" w14:textId="77777777" w:rsidR="00F06D25" w:rsidRPr="00324275" w:rsidRDefault="00F06D25" w:rsidP="00F06D25">
            <w:pPr>
              <w:pStyle w:val="Zkladntext"/>
              <w:widowControl w:val="0"/>
              <w:ind w:left="171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ředitel</w:t>
            </w:r>
          </w:p>
        </w:tc>
      </w:tr>
      <w:tr w:rsidR="00F06D25" w:rsidRPr="00324275" w14:paraId="7AB047CF" w14:textId="77777777" w:rsidTr="00F06D25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4AB5D0BB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  <w:p w14:paraId="3C1568E1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1C655C81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79A6F64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6D25" w:rsidRPr="00324275" w14:paraId="72D4B7C3" w14:textId="77777777" w:rsidTr="00F06D25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7BFD366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51DCBFD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1327A43F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6D25" w:rsidRPr="00324275" w14:paraId="0FD2569B" w14:textId="77777777" w:rsidTr="00F06D25">
        <w:trPr>
          <w:trHeight w:val="597"/>
          <w:jc w:val="center"/>
        </w:trPr>
        <w:tc>
          <w:tcPr>
            <w:tcW w:w="250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59A9A7D" w14:textId="77777777" w:rsidR="00F06D25" w:rsidRPr="00324275" w:rsidRDefault="00F06D25" w:rsidP="00125BBB">
            <w:pPr>
              <w:pStyle w:val="Zkladntext"/>
              <w:widowControl w:val="0"/>
              <w:ind w:left="17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725A7EA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AA7BB88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6D25" w:rsidRPr="00324275" w14:paraId="02E0E551" w14:textId="77777777" w:rsidTr="00F06D25">
        <w:trPr>
          <w:trHeight w:val="60"/>
          <w:jc w:val="center"/>
        </w:trPr>
        <w:tc>
          <w:tcPr>
            <w:tcW w:w="2501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3513813" w14:textId="77777777" w:rsidR="00F06D25" w:rsidRPr="00324275" w:rsidRDefault="00F06D25" w:rsidP="00125BBB">
            <w:pPr>
              <w:pStyle w:val="Zkladntext"/>
              <w:widowControl w:val="0"/>
              <w:ind w:left="172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 xml:space="preserve">Jörg Mathew </w:t>
            </w:r>
          </w:p>
          <w:p w14:paraId="2DE0FA7C" w14:textId="77777777" w:rsidR="00F06D25" w:rsidRPr="00324275" w:rsidRDefault="00F06D25" w:rsidP="00125BBB">
            <w:pPr>
              <w:pStyle w:val="Zkladntext"/>
              <w:widowControl w:val="0"/>
              <w:ind w:left="172"/>
              <w:rPr>
                <w:rFonts w:ascii="Times New Roman" w:hAnsi="Times New Roman" w:cs="Times New Roman"/>
                <w:szCs w:val="22"/>
              </w:rPr>
            </w:pPr>
            <w:r w:rsidRPr="00324275">
              <w:rPr>
                <w:rFonts w:ascii="Times New Roman" w:hAnsi="Times New Roman" w:cs="Times New Roman"/>
                <w:szCs w:val="22"/>
              </w:rPr>
              <w:t>člen představenstva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2AF628C3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40867FC8" w14:textId="77777777" w:rsidR="00F06D25" w:rsidRPr="0032427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6D25" w:rsidRPr="00F06D25" w14:paraId="3FDF38F7" w14:textId="77777777" w:rsidTr="00F06D25">
        <w:trPr>
          <w:trHeight w:val="794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08C9F6BF" w14:textId="77777777" w:rsidR="00F06D25" w:rsidRPr="00F06D2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470BB835" w14:textId="77777777" w:rsidR="00F06D25" w:rsidRPr="00F06D2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27A6AA47" w14:textId="77777777" w:rsidR="00F06D25" w:rsidRPr="00F06D25" w:rsidRDefault="00F06D25" w:rsidP="00F06D25">
            <w:pPr>
              <w:pStyle w:val="Zkladntext"/>
              <w:widowControl w:val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1992708" w14:textId="77777777" w:rsidR="00F06D25" w:rsidRPr="00F06D25" w:rsidRDefault="00F06D25" w:rsidP="00F06D25">
      <w:pPr>
        <w:pStyle w:val="Zkladntextodsazen"/>
        <w:widowControl w:val="0"/>
        <w:ind w:left="0"/>
        <w:rPr>
          <w:sz w:val="22"/>
          <w:vertAlign w:val="baseline"/>
        </w:rPr>
      </w:pPr>
    </w:p>
    <w:p w14:paraId="1B7B4CCD" w14:textId="77777777" w:rsidR="00F06D25" w:rsidRPr="00F06D25" w:rsidRDefault="00F06D25" w:rsidP="00F06D25">
      <w:pPr>
        <w:pStyle w:val="Odstavecseseznamem"/>
        <w:widowControl w:val="0"/>
        <w:spacing w:before="200"/>
        <w:jc w:val="both"/>
        <w:rPr>
          <w:sz w:val="22"/>
          <w:szCs w:val="22"/>
          <w:vertAlign w:val="baseline"/>
        </w:rPr>
      </w:pPr>
    </w:p>
    <w:p w14:paraId="643E27B7" w14:textId="77777777" w:rsidR="00F52789" w:rsidRPr="00F06D25" w:rsidRDefault="00F52789" w:rsidP="00F06D25">
      <w:pPr>
        <w:widowControl w:val="0"/>
        <w:rPr>
          <w:vertAlign w:val="baseline"/>
        </w:rPr>
      </w:pPr>
    </w:p>
    <w:sectPr w:rsidR="00F52789" w:rsidRPr="00F06D25" w:rsidSect="00CE2842">
      <w:pgSz w:w="11906" w:h="16838"/>
      <w:pgMar w:top="1134" w:right="1417" w:bottom="1276" w:left="1417" w:header="708" w:footer="53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D4BE34" w16cid:durableId="217F7B11"/>
  <w16cid:commentId w16cid:paraId="10ED27A5" w16cid:durableId="217F7B12"/>
  <w16cid:commentId w16cid:paraId="288AA21F" w16cid:durableId="217F7B13"/>
  <w16cid:commentId w16cid:paraId="1303B8B3" w16cid:durableId="217F7CA1"/>
  <w16cid:commentId w16cid:paraId="547CBC0D" w16cid:durableId="217F7B14"/>
  <w16cid:commentId w16cid:paraId="75635954" w16cid:durableId="217F7C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97385" w14:textId="77777777" w:rsidR="000C583D" w:rsidRDefault="000C583D" w:rsidP="00A72243">
      <w:r>
        <w:separator/>
      </w:r>
    </w:p>
  </w:endnote>
  <w:endnote w:type="continuationSeparator" w:id="0">
    <w:p w14:paraId="43FE1879" w14:textId="77777777" w:rsidR="000C583D" w:rsidRDefault="000C583D" w:rsidP="00A72243">
      <w:r>
        <w:continuationSeparator/>
      </w:r>
    </w:p>
  </w:endnote>
  <w:endnote w:type="continuationNotice" w:id="1">
    <w:p w14:paraId="71CA8090" w14:textId="77777777" w:rsidR="000C583D" w:rsidRDefault="000C5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A2B36" w14:textId="77777777" w:rsidR="000C583D" w:rsidRDefault="000C583D" w:rsidP="00A72243">
      <w:r>
        <w:separator/>
      </w:r>
    </w:p>
  </w:footnote>
  <w:footnote w:type="continuationSeparator" w:id="0">
    <w:p w14:paraId="19CB715A" w14:textId="77777777" w:rsidR="000C583D" w:rsidRDefault="000C583D" w:rsidP="00A72243">
      <w:r>
        <w:continuationSeparator/>
      </w:r>
    </w:p>
  </w:footnote>
  <w:footnote w:type="continuationNotice" w:id="1">
    <w:p w14:paraId="1852B8FF" w14:textId="77777777" w:rsidR="000C583D" w:rsidRDefault="000C58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B42"/>
    <w:multiLevelType w:val="hybridMultilevel"/>
    <w:tmpl w:val="EA8A4564"/>
    <w:lvl w:ilvl="0" w:tplc="DE8AE6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CC7"/>
    <w:multiLevelType w:val="hybridMultilevel"/>
    <w:tmpl w:val="2E7CB6B8"/>
    <w:lvl w:ilvl="0" w:tplc="27263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E3DA0"/>
    <w:multiLevelType w:val="hybridMultilevel"/>
    <w:tmpl w:val="DDD4B784"/>
    <w:lvl w:ilvl="0" w:tplc="DE8AE6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50B0"/>
    <w:multiLevelType w:val="multilevel"/>
    <w:tmpl w:val="64A0D7D8"/>
    <w:lvl w:ilvl="0">
      <w:start w:val="1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E1A0042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382BA6"/>
    <w:multiLevelType w:val="hybridMultilevel"/>
    <w:tmpl w:val="573C28D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C016E"/>
    <w:multiLevelType w:val="hybridMultilevel"/>
    <w:tmpl w:val="65725108"/>
    <w:lvl w:ilvl="0" w:tplc="362A58E2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F0D59"/>
    <w:multiLevelType w:val="multilevel"/>
    <w:tmpl w:val="7016682C"/>
    <w:lvl w:ilvl="0">
      <w:start w:val="3"/>
      <w:numFmt w:val="decimal"/>
      <w:lvlText w:val="%1,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DA1574D"/>
    <w:multiLevelType w:val="hybridMultilevel"/>
    <w:tmpl w:val="D45EACF8"/>
    <w:lvl w:ilvl="0" w:tplc="F9F26D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53952"/>
    <w:multiLevelType w:val="multilevel"/>
    <w:tmpl w:val="94B20A36"/>
    <w:lvl w:ilvl="0">
      <w:start w:val="1"/>
      <w:numFmt w:val="lowerLetter"/>
      <w:lvlText w:val="%1)"/>
      <w:lvlJc w:val="left"/>
      <w:pPr>
        <w:ind w:left="96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960" w:firstLine="0"/>
      </w:pPr>
    </w:lvl>
    <w:lvl w:ilvl="2">
      <w:numFmt w:val="decimal"/>
      <w:lvlText w:val=""/>
      <w:lvlJc w:val="left"/>
      <w:pPr>
        <w:ind w:left="960" w:firstLine="0"/>
      </w:pPr>
    </w:lvl>
    <w:lvl w:ilvl="3">
      <w:numFmt w:val="decimal"/>
      <w:lvlText w:val=""/>
      <w:lvlJc w:val="left"/>
      <w:pPr>
        <w:ind w:left="960" w:firstLine="0"/>
      </w:pPr>
    </w:lvl>
    <w:lvl w:ilvl="4">
      <w:numFmt w:val="decimal"/>
      <w:lvlText w:val=""/>
      <w:lvlJc w:val="left"/>
      <w:pPr>
        <w:ind w:left="960" w:firstLine="0"/>
      </w:pPr>
    </w:lvl>
    <w:lvl w:ilvl="5">
      <w:numFmt w:val="decimal"/>
      <w:lvlText w:val=""/>
      <w:lvlJc w:val="left"/>
      <w:pPr>
        <w:ind w:left="960" w:firstLine="0"/>
      </w:pPr>
    </w:lvl>
    <w:lvl w:ilvl="6">
      <w:numFmt w:val="decimal"/>
      <w:lvlText w:val=""/>
      <w:lvlJc w:val="left"/>
      <w:pPr>
        <w:ind w:left="960" w:firstLine="0"/>
      </w:pPr>
    </w:lvl>
    <w:lvl w:ilvl="7">
      <w:numFmt w:val="decimal"/>
      <w:lvlText w:val=""/>
      <w:lvlJc w:val="left"/>
      <w:pPr>
        <w:ind w:left="960" w:firstLine="0"/>
      </w:pPr>
    </w:lvl>
    <w:lvl w:ilvl="8">
      <w:numFmt w:val="decimal"/>
      <w:lvlText w:val=""/>
      <w:lvlJc w:val="left"/>
      <w:pPr>
        <w:ind w:left="960" w:firstLine="0"/>
      </w:pPr>
    </w:lvl>
  </w:abstractNum>
  <w:abstractNum w:abstractNumId="13" w15:restartNumberingAfterBreak="0">
    <w:nsid w:val="57786BFC"/>
    <w:multiLevelType w:val="multilevel"/>
    <w:tmpl w:val="ECC863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BA05F7A"/>
    <w:multiLevelType w:val="hybridMultilevel"/>
    <w:tmpl w:val="905CC4F4"/>
    <w:lvl w:ilvl="0" w:tplc="E080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E75D57"/>
    <w:multiLevelType w:val="multilevel"/>
    <w:tmpl w:val="4AA060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FF211B7"/>
    <w:multiLevelType w:val="hybridMultilevel"/>
    <w:tmpl w:val="0C988F3C"/>
    <w:lvl w:ilvl="0" w:tplc="B55E727A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09452F"/>
    <w:multiLevelType w:val="hybridMultilevel"/>
    <w:tmpl w:val="738E988E"/>
    <w:lvl w:ilvl="0" w:tplc="CB3403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67246"/>
    <w:multiLevelType w:val="hybridMultilevel"/>
    <w:tmpl w:val="C0C4C0B2"/>
    <w:lvl w:ilvl="0" w:tplc="AB5C8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2D7079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1"/>
  </w:num>
  <w:num w:numId="5">
    <w:abstractNumId w:val="10"/>
  </w:num>
  <w:num w:numId="6">
    <w:abstractNumId w:val="14"/>
  </w:num>
  <w:num w:numId="7">
    <w:abstractNumId w:val="19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11"/>
  </w:num>
  <w:num w:numId="22">
    <w:abstractNumId w:val="16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89"/>
    <w:rsid w:val="000019B6"/>
    <w:rsid w:val="00007F25"/>
    <w:rsid w:val="000629C6"/>
    <w:rsid w:val="0008364F"/>
    <w:rsid w:val="00096E45"/>
    <w:rsid w:val="000C583D"/>
    <w:rsid w:val="0010003E"/>
    <w:rsid w:val="00125BBB"/>
    <w:rsid w:val="0018499F"/>
    <w:rsid w:val="001B0BD8"/>
    <w:rsid w:val="001C0D92"/>
    <w:rsid w:val="001E0D4F"/>
    <w:rsid w:val="00210677"/>
    <w:rsid w:val="0023089A"/>
    <w:rsid w:val="00270E11"/>
    <w:rsid w:val="00274A24"/>
    <w:rsid w:val="00282EDC"/>
    <w:rsid w:val="0028535A"/>
    <w:rsid w:val="00297D87"/>
    <w:rsid w:val="002D520D"/>
    <w:rsid w:val="002F0050"/>
    <w:rsid w:val="003017D6"/>
    <w:rsid w:val="003141DD"/>
    <w:rsid w:val="00324275"/>
    <w:rsid w:val="00370FBC"/>
    <w:rsid w:val="003804DE"/>
    <w:rsid w:val="003C4B58"/>
    <w:rsid w:val="003E2B04"/>
    <w:rsid w:val="003F6DD9"/>
    <w:rsid w:val="0043405C"/>
    <w:rsid w:val="00486F72"/>
    <w:rsid w:val="00496284"/>
    <w:rsid w:val="004D2A43"/>
    <w:rsid w:val="0052529D"/>
    <w:rsid w:val="005331EA"/>
    <w:rsid w:val="00533FD7"/>
    <w:rsid w:val="0055547D"/>
    <w:rsid w:val="00581294"/>
    <w:rsid w:val="0058572A"/>
    <w:rsid w:val="005930E4"/>
    <w:rsid w:val="005A1F53"/>
    <w:rsid w:val="005D7D73"/>
    <w:rsid w:val="00631937"/>
    <w:rsid w:val="00652FD6"/>
    <w:rsid w:val="00653399"/>
    <w:rsid w:val="00692411"/>
    <w:rsid w:val="00697563"/>
    <w:rsid w:val="006A0DCE"/>
    <w:rsid w:val="006B3726"/>
    <w:rsid w:val="006F29AB"/>
    <w:rsid w:val="006F7B77"/>
    <w:rsid w:val="00747938"/>
    <w:rsid w:val="0075006B"/>
    <w:rsid w:val="00762065"/>
    <w:rsid w:val="00772F80"/>
    <w:rsid w:val="007A4C6D"/>
    <w:rsid w:val="007C2DA1"/>
    <w:rsid w:val="007F0261"/>
    <w:rsid w:val="007F260B"/>
    <w:rsid w:val="008126F6"/>
    <w:rsid w:val="0085707F"/>
    <w:rsid w:val="00891AD1"/>
    <w:rsid w:val="008A36BE"/>
    <w:rsid w:val="008E4AE8"/>
    <w:rsid w:val="008E7023"/>
    <w:rsid w:val="0095352F"/>
    <w:rsid w:val="00985C6E"/>
    <w:rsid w:val="009C018B"/>
    <w:rsid w:val="009F61A3"/>
    <w:rsid w:val="00A427D6"/>
    <w:rsid w:val="00A44B08"/>
    <w:rsid w:val="00A72243"/>
    <w:rsid w:val="00A760AF"/>
    <w:rsid w:val="00AD49CA"/>
    <w:rsid w:val="00AE5B85"/>
    <w:rsid w:val="00B4692E"/>
    <w:rsid w:val="00B6017D"/>
    <w:rsid w:val="00B6167C"/>
    <w:rsid w:val="00B906AF"/>
    <w:rsid w:val="00BF5559"/>
    <w:rsid w:val="00C4537C"/>
    <w:rsid w:val="00CA6F99"/>
    <w:rsid w:val="00CE2842"/>
    <w:rsid w:val="00CE5D51"/>
    <w:rsid w:val="00D21F7D"/>
    <w:rsid w:val="00D35C84"/>
    <w:rsid w:val="00DD494E"/>
    <w:rsid w:val="00DF0FB5"/>
    <w:rsid w:val="00E02650"/>
    <w:rsid w:val="00E1118C"/>
    <w:rsid w:val="00E16876"/>
    <w:rsid w:val="00E174F3"/>
    <w:rsid w:val="00E251E9"/>
    <w:rsid w:val="00E92227"/>
    <w:rsid w:val="00EA5D78"/>
    <w:rsid w:val="00EF788D"/>
    <w:rsid w:val="00F06D25"/>
    <w:rsid w:val="00F34B2D"/>
    <w:rsid w:val="00F46FE2"/>
    <w:rsid w:val="00F52789"/>
    <w:rsid w:val="00F60106"/>
    <w:rsid w:val="00F7511F"/>
    <w:rsid w:val="00F90A40"/>
    <w:rsid w:val="00F93F0E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20CC2"/>
  <w15:docId w15:val="{FFBB6810-D1CC-4FBB-B3C1-0D4C97D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2789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2789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customStyle="1" w:styleId="normln0">
    <w:name w:val="normální"/>
    <w:basedOn w:val="Normln"/>
    <w:rsid w:val="00F52789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link w:val="ZkladntextChar"/>
    <w:rsid w:val="00F52789"/>
    <w:rPr>
      <w:rFonts w:ascii="Arial" w:hAnsi="Arial" w:cs="Arial"/>
      <w:sz w:val="22"/>
      <w:vertAlign w:val="baseline"/>
    </w:rPr>
  </w:style>
  <w:style w:type="character" w:customStyle="1" w:styleId="ZkladntextChar">
    <w:name w:val="Základní text Char"/>
    <w:basedOn w:val="Standardnpsmoodstavce"/>
    <w:link w:val="Zkladntext"/>
    <w:rsid w:val="00F52789"/>
    <w:rPr>
      <w:rFonts w:ascii="Arial" w:eastAsia="Times New Roman" w:hAnsi="Arial" w:cs="Arial"/>
      <w:szCs w:val="24"/>
      <w:lang w:eastAsia="cs-CZ"/>
    </w:rPr>
  </w:style>
  <w:style w:type="paragraph" w:customStyle="1" w:styleId="Default">
    <w:name w:val="Default"/>
    <w:rsid w:val="00F5278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527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52789"/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F52789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F52789"/>
    <w:rPr>
      <w:rFonts w:ascii="Times New Roman" w:eastAsia="Times New Roman" w:hAnsi="Times New Roman" w:cs="Times New Roman"/>
      <w:sz w:val="20"/>
      <w:szCs w:val="20"/>
      <w:vertAlign w:val="superscript"/>
      <w:lang w:val="x-none" w:eastAsia="x-none"/>
    </w:rPr>
  </w:style>
  <w:style w:type="character" w:styleId="Odkaznakoment">
    <w:name w:val="annotation reference"/>
    <w:semiHidden/>
    <w:unhideWhenUsed/>
    <w:rsid w:val="00F5278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7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789"/>
    <w:rPr>
      <w:rFonts w:ascii="Segoe UI" w:eastAsia="Times New Roman" w:hAnsi="Segoe UI" w:cs="Segoe UI"/>
      <w:sz w:val="18"/>
      <w:szCs w:val="18"/>
      <w:vertAlign w:val="superscript"/>
      <w:lang w:eastAsia="cs-CZ"/>
    </w:rPr>
  </w:style>
  <w:style w:type="paragraph" w:styleId="Odstavecseseznamem">
    <w:name w:val="List Paragraph"/>
    <w:basedOn w:val="Normln"/>
    <w:uiPriority w:val="34"/>
    <w:qFormat/>
    <w:rsid w:val="00F52789"/>
    <w:pPr>
      <w:ind w:left="720"/>
      <w:contextualSpacing/>
    </w:pPr>
  </w:style>
  <w:style w:type="character" w:customStyle="1" w:styleId="Bodytext2">
    <w:name w:val="Body text (2)_"/>
    <w:basedOn w:val="Standardnpsmoodstavce"/>
    <w:link w:val="Bodytext20"/>
    <w:locked/>
    <w:rsid w:val="000019B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0019B6"/>
    <w:pPr>
      <w:widowControl w:val="0"/>
      <w:shd w:val="clear" w:color="auto" w:fill="FFFFFF"/>
      <w:spacing w:line="274" w:lineRule="exact"/>
      <w:ind w:hanging="480"/>
    </w:pPr>
    <w:rPr>
      <w:rFonts w:ascii="Arial" w:eastAsia="Arial" w:hAnsi="Arial" w:cs="Arial"/>
      <w:sz w:val="19"/>
      <w:szCs w:val="19"/>
      <w:vertAlign w:val="baselin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77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77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72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243"/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243"/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  <w:style w:type="paragraph" w:styleId="Revize">
    <w:name w:val="Revision"/>
    <w:hidden/>
    <w:uiPriority w:val="99"/>
    <w:semiHidden/>
    <w:rsid w:val="00B6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 a.s.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Baros David</dc:creator>
  <cp:lastModifiedBy>Vávrová Renata</cp:lastModifiedBy>
  <cp:revision>2</cp:revision>
  <cp:lastPrinted>2019-11-19T11:28:00Z</cp:lastPrinted>
  <dcterms:created xsi:type="dcterms:W3CDTF">2021-04-01T09:32:00Z</dcterms:created>
  <dcterms:modified xsi:type="dcterms:W3CDTF">2021-04-01T09:32:00Z</dcterms:modified>
</cp:coreProperties>
</file>