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13" w:rsidRDefault="00DE68E6">
      <w:pPr>
        <w:spacing w:before="73"/>
        <w:ind w:left="3143" w:right="3148"/>
        <w:jc w:val="center"/>
        <w:rPr>
          <w:sz w:val="32"/>
        </w:rPr>
      </w:pPr>
      <w:r>
        <w:rPr>
          <w:color w:val="808080"/>
          <w:sz w:val="32"/>
        </w:rPr>
        <w:t>Smlouva č. 1190400185 o poskytnutí podpory</w:t>
      </w:r>
    </w:p>
    <w:p w:rsidR="00E70313" w:rsidRDefault="00DE68E6">
      <w:pPr>
        <w:spacing w:line="425" w:lineRule="exact"/>
        <w:ind w:left="647" w:right="660"/>
        <w:jc w:val="center"/>
        <w:rPr>
          <w:sz w:val="32"/>
        </w:rPr>
      </w:pPr>
      <w:r>
        <w:rPr>
          <w:color w:val="808080"/>
          <w:sz w:val="32"/>
        </w:rPr>
        <w:t>ze Státního fondu životního prostředí České republiky</w:t>
      </w:r>
    </w:p>
    <w:p w:rsidR="00E70313" w:rsidRDefault="00E70313">
      <w:pPr>
        <w:pStyle w:val="Zkladntext"/>
        <w:spacing w:before="0"/>
        <w:jc w:val="left"/>
        <w:rPr>
          <w:sz w:val="42"/>
        </w:rPr>
      </w:pPr>
    </w:p>
    <w:p w:rsidR="00E70313" w:rsidRDefault="00DE68E6">
      <w:pPr>
        <w:pStyle w:val="Zkladntext"/>
        <w:spacing w:before="371"/>
        <w:ind w:left="102"/>
        <w:jc w:val="left"/>
      </w:pPr>
      <w:r>
        <w:t>Smluvní strany</w:t>
      </w:r>
    </w:p>
    <w:p w:rsidR="00E70313" w:rsidRDefault="00E70313">
      <w:pPr>
        <w:pStyle w:val="Zkladntext"/>
        <w:spacing w:before="0"/>
        <w:jc w:val="left"/>
        <w:rPr>
          <w:sz w:val="22"/>
        </w:rPr>
      </w:pPr>
    </w:p>
    <w:p w:rsidR="00E70313" w:rsidRDefault="00DE68E6">
      <w:pPr>
        <w:pStyle w:val="Nadpis1"/>
        <w:ind w:right="0"/>
        <w:jc w:val="left"/>
      </w:pPr>
      <w:r>
        <w:t>Státní fond životního prostředí České republiky</w:t>
      </w:r>
    </w:p>
    <w:p w:rsidR="00E70313" w:rsidRDefault="00DE68E6">
      <w:pPr>
        <w:pStyle w:val="Zkladntext"/>
        <w:tabs>
          <w:tab w:val="left" w:pos="2982"/>
        </w:tabs>
        <w:spacing w:before="0"/>
        <w:ind w:left="102"/>
        <w:jc w:val="left"/>
      </w:pPr>
      <w:r>
        <w:t>se</w:t>
      </w:r>
      <w:r>
        <w:rPr>
          <w:spacing w:val="-3"/>
        </w:rPr>
        <w:t xml:space="preserve"> </w:t>
      </w:r>
      <w:r>
        <w:t>sídlem</w:t>
      </w:r>
      <w:r>
        <w:tab/>
        <w:t>Kaplanova 1931/1, 148 00 Praha</w:t>
      </w:r>
      <w:r>
        <w:rPr>
          <w:spacing w:val="-15"/>
        </w:rPr>
        <w:t xml:space="preserve"> </w:t>
      </w:r>
      <w:r>
        <w:t>11</w:t>
      </w:r>
    </w:p>
    <w:p w:rsidR="00E70313" w:rsidRDefault="00DE68E6">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E70313" w:rsidRDefault="00DE68E6">
      <w:pPr>
        <w:pStyle w:val="Zkladntext"/>
        <w:tabs>
          <w:tab w:val="left" w:pos="2982"/>
        </w:tabs>
        <w:spacing w:before="0" w:line="265" w:lineRule="exact"/>
        <w:ind w:left="102"/>
        <w:jc w:val="left"/>
      </w:pPr>
      <w:r>
        <w:t>IČO:</w:t>
      </w:r>
      <w:r>
        <w:tab/>
        <w:t>00020729</w:t>
      </w:r>
    </w:p>
    <w:p w:rsidR="00E70313" w:rsidRDefault="00DE68E6">
      <w:pPr>
        <w:pStyle w:val="Zkladntext"/>
        <w:tabs>
          <w:tab w:val="left" w:pos="2982"/>
        </w:tabs>
        <w:spacing w:before="0" w:line="265" w:lineRule="exact"/>
        <w:ind w:left="102"/>
        <w:jc w:val="left"/>
      </w:pPr>
      <w:r>
        <w:t>zastoupený:</w:t>
      </w:r>
      <w:r>
        <w:tab/>
        <w:t>Ing. Petrem V a l d m a n e m, ředitelem SFŽP</w:t>
      </w:r>
      <w:r>
        <w:rPr>
          <w:spacing w:val="-19"/>
        </w:rPr>
        <w:t xml:space="preserve"> </w:t>
      </w:r>
      <w:r>
        <w:t>ČR</w:t>
      </w:r>
    </w:p>
    <w:p w:rsidR="00E70313" w:rsidRDefault="00DE68E6">
      <w:pPr>
        <w:pStyle w:val="Zkladntext"/>
        <w:tabs>
          <w:tab w:val="left" w:pos="2982"/>
        </w:tabs>
        <w:spacing w:before="1"/>
        <w:ind w:left="102"/>
        <w:jc w:val="left"/>
      </w:pPr>
      <w:r>
        <w:t>bankovní</w:t>
      </w:r>
      <w:r>
        <w:rPr>
          <w:spacing w:val="-3"/>
        </w:rPr>
        <w:t xml:space="preserve"> </w:t>
      </w:r>
      <w:r>
        <w:t>spojení:</w:t>
      </w:r>
      <w:r>
        <w:tab/>
        <w:t>Česká národní</w:t>
      </w:r>
      <w:r>
        <w:rPr>
          <w:spacing w:val="-8"/>
        </w:rPr>
        <w:t xml:space="preserve"> </w:t>
      </w:r>
      <w:r>
        <w:t>banka</w:t>
      </w:r>
    </w:p>
    <w:p w:rsidR="00E70313" w:rsidRDefault="00DE68E6">
      <w:pPr>
        <w:pStyle w:val="Zkladntext"/>
        <w:tabs>
          <w:tab w:val="left" w:pos="2982"/>
        </w:tabs>
        <w:spacing w:before="0"/>
        <w:ind w:left="102" w:right="4752"/>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E70313" w:rsidRDefault="00E70313">
      <w:pPr>
        <w:pStyle w:val="Zkladntext"/>
        <w:spacing w:before="0"/>
        <w:jc w:val="left"/>
      </w:pPr>
    </w:p>
    <w:p w:rsidR="00E70313" w:rsidRDefault="00DE68E6">
      <w:pPr>
        <w:pStyle w:val="Zkladntext"/>
        <w:spacing w:before="0"/>
        <w:ind w:left="102"/>
        <w:jc w:val="left"/>
      </w:pPr>
      <w:r>
        <w:rPr>
          <w:w w:val="99"/>
        </w:rPr>
        <w:t>a</w:t>
      </w:r>
    </w:p>
    <w:p w:rsidR="00E70313" w:rsidRDefault="00E70313">
      <w:pPr>
        <w:pStyle w:val="Zkladntext"/>
        <w:spacing w:before="11"/>
        <w:jc w:val="left"/>
        <w:rPr>
          <w:sz w:val="19"/>
        </w:rPr>
      </w:pPr>
    </w:p>
    <w:p w:rsidR="00E70313" w:rsidRDefault="00DE68E6">
      <w:pPr>
        <w:pStyle w:val="Nadpis1"/>
        <w:ind w:right="0"/>
        <w:jc w:val="left"/>
      </w:pPr>
      <w:r>
        <w:t>obec Kostomlaty pod Milešovkou</w:t>
      </w:r>
    </w:p>
    <w:p w:rsidR="00E70313" w:rsidRDefault="00DE68E6">
      <w:pPr>
        <w:pStyle w:val="Zkladntext"/>
        <w:tabs>
          <w:tab w:val="left" w:pos="2982"/>
        </w:tabs>
        <w:spacing w:before="0"/>
        <w:ind w:left="102"/>
        <w:jc w:val="left"/>
      </w:pPr>
      <w:r>
        <w:t>kontaktní</w:t>
      </w:r>
      <w:r>
        <w:rPr>
          <w:spacing w:val="-3"/>
        </w:rPr>
        <w:t xml:space="preserve"> </w:t>
      </w:r>
      <w:r>
        <w:t>adresa:</w:t>
      </w:r>
      <w:r>
        <w:tab/>
        <w:t>Obecní úřad Kostomlaty pod Milešovkou, Lhenická</w:t>
      </w:r>
      <w:r>
        <w:rPr>
          <w:spacing w:val="-14"/>
        </w:rPr>
        <w:t xml:space="preserve"> </w:t>
      </w:r>
      <w:r>
        <w:t>310,</w:t>
      </w:r>
    </w:p>
    <w:p w:rsidR="00E70313" w:rsidRDefault="00DE68E6">
      <w:pPr>
        <w:pStyle w:val="Zkladntext"/>
        <w:spacing w:before="0"/>
        <w:ind w:left="3006"/>
        <w:jc w:val="left"/>
      </w:pPr>
      <w:r>
        <w:t>417 54 Kostomlaty pod Milešovkou</w:t>
      </w:r>
    </w:p>
    <w:p w:rsidR="00E70313" w:rsidRDefault="00DE68E6">
      <w:pPr>
        <w:pStyle w:val="Zkladntext"/>
        <w:tabs>
          <w:tab w:val="left" w:pos="2982"/>
        </w:tabs>
        <w:spacing w:before="0"/>
        <w:ind w:left="102"/>
        <w:jc w:val="left"/>
      </w:pPr>
      <w:r>
        <w:t>IČO:</w:t>
      </w:r>
      <w:r>
        <w:tab/>
        <w:t>00266396</w:t>
      </w:r>
    </w:p>
    <w:p w:rsidR="00E70313" w:rsidRDefault="00DE68E6">
      <w:pPr>
        <w:pStyle w:val="Zkladntext"/>
        <w:tabs>
          <w:tab w:val="left" w:pos="2982"/>
        </w:tabs>
        <w:spacing w:before="0"/>
        <w:ind w:left="102"/>
        <w:jc w:val="left"/>
      </w:pPr>
      <w:r>
        <w:t>zastoupená:</w:t>
      </w:r>
      <w:r>
        <w:tab/>
        <w:t>Mgr. Evou K r e j s k o v o u,</w:t>
      </w:r>
      <w:r>
        <w:rPr>
          <w:spacing w:val="-15"/>
        </w:rPr>
        <w:t xml:space="preserve"> </w:t>
      </w:r>
      <w:r>
        <w:t>starostkou</w:t>
      </w:r>
    </w:p>
    <w:p w:rsidR="00E70313" w:rsidRDefault="00DE68E6">
      <w:pPr>
        <w:pStyle w:val="Zkladntext"/>
        <w:tabs>
          <w:tab w:val="left" w:pos="2982"/>
        </w:tabs>
        <w:spacing w:before="0" w:line="265" w:lineRule="exact"/>
        <w:ind w:left="102"/>
        <w:jc w:val="left"/>
      </w:pPr>
      <w:r>
        <w:t>bankovní</w:t>
      </w:r>
      <w:r>
        <w:rPr>
          <w:spacing w:val="-3"/>
        </w:rPr>
        <w:t xml:space="preserve"> </w:t>
      </w:r>
      <w:r>
        <w:t>spojení:</w:t>
      </w:r>
      <w:r>
        <w:tab/>
      </w:r>
      <w:r w:rsidR="00FC462B">
        <w:t>xxxxxxxxxxxxxxxxxxx</w:t>
      </w:r>
    </w:p>
    <w:p w:rsidR="00E70313" w:rsidRDefault="00DE68E6">
      <w:pPr>
        <w:pStyle w:val="Zkladntext"/>
        <w:tabs>
          <w:tab w:val="left" w:pos="2982"/>
        </w:tabs>
        <w:spacing w:before="0"/>
        <w:ind w:left="102" w:right="4752"/>
        <w:jc w:val="left"/>
      </w:pPr>
      <w:r>
        <w:t>číslo</w:t>
      </w:r>
      <w:r>
        <w:rPr>
          <w:spacing w:val="-2"/>
        </w:rPr>
        <w:t xml:space="preserve"> </w:t>
      </w:r>
      <w:r>
        <w:t>účtu:</w:t>
      </w:r>
      <w:r>
        <w:tab/>
      </w:r>
      <w:r w:rsidR="00FC462B">
        <w:t>xxxxxxxxxxxxxxxxxx</w:t>
      </w:r>
      <w:bookmarkStart w:id="0" w:name="_GoBack"/>
      <w:bookmarkEnd w:id="0"/>
      <w:r>
        <w:rPr>
          <w:w w:val="95"/>
        </w:rPr>
        <w:t xml:space="preserve"> </w:t>
      </w:r>
      <w:r>
        <w:t>(dále jen „příjemce</w:t>
      </w:r>
      <w:r>
        <w:rPr>
          <w:spacing w:val="-6"/>
        </w:rPr>
        <w:t xml:space="preserve"> </w:t>
      </w:r>
      <w:r>
        <w:t>podpory")</w:t>
      </w:r>
    </w:p>
    <w:p w:rsidR="00E70313" w:rsidRDefault="00E70313">
      <w:pPr>
        <w:pStyle w:val="Zkladntext"/>
        <w:spacing w:before="0"/>
        <w:jc w:val="left"/>
        <w:rPr>
          <w:sz w:val="22"/>
        </w:rPr>
      </w:pPr>
    </w:p>
    <w:p w:rsidR="00E70313" w:rsidRDefault="00DE68E6">
      <w:pPr>
        <w:pStyle w:val="Zkladntext"/>
        <w:spacing w:before="1"/>
        <w:ind w:left="102"/>
        <w:jc w:val="left"/>
      </w:pPr>
      <w:r>
        <w:t>se dohodly takto:</w:t>
      </w:r>
    </w:p>
    <w:p w:rsidR="00E70313" w:rsidRDefault="00E70313">
      <w:pPr>
        <w:pStyle w:val="Zkladntext"/>
        <w:spacing w:before="0"/>
        <w:jc w:val="left"/>
        <w:rPr>
          <w:sz w:val="26"/>
        </w:rPr>
      </w:pPr>
    </w:p>
    <w:p w:rsidR="00E70313" w:rsidRDefault="00E70313">
      <w:pPr>
        <w:pStyle w:val="Zkladntext"/>
        <w:spacing w:before="12"/>
        <w:jc w:val="left"/>
        <w:rPr>
          <w:sz w:val="33"/>
        </w:rPr>
      </w:pPr>
    </w:p>
    <w:p w:rsidR="00E70313" w:rsidRDefault="00DE68E6">
      <w:pPr>
        <w:pStyle w:val="Nadpis1"/>
        <w:ind w:left="3139"/>
      </w:pPr>
      <w:r>
        <w:t>I.</w:t>
      </w:r>
    </w:p>
    <w:p w:rsidR="00E70313" w:rsidRDefault="00DE68E6">
      <w:pPr>
        <w:ind w:left="3135" w:right="3148"/>
        <w:jc w:val="center"/>
        <w:rPr>
          <w:b/>
          <w:sz w:val="20"/>
        </w:rPr>
      </w:pPr>
      <w:r>
        <w:rPr>
          <w:b/>
          <w:sz w:val="20"/>
        </w:rPr>
        <w:t>Předmět a účel smlouvy</w:t>
      </w:r>
    </w:p>
    <w:p w:rsidR="00E70313" w:rsidRDefault="00E70313">
      <w:pPr>
        <w:pStyle w:val="Zkladntext"/>
        <w:spacing w:before="1"/>
        <w:jc w:val="left"/>
        <w:rPr>
          <w:b/>
          <w:sz w:val="29"/>
        </w:rPr>
      </w:pPr>
    </w:p>
    <w:p w:rsidR="00E70313" w:rsidRDefault="00DE68E6">
      <w:pPr>
        <w:pStyle w:val="Odstavecseseznamem"/>
        <w:numPr>
          <w:ilvl w:val="0"/>
          <w:numId w:val="7"/>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70313" w:rsidRDefault="00DE68E6">
      <w:pPr>
        <w:pStyle w:val="Zkladntext"/>
        <w:spacing w:before="0"/>
        <w:ind w:left="385" w:right="111"/>
      </w:pPr>
      <w:r>
        <w:t>„Smlouva“) se uzavírá na základě Rozhodnutí ministra životního prostředí č. 1190400185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6"/>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E70313" w:rsidRDefault="00DE68E6">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E70313" w:rsidRDefault="00DE68E6">
      <w:pPr>
        <w:pStyle w:val="Odstavecseseznamem"/>
        <w:numPr>
          <w:ilvl w:val="0"/>
          <w:numId w:val="7"/>
        </w:numPr>
        <w:tabs>
          <w:tab w:val="left" w:pos="386"/>
        </w:tabs>
        <w:ind w:hanging="283"/>
        <w:rPr>
          <w:sz w:val="20"/>
        </w:rPr>
      </w:pPr>
      <w:r>
        <w:rPr>
          <w:sz w:val="20"/>
        </w:rPr>
        <w:t>Podpora je určena výhradně na</w:t>
      </w:r>
      <w:r>
        <w:rPr>
          <w:spacing w:val="-14"/>
          <w:sz w:val="20"/>
        </w:rPr>
        <w:t xml:space="preserve"> </w:t>
      </w:r>
      <w:r>
        <w:rPr>
          <w:sz w:val="20"/>
        </w:rPr>
        <w:t>akci:</w:t>
      </w:r>
    </w:p>
    <w:p w:rsidR="00E70313" w:rsidRDefault="00E70313">
      <w:pPr>
        <w:rPr>
          <w:sz w:val="20"/>
        </w:rPr>
        <w:sectPr w:rsidR="00E70313">
          <w:type w:val="continuous"/>
          <w:pgSz w:w="12240" w:h="15840"/>
          <w:pgMar w:top="1060" w:right="1020" w:bottom="280" w:left="1600" w:header="708" w:footer="708" w:gutter="0"/>
          <w:cols w:space="708"/>
        </w:sectPr>
      </w:pPr>
    </w:p>
    <w:p w:rsidR="00E70313" w:rsidRDefault="00DE68E6">
      <w:pPr>
        <w:pStyle w:val="Nadpis1"/>
        <w:spacing w:before="73"/>
        <w:ind w:left="647" w:right="659"/>
      </w:pPr>
      <w:r>
        <w:lastRenderedPageBreak/>
        <w:t>„Výstavba posilovací stanice Kostomlaty pod Milešovkou“</w:t>
      </w:r>
    </w:p>
    <w:p w:rsidR="00E70313" w:rsidRDefault="00DE68E6">
      <w:pPr>
        <w:pStyle w:val="Zkladntext"/>
        <w:spacing w:before="0"/>
        <w:ind w:left="385"/>
        <w:jc w:val="left"/>
      </w:pPr>
      <w:r>
        <w:t>(dále jen „projekt“ nebo „akce“) realizovanou v roce 2020. Akce je investiční.</w:t>
      </w:r>
    </w:p>
    <w:p w:rsidR="00E70313" w:rsidRDefault="00E70313">
      <w:pPr>
        <w:pStyle w:val="Zkladntext"/>
        <w:spacing w:before="1"/>
        <w:jc w:val="left"/>
        <w:rPr>
          <w:sz w:val="29"/>
        </w:rPr>
      </w:pPr>
    </w:p>
    <w:p w:rsidR="00E70313" w:rsidRDefault="00DE68E6">
      <w:pPr>
        <w:pStyle w:val="Nadpis1"/>
        <w:ind w:left="3143" w:right="2799"/>
      </w:pPr>
      <w:r>
        <w:t>II.</w:t>
      </w:r>
    </w:p>
    <w:p w:rsidR="00E70313" w:rsidRDefault="00DE68E6">
      <w:pPr>
        <w:ind w:left="3143" w:right="2798"/>
        <w:jc w:val="center"/>
        <w:rPr>
          <w:b/>
          <w:sz w:val="20"/>
        </w:rPr>
      </w:pPr>
      <w:r>
        <w:rPr>
          <w:b/>
          <w:sz w:val="20"/>
        </w:rPr>
        <w:t>Výše dotace</w:t>
      </w:r>
    </w:p>
    <w:p w:rsidR="00E70313" w:rsidRDefault="00E70313">
      <w:pPr>
        <w:pStyle w:val="Zkladntext"/>
        <w:spacing w:before="11"/>
        <w:jc w:val="left"/>
        <w:rPr>
          <w:b/>
          <w:sz w:val="19"/>
        </w:rPr>
      </w:pPr>
    </w:p>
    <w:p w:rsidR="00E70313" w:rsidRDefault="00DE68E6">
      <w:pPr>
        <w:pStyle w:val="Odstavecseseznamem"/>
        <w:numPr>
          <w:ilvl w:val="0"/>
          <w:numId w:val="6"/>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1 473 899,50 Kč </w:t>
      </w:r>
      <w:r>
        <w:rPr>
          <w:sz w:val="20"/>
        </w:rPr>
        <w:t>(slovy: jeden milion čtyři sta sedmdesát tři tisíc osm set devadesát devět korun českých a padesát</w:t>
      </w:r>
      <w:r>
        <w:rPr>
          <w:spacing w:val="-29"/>
          <w:sz w:val="20"/>
        </w:rPr>
        <w:t xml:space="preserve"> </w:t>
      </w:r>
      <w:r>
        <w:rPr>
          <w:sz w:val="20"/>
        </w:rPr>
        <w:t>haléřů).</w:t>
      </w:r>
    </w:p>
    <w:p w:rsidR="00E70313" w:rsidRDefault="00DE68E6">
      <w:pPr>
        <w:pStyle w:val="Odstavecseseznamem"/>
        <w:numPr>
          <w:ilvl w:val="0"/>
          <w:numId w:val="6"/>
        </w:numPr>
        <w:tabs>
          <w:tab w:val="left" w:pos="386"/>
        </w:tabs>
        <w:ind w:right="111" w:hanging="283"/>
        <w:jc w:val="both"/>
        <w:rPr>
          <w:sz w:val="20"/>
        </w:rPr>
      </w:pPr>
      <w:r>
        <w:rPr>
          <w:sz w:val="20"/>
        </w:rPr>
        <w:t>Základ pro stanovení podpory odpovídá způsobilým výdajům stanoveným Fondem dle žádosti a jejích příloh a činí 2 311 999,23</w:t>
      </w:r>
      <w:r>
        <w:rPr>
          <w:spacing w:val="-9"/>
          <w:sz w:val="20"/>
        </w:rPr>
        <w:t xml:space="preserve"> </w:t>
      </w:r>
      <w:r>
        <w:rPr>
          <w:sz w:val="20"/>
        </w:rPr>
        <w:t>Kč.</w:t>
      </w:r>
    </w:p>
    <w:p w:rsidR="00E70313" w:rsidRDefault="00DE68E6">
      <w:pPr>
        <w:pStyle w:val="Odstavecseseznamem"/>
        <w:numPr>
          <w:ilvl w:val="0"/>
          <w:numId w:val="6"/>
        </w:numPr>
        <w:tabs>
          <w:tab w:val="left" w:pos="386"/>
        </w:tabs>
        <w:ind w:hanging="283"/>
        <w:rPr>
          <w:sz w:val="20"/>
        </w:rPr>
      </w:pPr>
      <w:r>
        <w:rPr>
          <w:sz w:val="20"/>
        </w:rPr>
        <w:t>Podpora představuje 63,75 % základu pro stanovení</w:t>
      </w:r>
      <w:r>
        <w:rPr>
          <w:spacing w:val="-18"/>
          <w:sz w:val="20"/>
        </w:rPr>
        <w:t xml:space="preserve"> </w:t>
      </w:r>
      <w:r>
        <w:rPr>
          <w:sz w:val="20"/>
        </w:rPr>
        <w:t>podpory.</w:t>
      </w:r>
    </w:p>
    <w:p w:rsidR="00E70313" w:rsidRDefault="00DE68E6">
      <w:pPr>
        <w:pStyle w:val="Odstavecseseznamem"/>
        <w:numPr>
          <w:ilvl w:val="0"/>
          <w:numId w:val="6"/>
        </w:numPr>
        <w:tabs>
          <w:tab w:val="left" w:pos="386"/>
        </w:tabs>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E70313" w:rsidRDefault="00DE68E6">
      <w:pPr>
        <w:pStyle w:val="Odstavecseseznamem"/>
        <w:numPr>
          <w:ilvl w:val="0"/>
          <w:numId w:val="6"/>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E70313" w:rsidRDefault="00DE68E6">
      <w:pPr>
        <w:pStyle w:val="Odstavecseseznamem"/>
        <w:numPr>
          <w:ilvl w:val="0"/>
          <w:numId w:val="6"/>
        </w:numPr>
        <w:tabs>
          <w:tab w:val="left" w:pos="386"/>
        </w:tabs>
        <w:ind w:right="108" w:hanging="283"/>
        <w:jc w:val="both"/>
        <w:rPr>
          <w:sz w:val="20"/>
        </w:rPr>
      </w:pPr>
      <w:r>
        <w:rPr>
          <w:sz w:val="20"/>
        </w:rPr>
        <w:t>Platby dodavatelům lze z podpory poskytované Fondem hradit pouze za práce, dodávky a služby na realizaci</w:t>
      </w:r>
      <w:r>
        <w:rPr>
          <w:spacing w:val="-8"/>
          <w:sz w:val="20"/>
        </w:rPr>
        <w:t xml:space="preserve"> </w:t>
      </w:r>
      <w:r>
        <w:rPr>
          <w:sz w:val="20"/>
        </w:rPr>
        <w:t>akce.</w:t>
      </w:r>
    </w:p>
    <w:p w:rsidR="00E70313" w:rsidRDefault="00DE68E6">
      <w:pPr>
        <w:pStyle w:val="Odstavecseseznamem"/>
        <w:numPr>
          <w:ilvl w:val="0"/>
          <w:numId w:val="6"/>
        </w:numPr>
        <w:tabs>
          <w:tab w:val="left" w:pos="386"/>
        </w:tabs>
        <w:ind w:right="116" w:hanging="283"/>
        <w:jc w:val="both"/>
        <w:rPr>
          <w:sz w:val="20"/>
        </w:rPr>
      </w:pPr>
      <w:r>
        <w:rPr>
          <w:sz w:val="20"/>
        </w:rPr>
        <w:t>Při určování způsobilých výdajů akce a z nich odvozené výše podpory se bude vycházet ze znění čl. 9 Výzvy.</w:t>
      </w:r>
    </w:p>
    <w:p w:rsidR="00E70313" w:rsidRDefault="00E70313">
      <w:pPr>
        <w:pStyle w:val="Zkladntext"/>
        <w:spacing w:before="0"/>
        <w:jc w:val="left"/>
        <w:rPr>
          <w:sz w:val="26"/>
        </w:rPr>
      </w:pPr>
    </w:p>
    <w:p w:rsidR="00E70313" w:rsidRDefault="00DE68E6">
      <w:pPr>
        <w:pStyle w:val="Nadpis1"/>
        <w:spacing w:before="185"/>
        <w:ind w:left="3138"/>
      </w:pPr>
      <w:r>
        <w:t>III.</w:t>
      </w:r>
    </w:p>
    <w:p w:rsidR="00E70313" w:rsidRDefault="00DE68E6">
      <w:pPr>
        <w:ind w:left="3135" w:right="3148"/>
        <w:jc w:val="center"/>
        <w:rPr>
          <w:b/>
          <w:sz w:val="20"/>
        </w:rPr>
      </w:pPr>
      <w:r>
        <w:rPr>
          <w:b/>
          <w:sz w:val="20"/>
        </w:rPr>
        <w:t>Platební podmínky</w:t>
      </w:r>
    </w:p>
    <w:p w:rsidR="00E70313" w:rsidRDefault="00E70313">
      <w:pPr>
        <w:pStyle w:val="Zkladntext"/>
        <w:spacing w:before="0"/>
        <w:jc w:val="left"/>
        <w:rPr>
          <w:b/>
        </w:rPr>
      </w:pPr>
    </w:p>
    <w:p w:rsidR="00E70313" w:rsidRDefault="00DE68E6">
      <w:pPr>
        <w:pStyle w:val="Odstavecseseznamem"/>
        <w:numPr>
          <w:ilvl w:val="0"/>
          <w:numId w:val="5"/>
        </w:numPr>
        <w:tabs>
          <w:tab w:val="left" w:pos="386"/>
        </w:tabs>
        <w:spacing w:before="0"/>
        <w:ind w:right="111"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2"/>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2"/>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E70313" w:rsidRDefault="00DE68E6">
      <w:pPr>
        <w:pStyle w:val="Odstavecseseznamem"/>
        <w:numPr>
          <w:ilvl w:val="0"/>
          <w:numId w:val="5"/>
        </w:numPr>
        <w:tabs>
          <w:tab w:val="left" w:pos="386"/>
        </w:tabs>
        <w:spacing w:before="118"/>
        <w:ind w:right="111" w:hanging="283"/>
        <w:jc w:val="both"/>
        <w:rPr>
          <w:sz w:val="20"/>
        </w:rPr>
      </w:pPr>
      <w:r>
        <w:rPr>
          <w:sz w:val="20"/>
        </w:rPr>
        <w:t>Fond bude poskytovat finanční prostředky průběžně postupem stanoveným v bodech 9-15 tak, aby byl dodržen poměr podpory a vlastních zdrojů vyplývající z níže uvedených</w:t>
      </w:r>
      <w:r>
        <w:rPr>
          <w:spacing w:val="-22"/>
          <w:sz w:val="20"/>
        </w:rPr>
        <w:t xml:space="preserve"> </w:t>
      </w:r>
      <w:r>
        <w:rPr>
          <w:sz w:val="20"/>
        </w:rPr>
        <w:t>částek.</w:t>
      </w:r>
    </w:p>
    <w:p w:rsidR="00E70313" w:rsidRDefault="00DE68E6">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E70313" w:rsidRDefault="00E70313">
      <w:pPr>
        <w:pStyle w:val="Zkladntext"/>
        <w:spacing w:before="0" w:after="1"/>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18"/>
      </w:tblGrid>
      <w:tr w:rsidR="00E70313">
        <w:trPr>
          <w:trHeight w:hRule="exact" w:val="396"/>
        </w:trPr>
        <w:tc>
          <w:tcPr>
            <w:tcW w:w="4532" w:type="dxa"/>
          </w:tcPr>
          <w:p w:rsidR="00E70313" w:rsidRDefault="00DE68E6">
            <w:pPr>
              <w:pStyle w:val="TableParagraph"/>
              <w:spacing w:before="120"/>
              <w:ind w:left="1972" w:right="1974"/>
              <w:jc w:val="center"/>
              <w:rPr>
                <w:sz w:val="20"/>
              </w:rPr>
            </w:pPr>
            <w:r>
              <w:rPr>
                <w:sz w:val="20"/>
              </w:rPr>
              <w:t>v roce</w:t>
            </w:r>
          </w:p>
        </w:tc>
        <w:tc>
          <w:tcPr>
            <w:tcW w:w="4818" w:type="dxa"/>
          </w:tcPr>
          <w:p w:rsidR="00E70313" w:rsidRDefault="00DE68E6">
            <w:pPr>
              <w:pStyle w:val="TableParagraph"/>
              <w:spacing w:before="120"/>
              <w:ind w:left="1819" w:right="1822"/>
              <w:jc w:val="center"/>
              <w:rPr>
                <w:sz w:val="20"/>
              </w:rPr>
            </w:pPr>
            <w:r>
              <w:rPr>
                <w:sz w:val="20"/>
              </w:rPr>
              <w:t>ve výši (Kč)</w:t>
            </w:r>
          </w:p>
        </w:tc>
      </w:tr>
      <w:tr w:rsidR="00E70313">
        <w:trPr>
          <w:trHeight w:hRule="exact" w:val="396"/>
        </w:trPr>
        <w:tc>
          <w:tcPr>
            <w:tcW w:w="4532" w:type="dxa"/>
          </w:tcPr>
          <w:p w:rsidR="00E70313" w:rsidRDefault="00DE68E6">
            <w:pPr>
              <w:pStyle w:val="TableParagraph"/>
              <w:spacing w:before="120"/>
              <w:ind w:left="1972" w:right="1972"/>
              <w:jc w:val="center"/>
              <w:rPr>
                <w:sz w:val="20"/>
              </w:rPr>
            </w:pPr>
            <w:r>
              <w:rPr>
                <w:sz w:val="20"/>
              </w:rPr>
              <w:t>2021</w:t>
            </w:r>
          </w:p>
        </w:tc>
        <w:tc>
          <w:tcPr>
            <w:tcW w:w="4818" w:type="dxa"/>
          </w:tcPr>
          <w:p w:rsidR="00E70313" w:rsidRDefault="00DE68E6">
            <w:pPr>
              <w:pStyle w:val="TableParagraph"/>
              <w:spacing w:before="120"/>
              <w:ind w:left="1821" w:right="1822"/>
              <w:jc w:val="center"/>
              <w:rPr>
                <w:sz w:val="20"/>
              </w:rPr>
            </w:pPr>
            <w:r>
              <w:rPr>
                <w:sz w:val="20"/>
              </w:rPr>
              <w:t>1 473 899,50</w:t>
            </w:r>
          </w:p>
        </w:tc>
      </w:tr>
    </w:tbl>
    <w:p w:rsidR="00E70313" w:rsidRDefault="00E70313">
      <w:pPr>
        <w:pStyle w:val="Zkladntext"/>
        <w:spacing w:before="0"/>
        <w:jc w:val="left"/>
      </w:pPr>
    </w:p>
    <w:p w:rsidR="00E70313" w:rsidRDefault="00E70313">
      <w:pPr>
        <w:pStyle w:val="Zkladntext"/>
        <w:spacing w:before="1"/>
        <w:jc w:val="left"/>
        <w:rPr>
          <w:sz w:val="18"/>
        </w:rPr>
      </w:pPr>
    </w:p>
    <w:p w:rsidR="00E70313" w:rsidRDefault="00DE68E6">
      <w:pPr>
        <w:pStyle w:val="Odstavecseseznamem"/>
        <w:numPr>
          <w:ilvl w:val="0"/>
          <w:numId w:val="5"/>
        </w:numPr>
        <w:tabs>
          <w:tab w:val="left" w:pos="386"/>
        </w:tabs>
        <w:spacing w:before="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E70313" w:rsidRDefault="00DE68E6">
      <w:pPr>
        <w:pStyle w:val="Odstavecseseznamem"/>
        <w:numPr>
          <w:ilvl w:val="0"/>
          <w:numId w:val="5"/>
        </w:numPr>
        <w:tabs>
          <w:tab w:val="left" w:pos="386"/>
        </w:tabs>
        <w:ind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E70313" w:rsidRDefault="00E70313">
      <w:pPr>
        <w:jc w:val="both"/>
        <w:rPr>
          <w:sz w:val="20"/>
        </w:rPr>
        <w:sectPr w:rsidR="00E70313">
          <w:footerReference w:type="default" r:id="rId7"/>
          <w:pgSz w:w="12240" w:h="15840"/>
          <w:pgMar w:top="1060" w:right="1020" w:bottom="1100" w:left="1600" w:header="0" w:footer="902" w:gutter="0"/>
          <w:pgNumType w:start="2"/>
          <w:cols w:space="708"/>
        </w:sectPr>
      </w:pPr>
    </w:p>
    <w:p w:rsidR="00E70313" w:rsidRDefault="00DE68E6">
      <w:pPr>
        <w:pStyle w:val="Odstavecseseznamem"/>
        <w:numPr>
          <w:ilvl w:val="0"/>
          <w:numId w:val="5"/>
        </w:numPr>
        <w:tabs>
          <w:tab w:val="left" w:pos="526"/>
        </w:tabs>
        <w:spacing w:before="73"/>
        <w:ind w:left="525" w:right="112"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19"/>
          <w:sz w:val="20"/>
        </w:rPr>
        <w:t xml:space="preserve"> </w:t>
      </w:r>
      <w:r>
        <w:rPr>
          <w:sz w:val="20"/>
        </w:rPr>
        <w:t>dotčeno.</w:t>
      </w:r>
    </w:p>
    <w:p w:rsidR="00E70313" w:rsidRDefault="00DE68E6">
      <w:pPr>
        <w:pStyle w:val="Odstavecseseznamem"/>
        <w:numPr>
          <w:ilvl w:val="0"/>
          <w:numId w:val="5"/>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E70313" w:rsidRDefault="00DE68E6">
      <w:pPr>
        <w:pStyle w:val="Odstavecseseznamem"/>
        <w:numPr>
          <w:ilvl w:val="0"/>
          <w:numId w:val="5"/>
        </w:numPr>
        <w:tabs>
          <w:tab w:val="left" w:pos="526"/>
        </w:tabs>
        <w:spacing w:before="118"/>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70313" w:rsidRDefault="00DE68E6">
      <w:pPr>
        <w:pStyle w:val="Odstavecseseznamem"/>
        <w:numPr>
          <w:ilvl w:val="0"/>
          <w:numId w:val="5"/>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E70313" w:rsidRDefault="00DE68E6">
      <w:pPr>
        <w:pStyle w:val="Zkladntext"/>
        <w:spacing w:before="0"/>
        <w:ind w:left="525"/>
        <w:jc w:val="left"/>
      </w:pPr>
      <w:r>
        <w:t>o uvolnění finančních prostředků doručených Fondu příjemcem podpory prostřednictvím AIS SFŽP.</w:t>
      </w:r>
    </w:p>
    <w:p w:rsidR="00E70313" w:rsidRDefault="00DE68E6">
      <w:pPr>
        <w:pStyle w:val="Odstavecseseznamem"/>
        <w:numPr>
          <w:ilvl w:val="0"/>
          <w:numId w:val="5"/>
        </w:numPr>
        <w:tabs>
          <w:tab w:val="left" w:pos="526"/>
        </w:tabs>
        <w:spacing w:before="118"/>
        <w:ind w:left="525" w:hanging="425"/>
        <w:jc w:val="left"/>
        <w:rPr>
          <w:sz w:val="20"/>
        </w:rPr>
      </w:pPr>
      <w:r>
        <w:rPr>
          <w:sz w:val="20"/>
        </w:rPr>
        <w:t>Žádost o uvolnění finančních prostředků bude obsahovat tyto</w:t>
      </w:r>
      <w:r>
        <w:rPr>
          <w:spacing w:val="-20"/>
          <w:sz w:val="20"/>
        </w:rPr>
        <w:t xml:space="preserve"> </w:t>
      </w:r>
      <w:r>
        <w:rPr>
          <w:sz w:val="20"/>
        </w:rPr>
        <w:t>náležitosti:</w:t>
      </w:r>
    </w:p>
    <w:p w:rsidR="00E70313" w:rsidRDefault="00DE68E6">
      <w:pPr>
        <w:pStyle w:val="Odstavecseseznamem"/>
        <w:numPr>
          <w:ilvl w:val="1"/>
          <w:numId w:val="5"/>
        </w:numPr>
        <w:tabs>
          <w:tab w:val="left" w:pos="809"/>
        </w:tabs>
        <w:spacing w:before="121"/>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E70313" w:rsidRDefault="00DE68E6">
      <w:pPr>
        <w:pStyle w:val="Odstavecseseznamem"/>
        <w:numPr>
          <w:ilvl w:val="1"/>
          <w:numId w:val="5"/>
        </w:numPr>
        <w:tabs>
          <w:tab w:val="left" w:pos="809"/>
        </w:tabs>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E70313" w:rsidRDefault="00DE68E6">
      <w:pPr>
        <w:pStyle w:val="Odstavecseseznamem"/>
        <w:numPr>
          <w:ilvl w:val="0"/>
          <w:numId w:val="5"/>
        </w:numPr>
        <w:tabs>
          <w:tab w:val="left" w:pos="526"/>
        </w:tabs>
        <w:spacing w:before="125" w:line="264" w:lineRule="exact"/>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5"/>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E70313" w:rsidRDefault="00DE68E6">
      <w:pPr>
        <w:pStyle w:val="Odstavecseseznamem"/>
        <w:numPr>
          <w:ilvl w:val="0"/>
          <w:numId w:val="5"/>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E70313" w:rsidRDefault="00DE68E6">
      <w:pPr>
        <w:pStyle w:val="Odstavecseseznamem"/>
        <w:numPr>
          <w:ilvl w:val="0"/>
          <w:numId w:val="5"/>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E70313" w:rsidRDefault="00DE68E6">
      <w:pPr>
        <w:pStyle w:val="Odstavecseseznamem"/>
        <w:numPr>
          <w:ilvl w:val="0"/>
          <w:numId w:val="5"/>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E70313" w:rsidRDefault="00DE68E6">
      <w:pPr>
        <w:pStyle w:val="Odstavecseseznamem"/>
        <w:numPr>
          <w:ilvl w:val="0"/>
          <w:numId w:val="5"/>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E70313" w:rsidRDefault="00DE68E6">
      <w:pPr>
        <w:pStyle w:val="Odstavecseseznamem"/>
        <w:numPr>
          <w:ilvl w:val="0"/>
          <w:numId w:val="5"/>
        </w:numPr>
        <w:tabs>
          <w:tab w:val="left" w:pos="526"/>
        </w:tabs>
        <w:spacing w:before="118"/>
        <w:ind w:left="525" w:right="118"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E70313" w:rsidRDefault="00E70313">
      <w:pPr>
        <w:jc w:val="both"/>
        <w:rPr>
          <w:sz w:val="20"/>
        </w:rPr>
        <w:sectPr w:rsidR="00E70313">
          <w:pgSz w:w="12240" w:h="15840"/>
          <w:pgMar w:top="1060" w:right="1020" w:bottom="1160" w:left="1460" w:header="0" w:footer="902" w:gutter="0"/>
          <w:cols w:space="708"/>
        </w:sectPr>
      </w:pPr>
    </w:p>
    <w:p w:rsidR="00E70313" w:rsidRDefault="00DE68E6">
      <w:pPr>
        <w:pStyle w:val="Nadpis1"/>
        <w:spacing w:before="73"/>
        <w:ind w:left="3142"/>
      </w:pPr>
      <w:r>
        <w:lastRenderedPageBreak/>
        <w:t>IV.</w:t>
      </w:r>
    </w:p>
    <w:p w:rsidR="00E70313" w:rsidRDefault="00DE68E6">
      <w:pPr>
        <w:ind w:left="647" w:right="658"/>
        <w:jc w:val="center"/>
        <w:rPr>
          <w:b/>
          <w:sz w:val="20"/>
        </w:rPr>
      </w:pPr>
      <w:r>
        <w:rPr>
          <w:b/>
          <w:sz w:val="20"/>
        </w:rPr>
        <w:t>Základní závazky a další povinnosti příjemce podpory</w:t>
      </w:r>
    </w:p>
    <w:p w:rsidR="00E70313" w:rsidRDefault="00E70313">
      <w:pPr>
        <w:pStyle w:val="Zkladntext"/>
        <w:spacing w:before="1"/>
        <w:jc w:val="left"/>
        <w:rPr>
          <w:b/>
        </w:rPr>
      </w:pPr>
    </w:p>
    <w:p w:rsidR="00E70313" w:rsidRDefault="00DE68E6">
      <w:pPr>
        <w:pStyle w:val="Odstavecseseznamem"/>
        <w:numPr>
          <w:ilvl w:val="0"/>
          <w:numId w:val="4"/>
        </w:numPr>
        <w:tabs>
          <w:tab w:val="left" w:pos="326"/>
        </w:tabs>
        <w:spacing w:before="0"/>
        <w:ind w:hanging="223"/>
        <w:jc w:val="both"/>
        <w:rPr>
          <w:sz w:val="20"/>
        </w:rPr>
      </w:pPr>
      <w:r>
        <w:rPr>
          <w:sz w:val="20"/>
        </w:rPr>
        <w:t>Příjemce</w:t>
      </w:r>
      <w:r>
        <w:rPr>
          <w:spacing w:val="-8"/>
          <w:sz w:val="20"/>
        </w:rPr>
        <w:t xml:space="preserve"> </w:t>
      </w:r>
      <w:r>
        <w:rPr>
          <w:sz w:val="20"/>
        </w:rPr>
        <w:t>podpory:</w:t>
      </w:r>
    </w:p>
    <w:p w:rsidR="00E70313" w:rsidRDefault="00DE68E6">
      <w:pPr>
        <w:pStyle w:val="Odstavecseseznamem"/>
        <w:numPr>
          <w:ilvl w:val="1"/>
          <w:numId w:val="4"/>
        </w:numPr>
        <w:tabs>
          <w:tab w:val="left" w:pos="669"/>
        </w:tabs>
        <w:ind w:right="110" w:hanging="283"/>
        <w:jc w:val="both"/>
        <w:rPr>
          <w:sz w:val="20"/>
        </w:rPr>
      </w:pPr>
      <w:r>
        <w:rPr>
          <w:sz w:val="20"/>
        </w:rPr>
        <w:t>prohlašuje, že splnil účel akce „Výstavba posilovací stanice Kostomlaty pod Milešovkou“ tím, že akce byla provedena v  souladu se žádostí o podporu a jejími</w:t>
      </w:r>
      <w:r>
        <w:rPr>
          <w:spacing w:val="-21"/>
          <w:sz w:val="20"/>
        </w:rPr>
        <w:t xml:space="preserve"> </w:t>
      </w:r>
      <w:r>
        <w:rPr>
          <w:sz w:val="20"/>
        </w:rPr>
        <w:t>přílohami,</w:t>
      </w:r>
    </w:p>
    <w:p w:rsidR="00E70313" w:rsidRDefault="00DE68E6">
      <w:pPr>
        <w:pStyle w:val="Odstavecseseznamem"/>
        <w:numPr>
          <w:ilvl w:val="1"/>
          <w:numId w:val="4"/>
        </w:numPr>
        <w:tabs>
          <w:tab w:val="left" w:pos="669"/>
        </w:tabs>
        <w:spacing w:before="118"/>
        <w:ind w:hanging="283"/>
        <w:jc w:val="left"/>
        <w:rPr>
          <w:sz w:val="20"/>
        </w:rPr>
      </w:pPr>
      <w:r>
        <w:rPr>
          <w:sz w:val="20"/>
        </w:rPr>
        <w:t>realizací projektu došlo do 2/2021 k výstavbě vodovodu o délce 0,54</w:t>
      </w:r>
      <w:r>
        <w:rPr>
          <w:spacing w:val="-20"/>
          <w:sz w:val="20"/>
        </w:rPr>
        <w:t xml:space="preserve"> </w:t>
      </w:r>
      <w:r>
        <w:rPr>
          <w:sz w:val="20"/>
        </w:rPr>
        <w:t>km,</w:t>
      </w:r>
    </w:p>
    <w:p w:rsidR="00E70313" w:rsidRDefault="00DE68E6">
      <w:pPr>
        <w:pStyle w:val="Odstavecseseznamem"/>
        <w:numPr>
          <w:ilvl w:val="1"/>
          <w:numId w:val="4"/>
        </w:numPr>
        <w:tabs>
          <w:tab w:val="left" w:pos="669"/>
        </w:tabs>
        <w:ind w:hanging="283"/>
        <w:jc w:val="left"/>
        <w:rPr>
          <w:sz w:val="20"/>
        </w:rPr>
      </w:pPr>
      <w:r>
        <w:rPr>
          <w:sz w:val="20"/>
        </w:rPr>
        <w:t>zajistil řádný dozor v průběhu</w:t>
      </w:r>
      <w:r>
        <w:rPr>
          <w:spacing w:val="-7"/>
          <w:sz w:val="20"/>
        </w:rPr>
        <w:t xml:space="preserve"> </w:t>
      </w:r>
      <w:r>
        <w:rPr>
          <w:sz w:val="20"/>
        </w:rPr>
        <w:t>výstavby,</w:t>
      </w:r>
    </w:p>
    <w:p w:rsidR="00E70313" w:rsidRDefault="00DE68E6">
      <w:pPr>
        <w:pStyle w:val="Odstavecseseznamem"/>
        <w:numPr>
          <w:ilvl w:val="1"/>
          <w:numId w:val="4"/>
        </w:numPr>
        <w:tabs>
          <w:tab w:val="left" w:pos="669"/>
        </w:tabs>
        <w:ind w:right="109" w:hanging="283"/>
        <w:jc w:val="both"/>
        <w:rPr>
          <w:sz w:val="20"/>
        </w:rPr>
      </w:pPr>
      <w:r>
        <w:rPr>
          <w:sz w:val="20"/>
        </w:rPr>
        <w:t>nejpozději</w:t>
      </w:r>
      <w:r>
        <w:rPr>
          <w:spacing w:val="-12"/>
          <w:sz w:val="20"/>
        </w:rPr>
        <w:t xml:space="preserve"> </w:t>
      </w:r>
      <w:r>
        <w:rPr>
          <w:sz w:val="20"/>
        </w:rPr>
        <w:t>měsíc</w:t>
      </w:r>
      <w:r>
        <w:rPr>
          <w:spacing w:val="-15"/>
          <w:sz w:val="20"/>
        </w:rPr>
        <w:t xml:space="preserve"> </w:t>
      </w:r>
      <w:r>
        <w:rPr>
          <w:sz w:val="20"/>
        </w:rPr>
        <w:t>po</w:t>
      </w:r>
      <w:r>
        <w:rPr>
          <w:spacing w:val="-13"/>
          <w:sz w:val="20"/>
        </w:rPr>
        <w:t xml:space="preserve"> </w:t>
      </w:r>
      <w:r>
        <w:rPr>
          <w:sz w:val="20"/>
        </w:rPr>
        <w:t>ukončení</w:t>
      </w:r>
      <w:r>
        <w:rPr>
          <w:spacing w:val="-14"/>
          <w:sz w:val="20"/>
        </w:rPr>
        <w:t xml:space="preserve"> </w:t>
      </w:r>
      <w:r>
        <w:rPr>
          <w:sz w:val="20"/>
        </w:rPr>
        <w:t>akce</w:t>
      </w:r>
      <w:r>
        <w:rPr>
          <w:spacing w:val="-15"/>
          <w:sz w:val="20"/>
        </w:rPr>
        <w:t xml:space="preserve"> </w:t>
      </w:r>
      <w:r>
        <w:rPr>
          <w:sz w:val="20"/>
        </w:rPr>
        <w:t>(pokud</w:t>
      </w:r>
      <w:r>
        <w:rPr>
          <w:spacing w:val="-14"/>
          <w:sz w:val="20"/>
        </w:rPr>
        <w:t xml:space="preserve"> </w:t>
      </w:r>
      <w:r>
        <w:rPr>
          <w:sz w:val="20"/>
        </w:rPr>
        <w:t>Fond</w:t>
      </w:r>
      <w:r>
        <w:rPr>
          <w:spacing w:val="-14"/>
          <w:sz w:val="20"/>
        </w:rPr>
        <w:t xml:space="preserve"> </w:t>
      </w:r>
      <w:r>
        <w:rPr>
          <w:sz w:val="20"/>
        </w:rPr>
        <w:t>nepovolí</w:t>
      </w:r>
      <w:r>
        <w:rPr>
          <w:spacing w:val="-14"/>
          <w:sz w:val="20"/>
        </w:rPr>
        <w:t xml:space="preserve"> </w:t>
      </w:r>
      <w:r>
        <w:rPr>
          <w:sz w:val="20"/>
        </w:rPr>
        <w:t>jiný</w:t>
      </w:r>
      <w:r>
        <w:rPr>
          <w:spacing w:val="-15"/>
          <w:sz w:val="20"/>
        </w:rPr>
        <w:t xml:space="preserve"> </w:t>
      </w:r>
      <w:r>
        <w:rPr>
          <w:sz w:val="20"/>
        </w:rPr>
        <w:t>termín)</w:t>
      </w:r>
      <w:r>
        <w:rPr>
          <w:spacing w:val="-14"/>
          <w:sz w:val="20"/>
        </w:rPr>
        <w:t xml:space="preserve"> </w:t>
      </w:r>
      <w:r>
        <w:rPr>
          <w:sz w:val="20"/>
        </w:rPr>
        <w:t>se</w:t>
      </w:r>
      <w:r>
        <w:rPr>
          <w:spacing w:val="-15"/>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stal</w:t>
      </w:r>
      <w:r>
        <w:rPr>
          <w:spacing w:val="-14"/>
          <w:sz w:val="20"/>
        </w:rPr>
        <w:t xml:space="preserve"> </w:t>
      </w:r>
      <w:r>
        <w:rPr>
          <w:sz w:val="20"/>
        </w:rPr>
        <w:t>(pokud jím již nebyl) vlastníkem předmětu podpory. Pro tento účel se předmětem podpory rozumí věci pořizované (či rekonstruované, upravené, nebo jinak výrazně zhodnocené) s podporou podle této Smlouvy, jakož i budovy (stavby) a pozemky, ve kterých (na kterých) mají být umístěny (s výjimkou pozemků, kterými je pouze vedena liniová</w:t>
      </w:r>
      <w:r>
        <w:rPr>
          <w:spacing w:val="-13"/>
          <w:sz w:val="20"/>
        </w:rPr>
        <w:t xml:space="preserve"> </w:t>
      </w:r>
      <w:r>
        <w:rPr>
          <w:sz w:val="20"/>
        </w:rPr>
        <w:t>stavba),</w:t>
      </w:r>
    </w:p>
    <w:p w:rsidR="00E70313" w:rsidRDefault="00DE68E6">
      <w:pPr>
        <w:pStyle w:val="Odstavecseseznamem"/>
        <w:numPr>
          <w:ilvl w:val="1"/>
          <w:numId w:val="4"/>
        </w:numPr>
        <w:tabs>
          <w:tab w:val="left" w:pos="669"/>
        </w:tabs>
        <w:spacing w:before="121"/>
        <w:ind w:hanging="283"/>
        <w:jc w:val="left"/>
        <w:rPr>
          <w:sz w:val="20"/>
        </w:rPr>
      </w:pPr>
      <w:r>
        <w:rPr>
          <w:sz w:val="20"/>
        </w:rPr>
        <w:t>byla dodržena ustanovení Směrnice MŽP, Rozhodnutí a</w:t>
      </w:r>
      <w:r>
        <w:rPr>
          <w:spacing w:val="-13"/>
          <w:sz w:val="20"/>
        </w:rPr>
        <w:t xml:space="preserve"> </w:t>
      </w:r>
      <w:r>
        <w:rPr>
          <w:sz w:val="20"/>
        </w:rPr>
        <w:t>Výzvy,</w:t>
      </w:r>
    </w:p>
    <w:p w:rsidR="00E70313" w:rsidRDefault="00DE68E6">
      <w:pPr>
        <w:pStyle w:val="Zkladntext"/>
        <w:ind w:left="102" w:right="110"/>
      </w:pPr>
      <w:r>
        <w:t>Příjemce podpory bere přitom na vědomí, že pokud toto prohlášení není pravdivé, bude přijetí podpory podle této Smlouvy považováno na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E70313" w:rsidRDefault="00DE68E6">
      <w:pPr>
        <w:pStyle w:val="Odstavecseseznamem"/>
        <w:numPr>
          <w:ilvl w:val="1"/>
          <w:numId w:val="4"/>
        </w:numPr>
        <w:tabs>
          <w:tab w:val="left" w:pos="695"/>
        </w:tabs>
        <w:spacing w:before="118"/>
        <w:ind w:right="111" w:hanging="283"/>
        <w:jc w:val="both"/>
        <w:rPr>
          <w:sz w:val="20"/>
        </w:rPr>
      </w:pPr>
      <w:r>
        <w:rPr>
          <w:sz w:val="20"/>
        </w:rPr>
        <w:t>k termínu pro závěrečné vyhodnocení akce (ZVA) podle písmene r) bude nově zásobováno 118 obyvatel pitnou vodou ve zvýšeném množství, bude dodáváno navíc 650 m</w:t>
      </w:r>
      <w:r>
        <w:rPr>
          <w:position w:val="7"/>
          <w:sz w:val="13"/>
        </w:rPr>
        <w:t>3</w:t>
      </w:r>
      <w:r>
        <w:rPr>
          <w:sz w:val="20"/>
        </w:rPr>
        <w:t>/rok pitné</w:t>
      </w:r>
      <w:r>
        <w:rPr>
          <w:spacing w:val="-18"/>
          <w:sz w:val="20"/>
        </w:rPr>
        <w:t xml:space="preserve"> </w:t>
      </w:r>
      <w:r>
        <w:rPr>
          <w:sz w:val="20"/>
        </w:rPr>
        <w:t>vody,</w:t>
      </w:r>
    </w:p>
    <w:p w:rsidR="00E70313" w:rsidRDefault="00DE68E6">
      <w:pPr>
        <w:pStyle w:val="Odstavecseseznamem"/>
        <w:numPr>
          <w:ilvl w:val="1"/>
          <w:numId w:val="4"/>
        </w:numPr>
        <w:tabs>
          <w:tab w:val="left" w:pos="654"/>
        </w:tabs>
        <w:spacing w:before="118" w:line="276" w:lineRule="auto"/>
        <w:ind w:right="116" w:hanging="283"/>
        <w:jc w:val="both"/>
        <w:rPr>
          <w:sz w:val="20"/>
        </w:rPr>
      </w:pPr>
      <w:r>
        <w:rPr>
          <w:sz w:val="20"/>
        </w:rPr>
        <w:t>po</w:t>
      </w:r>
      <w:r>
        <w:rPr>
          <w:spacing w:val="-12"/>
          <w:sz w:val="20"/>
        </w:rPr>
        <w:t xml:space="preserve"> </w:t>
      </w:r>
      <w:r>
        <w:rPr>
          <w:sz w:val="20"/>
        </w:rPr>
        <w:t>dokončení</w:t>
      </w:r>
      <w:r>
        <w:rPr>
          <w:spacing w:val="-13"/>
          <w:sz w:val="20"/>
        </w:rPr>
        <w:t xml:space="preserve"> </w:t>
      </w:r>
      <w:r>
        <w:rPr>
          <w:sz w:val="20"/>
        </w:rPr>
        <w:t>projektu</w:t>
      </w:r>
      <w:r>
        <w:rPr>
          <w:spacing w:val="-13"/>
          <w:sz w:val="20"/>
        </w:rPr>
        <w:t xml:space="preserve"> </w:t>
      </w:r>
      <w:r>
        <w:rPr>
          <w:sz w:val="20"/>
        </w:rPr>
        <w:t>bude</w:t>
      </w:r>
      <w:r>
        <w:rPr>
          <w:spacing w:val="-13"/>
          <w:sz w:val="20"/>
        </w:rPr>
        <w:t xml:space="preserve"> </w:t>
      </w:r>
      <w:r>
        <w:rPr>
          <w:sz w:val="20"/>
        </w:rPr>
        <w:t>dodávaná</w:t>
      </w:r>
      <w:r>
        <w:rPr>
          <w:spacing w:val="-13"/>
          <w:sz w:val="20"/>
        </w:rPr>
        <w:t xml:space="preserve"> </w:t>
      </w:r>
      <w:r>
        <w:rPr>
          <w:sz w:val="20"/>
        </w:rPr>
        <w:t>pitná</w:t>
      </w:r>
      <w:r>
        <w:rPr>
          <w:spacing w:val="-13"/>
          <w:sz w:val="20"/>
        </w:rPr>
        <w:t xml:space="preserve"> </w:t>
      </w:r>
      <w:r>
        <w:rPr>
          <w:sz w:val="20"/>
        </w:rPr>
        <w:t>voda</w:t>
      </w:r>
      <w:r>
        <w:rPr>
          <w:spacing w:val="-13"/>
          <w:sz w:val="20"/>
        </w:rPr>
        <w:t xml:space="preserve"> </w:t>
      </w:r>
      <w:r>
        <w:rPr>
          <w:sz w:val="20"/>
        </w:rPr>
        <w:t>splňovat</w:t>
      </w:r>
      <w:r>
        <w:rPr>
          <w:spacing w:val="-13"/>
          <w:sz w:val="20"/>
        </w:rPr>
        <w:t xml:space="preserve"> </w:t>
      </w:r>
      <w:r>
        <w:rPr>
          <w:sz w:val="20"/>
        </w:rPr>
        <w:t>hygienické</w:t>
      </w:r>
      <w:r>
        <w:rPr>
          <w:spacing w:val="-14"/>
          <w:sz w:val="20"/>
        </w:rPr>
        <w:t xml:space="preserve"> </w:t>
      </w:r>
      <w:r>
        <w:rPr>
          <w:sz w:val="20"/>
        </w:rPr>
        <w:t>požadavky</w:t>
      </w:r>
      <w:r>
        <w:rPr>
          <w:spacing w:val="-13"/>
          <w:sz w:val="20"/>
        </w:rPr>
        <w:t xml:space="preserve"> </w:t>
      </w:r>
      <w:r>
        <w:rPr>
          <w:sz w:val="20"/>
        </w:rPr>
        <w:t>v</w:t>
      </w:r>
      <w:r>
        <w:rPr>
          <w:spacing w:val="-12"/>
          <w:sz w:val="20"/>
        </w:rPr>
        <w:t xml:space="preserve"> </w:t>
      </w:r>
      <w:r>
        <w:rPr>
          <w:sz w:val="20"/>
        </w:rPr>
        <w:t>souladu</w:t>
      </w:r>
      <w:r>
        <w:rPr>
          <w:spacing w:val="-13"/>
          <w:sz w:val="20"/>
        </w:rPr>
        <w:t xml:space="preserve"> </w:t>
      </w:r>
      <w:r>
        <w:rPr>
          <w:sz w:val="20"/>
        </w:rPr>
        <w:t>s</w:t>
      </w:r>
      <w:r>
        <w:rPr>
          <w:spacing w:val="-13"/>
          <w:sz w:val="20"/>
        </w:rPr>
        <w:t xml:space="preserve"> </w:t>
      </w:r>
      <w:r>
        <w:rPr>
          <w:sz w:val="20"/>
        </w:rPr>
        <w:t>platnou legislativou ČR a po dokončení projektu bude likvidace odpadních vod v řešené lokalitě v souladu s vodním zákonem č. 254/2001 Sb., v platném znění a jeho prováděcími</w:t>
      </w:r>
      <w:r>
        <w:rPr>
          <w:spacing w:val="-18"/>
          <w:sz w:val="20"/>
        </w:rPr>
        <w:t xml:space="preserve"> </w:t>
      </w:r>
      <w:r>
        <w:rPr>
          <w:sz w:val="20"/>
        </w:rPr>
        <w:t>předpisy,</w:t>
      </w:r>
    </w:p>
    <w:p w:rsidR="00E70313" w:rsidRDefault="00DE68E6">
      <w:pPr>
        <w:pStyle w:val="Odstavecseseznamem"/>
        <w:numPr>
          <w:ilvl w:val="1"/>
          <w:numId w:val="4"/>
        </w:numPr>
        <w:tabs>
          <w:tab w:val="left" w:pos="690"/>
        </w:tabs>
        <w:spacing w:before="123"/>
        <w:ind w:left="690" w:hanging="228"/>
        <w:jc w:val="left"/>
        <w:rPr>
          <w:sz w:val="20"/>
        </w:rPr>
      </w:pPr>
      <w:r>
        <w:rPr>
          <w:sz w:val="20"/>
        </w:rPr>
        <w:t>bude dodržovat specifické podmínky pro provozování dle přílohy č. 1 této</w:t>
      </w:r>
      <w:r>
        <w:rPr>
          <w:spacing w:val="-25"/>
          <w:sz w:val="20"/>
        </w:rPr>
        <w:t xml:space="preserve"> </w:t>
      </w:r>
      <w:r>
        <w:rPr>
          <w:sz w:val="20"/>
        </w:rPr>
        <w:t>Smlouvy,</w:t>
      </w:r>
    </w:p>
    <w:p w:rsidR="00E70313" w:rsidRDefault="00DE68E6">
      <w:pPr>
        <w:pStyle w:val="Odstavecseseznamem"/>
        <w:numPr>
          <w:ilvl w:val="1"/>
          <w:numId w:val="4"/>
        </w:numPr>
        <w:tabs>
          <w:tab w:val="left" w:pos="669"/>
        </w:tabs>
        <w:spacing w:before="118"/>
        <w:ind w:hanging="139"/>
        <w:jc w:val="left"/>
        <w:rPr>
          <w:sz w:val="20"/>
        </w:rPr>
      </w:pPr>
      <w:r>
        <w:rPr>
          <w:sz w:val="20"/>
        </w:rPr>
        <w:t>bude zacházet s majetkem spolufinancovaným z dotace s péčí řádného</w:t>
      </w:r>
      <w:r>
        <w:rPr>
          <w:spacing w:val="-18"/>
          <w:sz w:val="20"/>
        </w:rPr>
        <w:t xml:space="preserve"> </w:t>
      </w:r>
      <w:r>
        <w:rPr>
          <w:sz w:val="20"/>
        </w:rPr>
        <w:t>hospodáře,</w:t>
      </w:r>
    </w:p>
    <w:p w:rsidR="00E70313" w:rsidRDefault="00DE68E6">
      <w:pPr>
        <w:pStyle w:val="Odstavecseseznamem"/>
        <w:numPr>
          <w:ilvl w:val="1"/>
          <w:numId w:val="4"/>
        </w:numPr>
        <w:tabs>
          <w:tab w:val="left" w:pos="669"/>
        </w:tabs>
        <w:ind w:right="111" w:hanging="206"/>
        <w:jc w:val="both"/>
        <w:rPr>
          <w:sz w:val="20"/>
        </w:rPr>
      </w:pPr>
      <w:r>
        <w:rPr>
          <w:sz w:val="20"/>
        </w:rPr>
        <w:t>Příjemce podpory je povinen zabezpečit, že předmět podpory nebude převeden bez souhlasu</w:t>
      </w:r>
      <w:r>
        <w:rPr>
          <w:spacing w:val="-36"/>
          <w:sz w:val="20"/>
        </w:rPr>
        <w:t xml:space="preserve"> </w:t>
      </w:r>
      <w:r>
        <w:rPr>
          <w:sz w:val="20"/>
        </w:rPr>
        <w:t>Fondu na jinou osobu nejméně po dobu 10 let od ukončení realizace akce. V případě, že Fond převod předmětu</w:t>
      </w:r>
      <w:r>
        <w:rPr>
          <w:spacing w:val="-9"/>
          <w:sz w:val="20"/>
        </w:rPr>
        <w:t xml:space="preserve"> </w:t>
      </w:r>
      <w:r>
        <w:rPr>
          <w:sz w:val="20"/>
        </w:rPr>
        <w:t>podpory</w:t>
      </w:r>
      <w:r>
        <w:rPr>
          <w:spacing w:val="-9"/>
          <w:sz w:val="20"/>
        </w:rPr>
        <w:t xml:space="preserve"> </w:t>
      </w:r>
      <w:r>
        <w:rPr>
          <w:sz w:val="20"/>
        </w:rPr>
        <w:t>odsouhlasí,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zabezpečí,</w:t>
      </w:r>
      <w:r>
        <w:rPr>
          <w:spacing w:val="-9"/>
          <w:sz w:val="20"/>
        </w:rPr>
        <w:t xml:space="preserve"> </w:t>
      </w:r>
      <w:r>
        <w:rPr>
          <w:sz w:val="20"/>
        </w:rPr>
        <w:t>že</w:t>
      </w:r>
      <w:r>
        <w:rPr>
          <w:spacing w:val="-10"/>
          <w:sz w:val="20"/>
        </w:rPr>
        <w:t xml:space="preserve"> </w:t>
      </w:r>
      <w:r>
        <w:rPr>
          <w:sz w:val="20"/>
        </w:rPr>
        <w:t>účel,</w:t>
      </w:r>
      <w:r>
        <w:rPr>
          <w:spacing w:val="-9"/>
          <w:sz w:val="20"/>
        </w:rPr>
        <w:t xml:space="preserve"> </w:t>
      </w:r>
      <w:r>
        <w:rPr>
          <w:sz w:val="20"/>
        </w:rPr>
        <w:t>pro</w:t>
      </w:r>
      <w:r>
        <w:rPr>
          <w:spacing w:val="-9"/>
          <w:sz w:val="20"/>
        </w:rPr>
        <w:t xml:space="preserve"> </w:t>
      </w:r>
      <w:r>
        <w:rPr>
          <w:sz w:val="20"/>
        </w:rPr>
        <w:t>který</w:t>
      </w:r>
      <w:r>
        <w:rPr>
          <w:spacing w:val="-9"/>
          <w:sz w:val="20"/>
        </w:rPr>
        <w:t xml:space="preserve"> </w:t>
      </w:r>
      <w:r>
        <w:rPr>
          <w:sz w:val="20"/>
        </w:rPr>
        <w:t>je</w:t>
      </w:r>
      <w:r>
        <w:rPr>
          <w:spacing w:val="-10"/>
          <w:sz w:val="20"/>
        </w:rPr>
        <w:t xml:space="preserve"> </w:t>
      </w:r>
      <w:r>
        <w:rPr>
          <w:sz w:val="20"/>
        </w:rPr>
        <w:t>poskytnuta</w:t>
      </w:r>
      <w:r>
        <w:rPr>
          <w:spacing w:val="-10"/>
          <w:sz w:val="20"/>
        </w:rPr>
        <w:t xml:space="preserve"> </w:t>
      </w:r>
      <w:r>
        <w:rPr>
          <w:sz w:val="20"/>
        </w:rPr>
        <w:t>podpora podle této Smlouvy, bude řádně plněn po stanovenou dobu. Po tutéž dobu příjemce podpory zabezpečí řádný provoz předmětu</w:t>
      </w:r>
      <w:r>
        <w:rPr>
          <w:spacing w:val="-14"/>
          <w:sz w:val="20"/>
        </w:rPr>
        <w:t xml:space="preserve"> </w:t>
      </w:r>
      <w:r>
        <w:rPr>
          <w:sz w:val="20"/>
        </w:rPr>
        <w:t>podpory,</w:t>
      </w:r>
    </w:p>
    <w:p w:rsidR="00E70313" w:rsidRDefault="00DE68E6">
      <w:pPr>
        <w:pStyle w:val="Odstavecseseznamem"/>
        <w:numPr>
          <w:ilvl w:val="1"/>
          <w:numId w:val="4"/>
        </w:numPr>
        <w:tabs>
          <w:tab w:val="left" w:pos="669"/>
        </w:tabs>
        <w:spacing w:before="118"/>
        <w:ind w:right="110"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2"/>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E70313" w:rsidRDefault="00DE68E6">
      <w:pPr>
        <w:pStyle w:val="Odstavecseseznamem"/>
        <w:numPr>
          <w:ilvl w:val="1"/>
          <w:numId w:val="4"/>
        </w:numPr>
        <w:tabs>
          <w:tab w:val="left" w:pos="669"/>
        </w:tabs>
        <w:spacing w:before="118"/>
        <w:ind w:hanging="283"/>
        <w:jc w:val="left"/>
        <w:rPr>
          <w:sz w:val="20"/>
        </w:rPr>
      </w:pPr>
      <w:r>
        <w:rPr>
          <w:sz w:val="20"/>
        </w:rPr>
        <w:t>bude dodržovat ustanovení Směrnice MŽP, Rozhodnutí a</w:t>
      </w:r>
      <w:r>
        <w:rPr>
          <w:spacing w:val="-15"/>
          <w:sz w:val="20"/>
        </w:rPr>
        <w:t xml:space="preserve"> </w:t>
      </w:r>
      <w:r>
        <w:rPr>
          <w:sz w:val="20"/>
        </w:rPr>
        <w:t>Výzvy,</w:t>
      </w:r>
    </w:p>
    <w:p w:rsidR="00E70313" w:rsidRDefault="00DE68E6">
      <w:pPr>
        <w:pStyle w:val="Odstavecseseznamem"/>
        <w:numPr>
          <w:ilvl w:val="1"/>
          <w:numId w:val="4"/>
        </w:numPr>
        <w:tabs>
          <w:tab w:val="left" w:pos="669"/>
        </w:tabs>
        <w:ind w:right="121" w:hanging="283"/>
        <w:jc w:val="both"/>
        <w:rPr>
          <w:sz w:val="20"/>
        </w:rPr>
      </w:pPr>
      <w:r>
        <w:rPr>
          <w:sz w:val="20"/>
        </w:rPr>
        <w:t>zabezpečí, že účel, pro který je poskytnuta podpora podle této Smlouvy, bude řádně plněn po dobu 10 let od ukončení</w:t>
      </w:r>
      <w:r>
        <w:rPr>
          <w:spacing w:val="-11"/>
          <w:sz w:val="20"/>
        </w:rPr>
        <w:t xml:space="preserve"> </w:t>
      </w:r>
      <w:r>
        <w:rPr>
          <w:sz w:val="20"/>
        </w:rPr>
        <w:t>akce,</w:t>
      </w:r>
    </w:p>
    <w:p w:rsidR="00E70313" w:rsidRDefault="00DE68E6">
      <w:pPr>
        <w:pStyle w:val="Odstavecseseznamem"/>
        <w:numPr>
          <w:ilvl w:val="1"/>
          <w:numId w:val="4"/>
        </w:numPr>
        <w:tabs>
          <w:tab w:val="left" w:pos="66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E70313" w:rsidRDefault="00E70313">
      <w:pPr>
        <w:jc w:val="both"/>
        <w:rPr>
          <w:sz w:val="20"/>
        </w:rPr>
        <w:sectPr w:rsidR="00E70313">
          <w:pgSz w:w="12240" w:h="15840"/>
          <w:pgMar w:top="1060" w:right="1020" w:bottom="1160" w:left="1600" w:header="0" w:footer="902" w:gutter="0"/>
          <w:cols w:space="708"/>
        </w:sectPr>
      </w:pPr>
    </w:p>
    <w:p w:rsidR="00E70313" w:rsidRDefault="00DE68E6">
      <w:pPr>
        <w:pStyle w:val="Odstavecseseznamem"/>
        <w:numPr>
          <w:ilvl w:val="1"/>
          <w:numId w:val="4"/>
        </w:numPr>
        <w:tabs>
          <w:tab w:val="left" w:pos="669"/>
        </w:tabs>
        <w:spacing w:before="73"/>
        <w:ind w:right="117" w:hanging="283"/>
        <w:jc w:val="both"/>
        <w:rPr>
          <w:sz w:val="20"/>
        </w:rPr>
      </w:pPr>
      <w:r>
        <w:rPr>
          <w:sz w:val="20"/>
        </w:rPr>
        <w:lastRenderedPageBreak/>
        <w:t>umožní provádět kontrolu provedení akce na místě realizace, včetně kontroly souvisejících dokumentů osobám pověřeným Fondem případně jiným příslušným kontrolním orgánům, a to do uplynutí lhůty 10 let od ukončení</w:t>
      </w:r>
      <w:r>
        <w:rPr>
          <w:spacing w:val="-12"/>
          <w:sz w:val="20"/>
        </w:rPr>
        <w:t xml:space="preserve"> </w:t>
      </w:r>
      <w:r>
        <w:rPr>
          <w:sz w:val="20"/>
        </w:rPr>
        <w:t>akce,</w:t>
      </w:r>
    </w:p>
    <w:p w:rsidR="00E70313" w:rsidRDefault="00DE68E6">
      <w:pPr>
        <w:pStyle w:val="Odstavecseseznamem"/>
        <w:numPr>
          <w:ilvl w:val="1"/>
          <w:numId w:val="4"/>
        </w:numPr>
        <w:tabs>
          <w:tab w:val="left" w:pos="669"/>
        </w:tabs>
        <w:ind w:hanging="283"/>
        <w:jc w:val="left"/>
        <w:rPr>
          <w:sz w:val="20"/>
        </w:rPr>
      </w:pPr>
      <w:r>
        <w:rPr>
          <w:sz w:val="20"/>
        </w:rPr>
        <w:t>bude dodržovat pravidla publicity dle pokynů v čl. 19</w:t>
      </w:r>
      <w:r>
        <w:rPr>
          <w:spacing w:val="-12"/>
          <w:sz w:val="20"/>
        </w:rPr>
        <w:t xml:space="preserve"> </w:t>
      </w:r>
      <w:r>
        <w:rPr>
          <w:sz w:val="20"/>
        </w:rPr>
        <w:t>Výzvy,</w:t>
      </w:r>
    </w:p>
    <w:p w:rsidR="00E70313" w:rsidRDefault="00DE68E6">
      <w:pPr>
        <w:pStyle w:val="Odstavecseseznamem"/>
        <w:numPr>
          <w:ilvl w:val="1"/>
          <w:numId w:val="4"/>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E70313" w:rsidRDefault="00DE68E6">
      <w:pPr>
        <w:pStyle w:val="Odstavecseseznamem"/>
        <w:numPr>
          <w:ilvl w:val="1"/>
          <w:numId w:val="4"/>
        </w:numPr>
        <w:tabs>
          <w:tab w:val="left" w:pos="669"/>
        </w:tabs>
        <w:ind w:right="112" w:hanging="283"/>
        <w:jc w:val="both"/>
        <w:rPr>
          <w:sz w:val="20"/>
        </w:rPr>
      </w:pPr>
      <w:r>
        <w:rPr>
          <w:sz w:val="20"/>
        </w:rPr>
        <w:t>předloží Fondu nejpozději do konce 8/2021 podklady k ZVA podle článku 12 písm. d) Výzvy.             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w:t>
      </w:r>
      <w:r>
        <w:rPr>
          <w:spacing w:val="-6"/>
          <w:sz w:val="20"/>
        </w:rPr>
        <w:t xml:space="preserve"> </w:t>
      </w:r>
      <w:r>
        <w:rPr>
          <w:sz w:val="20"/>
        </w:rPr>
        <w:t>Smlouvy</w:t>
      </w:r>
      <w:r>
        <w:rPr>
          <w:spacing w:val="-7"/>
          <w:sz w:val="20"/>
        </w:rPr>
        <w:t xml:space="preserve"> </w:t>
      </w:r>
      <w:r>
        <w:rPr>
          <w:sz w:val="20"/>
        </w:rPr>
        <w:t>a</w:t>
      </w:r>
      <w:r>
        <w:rPr>
          <w:spacing w:val="-7"/>
          <w:sz w:val="20"/>
        </w:rPr>
        <w:t xml:space="preserve"> </w:t>
      </w:r>
      <w:r>
        <w:rPr>
          <w:sz w:val="20"/>
        </w:rPr>
        <w:t>rovněž</w:t>
      </w:r>
      <w:r>
        <w:rPr>
          <w:spacing w:val="-6"/>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v</w:t>
      </w:r>
      <w:r>
        <w:rPr>
          <w:spacing w:val="-6"/>
          <w:sz w:val="20"/>
        </w:rPr>
        <w:t xml:space="preserve"> </w:t>
      </w:r>
      <w:r>
        <w:rPr>
          <w:sz w:val="20"/>
        </w:rPr>
        <w:t>prodlení</w:t>
      </w:r>
      <w:r>
        <w:rPr>
          <w:spacing w:val="-7"/>
          <w:sz w:val="20"/>
        </w:rPr>
        <w:t xml:space="preserve"> </w:t>
      </w:r>
      <w:r>
        <w:rPr>
          <w:sz w:val="20"/>
        </w:rPr>
        <w:t>s</w:t>
      </w:r>
      <w:r>
        <w:rPr>
          <w:spacing w:val="-7"/>
          <w:sz w:val="20"/>
        </w:rPr>
        <w:t xml:space="preserve"> </w:t>
      </w:r>
      <w:r>
        <w:rPr>
          <w:sz w:val="20"/>
        </w:rPr>
        <w:t>plněním</w:t>
      </w:r>
      <w:r>
        <w:rPr>
          <w:spacing w:val="-8"/>
          <w:sz w:val="20"/>
        </w:rPr>
        <w:t xml:space="preserve"> </w:t>
      </w:r>
      <w:r>
        <w:rPr>
          <w:sz w:val="20"/>
        </w:rPr>
        <w:t>finančních</w:t>
      </w:r>
      <w:r>
        <w:rPr>
          <w:spacing w:val="-7"/>
          <w:sz w:val="20"/>
        </w:rPr>
        <w:t xml:space="preserve"> </w:t>
      </w:r>
      <w:r>
        <w:rPr>
          <w:sz w:val="20"/>
        </w:rPr>
        <w:t>závazků</w:t>
      </w:r>
      <w:r>
        <w:rPr>
          <w:spacing w:val="-7"/>
          <w:sz w:val="20"/>
        </w:rPr>
        <w:t xml:space="preserve"> </w:t>
      </w:r>
      <w:r>
        <w:rPr>
          <w:sz w:val="20"/>
        </w:rPr>
        <w:t>vůči Fondu. Protokol o závěrečném vyhodnocení akce bude obsahovat vypořádání čerpaných prostředků a vyhodnocení plnění smluvních</w:t>
      </w:r>
      <w:r>
        <w:rPr>
          <w:spacing w:val="-15"/>
          <w:sz w:val="20"/>
        </w:rPr>
        <w:t xml:space="preserve"> </w:t>
      </w:r>
      <w:r>
        <w:rPr>
          <w:sz w:val="20"/>
        </w:rPr>
        <w:t>podmínek.</w:t>
      </w:r>
    </w:p>
    <w:p w:rsidR="00E70313" w:rsidRDefault="00DE68E6">
      <w:pPr>
        <w:pStyle w:val="Odstavecseseznamem"/>
        <w:numPr>
          <w:ilvl w:val="0"/>
          <w:numId w:val="4"/>
        </w:numPr>
        <w:tabs>
          <w:tab w:val="left" w:pos="325"/>
        </w:tabs>
        <w:ind w:left="324" w:hanging="222"/>
        <w:rPr>
          <w:sz w:val="20"/>
        </w:rPr>
      </w:pPr>
      <w:r>
        <w:rPr>
          <w:sz w:val="20"/>
        </w:rPr>
        <w:t>Příjemce podpory je dále</w:t>
      </w:r>
      <w:r>
        <w:rPr>
          <w:spacing w:val="-8"/>
          <w:sz w:val="20"/>
        </w:rPr>
        <w:t xml:space="preserve"> </w:t>
      </w:r>
      <w:r>
        <w:rPr>
          <w:sz w:val="20"/>
        </w:rPr>
        <w:t>povinen:</w:t>
      </w:r>
    </w:p>
    <w:p w:rsidR="00E70313" w:rsidRDefault="00DE68E6">
      <w:pPr>
        <w:pStyle w:val="Odstavecseseznamem"/>
        <w:numPr>
          <w:ilvl w:val="1"/>
          <w:numId w:val="4"/>
        </w:numPr>
        <w:tabs>
          <w:tab w:val="left" w:pos="669"/>
        </w:tabs>
        <w:spacing w:before="118"/>
        <w:ind w:right="113"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E70313" w:rsidRDefault="00DE68E6">
      <w:pPr>
        <w:pStyle w:val="Odstavecseseznamem"/>
        <w:numPr>
          <w:ilvl w:val="1"/>
          <w:numId w:val="4"/>
        </w:numPr>
        <w:tabs>
          <w:tab w:val="left" w:pos="669"/>
        </w:tabs>
        <w:ind w:right="111" w:hanging="283"/>
        <w:jc w:val="both"/>
        <w:rPr>
          <w:sz w:val="20"/>
        </w:rPr>
      </w:pPr>
      <w:r>
        <w:rPr>
          <w:sz w:val="20"/>
        </w:rPr>
        <w:t>vést o použití poskytnutých prostředků samostatnou průkaznou evidenci v souladu s právními předpisy,</w:t>
      </w:r>
    </w:p>
    <w:p w:rsidR="00E70313" w:rsidRDefault="00DE68E6">
      <w:pPr>
        <w:pStyle w:val="Odstavecseseznamem"/>
        <w:numPr>
          <w:ilvl w:val="1"/>
          <w:numId w:val="4"/>
        </w:numPr>
        <w:tabs>
          <w:tab w:val="left" w:pos="669"/>
        </w:tabs>
        <w:ind w:right="111" w:hanging="283"/>
        <w:jc w:val="both"/>
        <w:rPr>
          <w:sz w:val="20"/>
        </w:rPr>
      </w:pPr>
      <w:r>
        <w:rPr>
          <w:sz w:val="20"/>
        </w:rPr>
        <w:t>vrátit</w:t>
      </w:r>
      <w:r>
        <w:rPr>
          <w:spacing w:val="-5"/>
          <w:sz w:val="20"/>
        </w:rPr>
        <w:t xml:space="preserve"> </w:t>
      </w:r>
      <w:r>
        <w:rPr>
          <w:sz w:val="20"/>
        </w:rPr>
        <w:t>poskytnuté</w:t>
      </w:r>
      <w:r>
        <w:rPr>
          <w:spacing w:val="-5"/>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3"/>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14"/>
          <w:sz w:val="20"/>
        </w:rPr>
        <w:t xml:space="preserve"> </w:t>
      </w:r>
      <w:r>
        <w:rPr>
          <w:sz w:val="20"/>
        </w:rPr>
        <w:t>dnů</w:t>
      </w:r>
      <w:r>
        <w:rPr>
          <w:spacing w:val="-4"/>
          <w:sz w:val="20"/>
        </w:rPr>
        <w:t xml:space="preserve"> </w:t>
      </w:r>
      <w:r>
        <w:rPr>
          <w:sz w:val="20"/>
        </w:rPr>
        <w:t>poté,</w:t>
      </w:r>
      <w:r>
        <w:rPr>
          <w:spacing w:val="-2"/>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2"/>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E70313" w:rsidRDefault="00DE68E6">
      <w:pPr>
        <w:pStyle w:val="Odstavecseseznamem"/>
        <w:numPr>
          <w:ilvl w:val="1"/>
          <w:numId w:val="4"/>
        </w:numPr>
        <w:tabs>
          <w:tab w:val="left" w:pos="669"/>
        </w:tabs>
        <w:ind w:right="112" w:hanging="283"/>
        <w:jc w:val="both"/>
        <w:rPr>
          <w:sz w:val="20"/>
        </w:rPr>
      </w:pPr>
      <w:r>
        <w:rPr>
          <w:sz w:val="20"/>
        </w:rPr>
        <w:t>vrátit</w:t>
      </w:r>
      <w:r>
        <w:rPr>
          <w:spacing w:val="-10"/>
          <w:sz w:val="20"/>
        </w:rPr>
        <w:t xml:space="preserve"> </w:t>
      </w:r>
      <w:r>
        <w:rPr>
          <w:sz w:val="20"/>
        </w:rPr>
        <w:t>částku</w:t>
      </w:r>
      <w:r>
        <w:rPr>
          <w:spacing w:val="-9"/>
          <w:sz w:val="20"/>
        </w:rPr>
        <w:t xml:space="preserve"> </w:t>
      </w:r>
      <w:r>
        <w:rPr>
          <w:sz w:val="20"/>
        </w:rPr>
        <w:t>DPH</w:t>
      </w:r>
      <w:r>
        <w:rPr>
          <w:spacing w:val="-11"/>
          <w:sz w:val="20"/>
        </w:rPr>
        <w:t xml:space="preserve"> </w:t>
      </w:r>
      <w:r>
        <w:rPr>
          <w:sz w:val="20"/>
        </w:rPr>
        <w:t>nebo</w:t>
      </w:r>
      <w:r>
        <w:rPr>
          <w:spacing w:val="-10"/>
          <w:sz w:val="20"/>
        </w:rPr>
        <w:t xml:space="preserve"> </w:t>
      </w:r>
      <w:r>
        <w:rPr>
          <w:sz w:val="20"/>
        </w:rPr>
        <w:t>její</w:t>
      </w:r>
      <w:r>
        <w:rPr>
          <w:spacing w:val="-12"/>
          <w:sz w:val="20"/>
        </w:rPr>
        <w:t xml:space="preserve"> </w:t>
      </w:r>
      <w:r>
        <w:rPr>
          <w:sz w:val="20"/>
        </w:rPr>
        <w:t>část,</w:t>
      </w:r>
      <w:r>
        <w:rPr>
          <w:spacing w:val="-12"/>
          <w:sz w:val="20"/>
        </w:rPr>
        <w:t xml:space="preserve"> </w:t>
      </w:r>
      <w:r>
        <w:rPr>
          <w:sz w:val="20"/>
        </w:rPr>
        <w:t>pokud</w:t>
      </w:r>
      <w:r>
        <w:rPr>
          <w:spacing w:val="-9"/>
          <w:sz w:val="20"/>
        </w:rPr>
        <w:t xml:space="preserve"> </w:t>
      </w:r>
      <w:r>
        <w:rPr>
          <w:sz w:val="20"/>
        </w:rPr>
        <w:t>existuje</w:t>
      </w:r>
      <w:r>
        <w:rPr>
          <w:spacing w:val="-11"/>
          <w:sz w:val="20"/>
        </w:rPr>
        <w:t xml:space="preserve"> </w:t>
      </w:r>
      <w:r>
        <w:rPr>
          <w:sz w:val="20"/>
        </w:rPr>
        <w:t>zákonný</w:t>
      </w:r>
      <w:r>
        <w:rPr>
          <w:spacing w:val="-10"/>
          <w:sz w:val="20"/>
        </w:rPr>
        <w:t xml:space="preserve"> </w:t>
      </w:r>
      <w:r>
        <w:rPr>
          <w:sz w:val="20"/>
        </w:rPr>
        <w:t>nárok</w:t>
      </w:r>
      <w:r>
        <w:rPr>
          <w:spacing w:val="-9"/>
          <w:sz w:val="20"/>
        </w:rPr>
        <w:t xml:space="preserve"> </w:t>
      </w:r>
      <w:r>
        <w:rPr>
          <w:sz w:val="20"/>
        </w:rPr>
        <w:t>(i</w:t>
      </w:r>
      <w:r>
        <w:rPr>
          <w:spacing w:val="-12"/>
          <w:sz w:val="20"/>
        </w:rPr>
        <w:t xml:space="preserve"> </w:t>
      </w:r>
      <w:r>
        <w:rPr>
          <w:sz w:val="20"/>
        </w:rPr>
        <w:t>zpětně)</w:t>
      </w:r>
      <w:r>
        <w:rPr>
          <w:spacing w:val="-12"/>
          <w:sz w:val="20"/>
        </w:rPr>
        <w:t xml:space="preserve"> </w:t>
      </w:r>
      <w:r>
        <w:rPr>
          <w:sz w:val="20"/>
        </w:rPr>
        <w:t>na</w:t>
      </w:r>
      <w:r>
        <w:rPr>
          <w:spacing w:val="-12"/>
          <w:sz w:val="20"/>
        </w:rPr>
        <w:t xml:space="preserve"> </w:t>
      </w:r>
      <w:r>
        <w:rPr>
          <w:sz w:val="20"/>
        </w:rPr>
        <w:t>její</w:t>
      </w:r>
      <w:r>
        <w:rPr>
          <w:spacing w:val="-12"/>
          <w:sz w:val="20"/>
        </w:rPr>
        <w:t xml:space="preserve"> </w:t>
      </w:r>
      <w:r>
        <w:rPr>
          <w:sz w:val="20"/>
        </w:rPr>
        <w:t>odpočet,</w:t>
      </w:r>
      <w:r>
        <w:rPr>
          <w:spacing w:val="-10"/>
          <w:sz w:val="20"/>
        </w:rPr>
        <w:t xml:space="preserve"> </w:t>
      </w:r>
      <w:r>
        <w:rPr>
          <w:sz w:val="20"/>
        </w:rPr>
        <w:t>tj.</w:t>
      </w:r>
      <w:r>
        <w:rPr>
          <w:spacing w:val="-12"/>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E70313" w:rsidRDefault="00DE68E6">
      <w:pPr>
        <w:pStyle w:val="Odstavecseseznamem"/>
        <w:numPr>
          <w:ilvl w:val="1"/>
          <w:numId w:val="4"/>
        </w:numPr>
        <w:tabs>
          <w:tab w:val="left" w:pos="669"/>
        </w:tabs>
        <w:ind w:right="112"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E70313" w:rsidRDefault="00DE68E6">
      <w:pPr>
        <w:pStyle w:val="Odstavecseseznamem"/>
        <w:numPr>
          <w:ilvl w:val="1"/>
          <w:numId w:val="4"/>
        </w:numPr>
        <w:tabs>
          <w:tab w:val="left" w:pos="669"/>
        </w:tabs>
        <w:ind w:right="114"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E70313" w:rsidRDefault="00DE68E6">
      <w:pPr>
        <w:pStyle w:val="Odstavecseseznamem"/>
        <w:numPr>
          <w:ilvl w:val="1"/>
          <w:numId w:val="4"/>
        </w:numPr>
        <w:tabs>
          <w:tab w:val="left" w:pos="669"/>
        </w:tabs>
        <w:ind w:right="112"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E70313" w:rsidRDefault="00DE68E6">
      <w:pPr>
        <w:pStyle w:val="Odstavecseseznamem"/>
        <w:numPr>
          <w:ilvl w:val="1"/>
          <w:numId w:val="4"/>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1"/>
          <w:sz w:val="20"/>
        </w:rPr>
        <w:t xml:space="preserve"> </w:t>
      </w:r>
      <w:r>
        <w:rPr>
          <w:sz w:val="20"/>
        </w:rPr>
        <w:t>Smlouvy,</w:t>
      </w:r>
    </w:p>
    <w:p w:rsidR="00E70313" w:rsidRDefault="00DE68E6">
      <w:pPr>
        <w:pStyle w:val="Odstavecseseznamem"/>
        <w:numPr>
          <w:ilvl w:val="1"/>
          <w:numId w:val="4"/>
        </w:numPr>
        <w:tabs>
          <w:tab w:val="left" w:pos="669"/>
        </w:tabs>
        <w:ind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 xml:space="preserve">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w:t>
      </w:r>
      <w:r>
        <w:rPr>
          <w:spacing w:val="8"/>
          <w:sz w:val="20"/>
        </w:rPr>
        <w:t xml:space="preserve"> </w:t>
      </w:r>
      <w:r>
        <w:rPr>
          <w:sz w:val="20"/>
        </w:rPr>
        <w:t>Smlouvě</w:t>
      </w:r>
    </w:p>
    <w:p w:rsidR="00E70313" w:rsidRDefault="00E70313">
      <w:pPr>
        <w:jc w:val="both"/>
        <w:rPr>
          <w:sz w:val="20"/>
        </w:rPr>
        <w:sectPr w:rsidR="00E70313">
          <w:pgSz w:w="12240" w:h="15840"/>
          <w:pgMar w:top="1060" w:right="1020" w:bottom="1100" w:left="1600" w:header="0" w:footer="902" w:gutter="0"/>
          <w:cols w:space="708"/>
        </w:sectPr>
      </w:pPr>
    </w:p>
    <w:p w:rsidR="00E70313" w:rsidRDefault="00DE68E6">
      <w:pPr>
        <w:pStyle w:val="Zkladntext"/>
        <w:spacing w:before="73"/>
        <w:ind w:left="668"/>
        <w:jc w:val="left"/>
      </w:pPr>
      <w:r>
        <w:lastRenderedPageBreak/>
        <w:t>není pravdivé, bude považováno za porušení jeho povinnosti stanovené touto Smlouvou,</w:t>
      </w:r>
    </w:p>
    <w:p w:rsidR="00E70313" w:rsidRDefault="00DE68E6">
      <w:pPr>
        <w:pStyle w:val="Odstavecseseznamem"/>
        <w:numPr>
          <w:ilvl w:val="1"/>
          <w:numId w:val="4"/>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E70313" w:rsidRDefault="00DE68E6">
      <w:pPr>
        <w:pStyle w:val="Zkladntext"/>
        <w:spacing w:before="0"/>
        <w:ind w:left="647" w:right="677"/>
        <w:jc w:val="center"/>
      </w:pPr>
      <w:r>
        <w:t>– odkaz na Zadávání veřejných zakázek pro OPŽP 2014 - 2020, a to i v průběhu realizace akce,</w:t>
      </w:r>
    </w:p>
    <w:p w:rsidR="00E70313" w:rsidRDefault="00DE68E6">
      <w:pPr>
        <w:pStyle w:val="Odstavecseseznamem"/>
        <w:numPr>
          <w:ilvl w:val="1"/>
          <w:numId w:val="4"/>
        </w:numPr>
        <w:tabs>
          <w:tab w:val="left" w:pos="724"/>
        </w:tabs>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E70313" w:rsidRDefault="00DE68E6">
      <w:pPr>
        <w:pStyle w:val="Odstavecseseznamem"/>
        <w:numPr>
          <w:ilvl w:val="1"/>
          <w:numId w:val="4"/>
        </w:numPr>
        <w:tabs>
          <w:tab w:val="left" w:pos="669"/>
        </w:tabs>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E70313" w:rsidRDefault="00E70313">
      <w:pPr>
        <w:pStyle w:val="Zkladntext"/>
        <w:spacing w:before="0"/>
        <w:jc w:val="left"/>
        <w:rPr>
          <w:sz w:val="26"/>
        </w:rPr>
      </w:pPr>
    </w:p>
    <w:p w:rsidR="00E70313" w:rsidRDefault="00DE68E6">
      <w:pPr>
        <w:pStyle w:val="Nadpis1"/>
        <w:spacing w:before="185"/>
        <w:ind w:left="3137"/>
      </w:pPr>
      <w:r>
        <w:t>V.</w:t>
      </w:r>
    </w:p>
    <w:p w:rsidR="00E70313" w:rsidRDefault="00DE68E6">
      <w:pPr>
        <w:spacing w:before="1"/>
        <w:ind w:left="647" w:right="658"/>
        <w:jc w:val="center"/>
        <w:rPr>
          <w:b/>
          <w:sz w:val="20"/>
        </w:rPr>
      </w:pPr>
      <w:r>
        <w:rPr>
          <w:b/>
          <w:sz w:val="20"/>
        </w:rPr>
        <w:t>Porušení smluvních podmínek a sankce</w:t>
      </w:r>
    </w:p>
    <w:p w:rsidR="00E70313" w:rsidRDefault="00E70313">
      <w:pPr>
        <w:pStyle w:val="Zkladntext"/>
        <w:spacing w:before="0"/>
        <w:jc w:val="left"/>
        <w:rPr>
          <w:b/>
        </w:rPr>
      </w:pPr>
    </w:p>
    <w:p w:rsidR="00E70313" w:rsidRDefault="00DE68E6">
      <w:pPr>
        <w:pStyle w:val="Odstavecseseznamem"/>
        <w:numPr>
          <w:ilvl w:val="0"/>
          <w:numId w:val="3"/>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6"/>
          <w:sz w:val="20"/>
        </w:rPr>
        <w:t xml:space="preserve"> </w:t>
      </w:r>
      <w:r>
        <w:rPr>
          <w:sz w:val="20"/>
        </w:rPr>
        <w:t>znění.</w:t>
      </w:r>
    </w:p>
    <w:p w:rsidR="00E70313" w:rsidRDefault="00DE68E6">
      <w:pPr>
        <w:pStyle w:val="Odstavecseseznamem"/>
        <w:numPr>
          <w:ilvl w:val="0"/>
          <w:numId w:val="3"/>
        </w:numPr>
        <w:tabs>
          <w:tab w:val="left" w:pos="386"/>
        </w:tabs>
        <w:ind w:right="111" w:hanging="283"/>
        <w:jc w:val="both"/>
        <w:rPr>
          <w:sz w:val="20"/>
        </w:rPr>
      </w:pPr>
      <w:r>
        <w:rPr>
          <w:sz w:val="20"/>
        </w:rPr>
        <w:t>Porušení povinností podle článku II bodů 5 nebo 6, podle článku IV bodu 1 písm. a), c), d), e), g), h), j),</w:t>
      </w:r>
      <w:r>
        <w:rPr>
          <w:spacing w:val="-26"/>
          <w:sz w:val="20"/>
        </w:rPr>
        <w:t xml:space="preserve"> </w:t>
      </w:r>
      <w:r>
        <w:rPr>
          <w:sz w:val="20"/>
        </w:rPr>
        <w:t>k) nebo  l) nebo  podle článku  IV bodu 2 písm. a), c) nebo  e) bude postiženo odvodem ve výši 100 %       z poskytnuté</w:t>
      </w:r>
      <w:r>
        <w:rPr>
          <w:spacing w:val="-7"/>
          <w:sz w:val="20"/>
        </w:rPr>
        <w:t xml:space="preserve"> </w:t>
      </w:r>
      <w:r>
        <w:rPr>
          <w:sz w:val="20"/>
        </w:rPr>
        <w:t>podpory.</w:t>
      </w:r>
    </w:p>
    <w:p w:rsidR="00E70313" w:rsidRDefault="00DE68E6">
      <w:pPr>
        <w:pStyle w:val="Odstavecseseznamem"/>
        <w:numPr>
          <w:ilvl w:val="0"/>
          <w:numId w:val="3"/>
        </w:numPr>
        <w:tabs>
          <w:tab w:val="left" w:pos="441"/>
        </w:tabs>
        <w:ind w:right="110" w:hanging="283"/>
        <w:jc w:val="both"/>
        <w:rPr>
          <w:sz w:val="20"/>
        </w:rPr>
      </w:pPr>
      <w:r>
        <w:rPr>
          <w:sz w:val="20"/>
        </w:rPr>
        <w:t>Porušení povinností podle článku IV bodu 1 písm. b) nebo f)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f)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f) na 80 % a více bez odvodu.</w:t>
      </w:r>
    </w:p>
    <w:p w:rsidR="00E70313" w:rsidRDefault="00DE68E6">
      <w:pPr>
        <w:pStyle w:val="Odstavecseseznamem"/>
        <w:numPr>
          <w:ilvl w:val="0"/>
          <w:numId w:val="3"/>
        </w:numPr>
        <w:tabs>
          <w:tab w:val="left" w:pos="386"/>
        </w:tabs>
        <w:spacing w:before="118"/>
        <w:ind w:right="109" w:hanging="283"/>
        <w:jc w:val="both"/>
        <w:rPr>
          <w:sz w:val="20"/>
        </w:rPr>
      </w:pPr>
      <w:r>
        <w:rPr>
          <w:sz w:val="20"/>
        </w:rPr>
        <w:t>Porušení povinnosti podle článku IV bodu 1 písm.  m) bude postiženo odvodem ve výši 0,1  – 25 %       z poskytnuté</w:t>
      </w:r>
      <w:r>
        <w:rPr>
          <w:spacing w:val="-6"/>
          <w:sz w:val="20"/>
        </w:rPr>
        <w:t xml:space="preserve"> </w:t>
      </w:r>
      <w:r>
        <w:rPr>
          <w:sz w:val="20"/>
        </w:rPr>
        <w:t>podpory.</w:t>
      </w:r>
    </w:p>
    <w:p w:rsidR="00E70313" w:rsidRDefault="00DE68E6">
      <w:pPr>
        <w:pStyle w:val="Odstavecseseznamem"/>
        <w:numPr>
          <w:ilvl w:val="0"/>
          <w:numId w:val="3"/>
        </w:numPr>
        <w:tabs>
          <w:tab w:val="left" w:pos="386"/>
        </w:tabs>
        <w:ind w:right="116" w:hanging="283"/>
        <w:jc w:val="both"/>
        <w:rPr>
          <w:sz w:val="20"/>
        </w:rPr>
      </w:pPr>
      <w:r>
        <w:rPr>
          <w:sz w:val="20"/>
        </w:rPr>
        <w:t>Porušení povinnosti podle článku IV bodu 1 písm. n) bude postiženo odvodem ve výši 1 % z poskytnuté podpory.</w:t>
      </w:r>
    </w:p>
    <w:p w:rsidR="00E70313" w:rsidRDefault="00DE68E6">
      <w:pPr>
        <w:pStyle w:val="Odstavecseseznamem"/>
        <w:numPr>
          <w:ilvl w:val="0"/>
          <w:numId w:val="3"/>
        </w:numPr>
        <w:tabs>
          <w:tab w:val="left" w:pos="386"/>
        </w:tabs>
        <w:ind w:right="113" w:hanging="283"/>
        <w:jc w:val="both"/>
        <w:rPr>
          <w:sz w:val="20"/>
        </w:rPr>
      </w:pPr>
      <w:r>
        <w:rPr>
          <w:sz w:val="20"/>
        </w:rPr>
        <w:t>Nedodržení</w:t>
      </w:r>
      <w:r>
        <w:rPr>
          <w:spacing w:val="-3"/>
          <w:sz w:val="20"/>
        </w:rPr>
        <w:t xml:space="preserve"> </w:t>
      </w:r>
      <w:r>
        <w:rPr>
          <w:sz w:val="20"/>
        </w:rPr>
        <w:t>lhůty</w:t>
      </w:r>
      <w:r>
        <w:rPr>
          <w:spacing w:val="-3"/>
          <w:sz w:val="20"/>
        </w:rPr>
        <w:t xml:space="preserve"> </w:t>
      </w:r>
      <w:r>
        <w:rPr>
          <w:sz w:val="20"/>
        </w:rPr>
        <w:t>realizace</w:t>
      </w:r>
      <w:r>
        <w:rPr>
          <w:spacing w:val="-3"/>
          <w:sz w:val="20"/>
        </w:rPr>
        <w:t xml:space="preserve"> </w:t>
      </w:r>
      <w:r>
        <w:rPr>
          <w:sz w:val="20"/>
        </w:rPr>
        <w:t>akce</w:t>
      </w:r>
      <w:r>
        <w:rPr>
          <w:spacing w:val="-3"/>
          <w:sz w:val="20"/>
        </w:rPr>
        <w:t xml:space="preserve"> </w:t>
      </w:r>
      <w:r>
        <w:rPr>
          <w:sz w:val="20"/>
        </w:rPr>
        <w:t>podle</w:t>
      </w:r>
      <w:r>
        <w:rPr>
          <w:spacing w:val="-3"/>
          <w:sz w:val="20"/>
        </w:rPr>
        <w:t xml:space="preserve"> </w:t>
      </w:r>
      <w:r>
        <w:rPr>
          <w:sz w:val="20"/>
        </w:rPr>
        <w:t>článku</w:t>
      </w:r>
      <w:r>
        <w:rPr>
          <w:spacing w:val="-3"/>
          <w:sz w:val="20"/>
        </w:rPr>
        <w:t xml:space="preserve"> </w:t>
      </w:r>
      <w:r>
        <w:rPr>
          <w:sz w:val="20"/>
        </w:rPr>
        <w:t>IV</w:t>
      </w:r>
      <w:r>
        <w:rPr>
          <w:spacing w:val="-2"/>
          <w:sz w:val="20"/>
        </w:rPr>
        <w:t xml:space="preserve"> </w:t>
      </w:r>
      <w:r>
        <w:rPr>
          <w:sz w:val="20"/>
        </w:rPr>
        <w:t>bodu</w:t>
      </w:r>
      <w:r>
        <w:rPr>
          <w:spacing w:val="-4"/>
          <w:sz w:val="20"/>
        </w:rPr>
        <w:t xml:space="preserve"> </w:t>
      </w:r>
      <w:r>
        <w:rPr>
          <w:sz w:val="20"/>
        </w:rPr>
        <w:t>1</w:t>
      </w:r>
      <w:r>
        <w:rPr>
          <w:spacing w:val="-3"/>
          <w:sz w:val="20"/>
        </w:rPr>
        <w:t xml:space="preserve"> </w:t>
      </w:r>
      <w:r>
        <w:rPr>
          <w:sz w:val="20"/>
        </w:rPr>
        <w:t>písm.</w:t>
      </w:r>
      <w:r>
        <w:rPr>
          <w:spacing w:val="-3"/>
          <w:sz w:val="20"/>
        </w:rPr>
        <w:t xml:space="preserve"> </w:t>
      </w:r>
      <w:r>
        <w:rPr>
          <w:sz w:val="20"/>
        </w:rPr>
        <w:t>b)</w:t>
      </w:r>
      <w:r>
        <w:rPr>
          <w:spacing w:val="-3"/>
          <w:sz w:val="20"/>
        </w:rPr>
        <w:t xml:space="preserve"> </w:t>
      </w:r>
      <w:r>
        <w:rPr>
          <w:sz w:val="20"/>
        </w:rPr>
        <w:t>bude</w:t>
      </w:r>
      <w:r>
        <w:rPr>
          <w:spacing w:val="-3"/>
          <w:sz w:val="20"/>
        </w:rPr>
        <w:t xml:space="preserve"> </w:t>
      </w:r>
      <w:r>
        <w:rPr>
          <w:sz w:val="20"/>
        </w:rPr>
        <w:t>postiženo</w:t>
      </w:r>
      <w:r>
        <w:rPr>
          <w:spacing w:val="-2"/>
          <w:sz w:val="20"/>
        </w:rPr>
        <w:t xml:space="preserve"> </w:t>
      </w:r>
      <w:r>
        <w:rPr>
          <w:sz w:val="20"/>
        </w:rPr>
        <w:t>odvodem</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0,5</w:t>
      </w:r>
      <w:r>
        <w:rPr>
          <w:spacing w:val="-3"/>
          <w:sz w:val="20"/>
        </w:rPr>
        <w:t xml:space="preserve"> </w:t>
      </w:r>
      <w:r>
        <w:rPr>
          <w:sz w:val="20"/>
        </w:rPr>
        <w:t>% z poskytnuté podpory za každý započatý měsíc prodlení. Porušení těchto povinností nepřesahující lhůtu 10 kalendářních dnů nebude postiženo a nebude tak považováno za porušení podmínek poskytnutí podpory.</w:t>
      </w:r>
    </w:p>
    <w:p w:rsidR="00E70313" w:rsidRDefault="00DE68E6">
      <w:pPr>
        <w:pStyle w:val="Odstavecseseznamem"/>
        <w:numPr>
          <w:ilvl w:val="0"/>
          <w:numId w:val="3"/>
        </w:numPr>
        <w:tabs>
          <w:tab w:val="left" w:pos="386"/>
        </w:tabs>
        <w:spacing w:before="121"/>
        <w:ind w:right="114" w:hanging="283"/>
        <w:jc w:val="both"/>
        <w:rPr>
          <w:sz w:val="20"/>
        </w:rPr>
      </w:pPr>
      <w:r>
        <w:rPr>
          <w:sz w:val="20"/>
        </w:rPr>
        <w:t>Porušení povinností podle článku IV bodu 1 písm. q) bude postiženo odvodem ve výši nezaplacené dlužné částky vynásobené procentem poskytnuté podpory. Porušení této povinnosti nepřesahující</w:t>
      </w:r>
      <w:r>
        <w:rPr>
          <w:spacing w:val="-25"/>
          <w:sz w:val="20"/>
        </w:rPr>
        <w:t xml:space="preserve"> </w:t>
      </w:r>
      <w:r>
        <w:rPr>
          <w:sz w:val="20"/>
        </w:rPr>
        <w:t>lhůtu</w:t>
      </w:r>
    </w:p>
    <w:p w:rsidR="00E70313" w:rsidRDefault="00DE68E6">
      <w:pPr>
        <w:pStyle w:val="Zkladntext"/>
        <w:spacing w:before="0"/>
        <w:ind w:left="385"/>
        <w:jc w:val="left"/>
      </w:pPr>
      <w:r>
        <w:t>5 pracovních dnů nebude postiženo a nebude tak považováno za porušení podmínek poskytnutí podpory.</w:t>
      </w:r>
    </w:p>
    <w:p w:rsidR="00E70313" w:rsidRDefault="00DE68E6">
      <w:pPr>
        <w:pStyle w:val="Odstavecseseznamem"/>
        <w:numPr>
          <w:ilvl w:val="0"/>
          <w:numId w:val="3"/>
        </w:numPr>
        <w:tabs>
          <w:tab w:val="left" w:pos="386"/>
        </w:tabs>
        <w:spacing w:before="118"/>
        <w:ind w:right="114" w:hanging="283"/>
        <w:jc w:val="both"/>
        <w:rPr>
          <w:sz w:val="20"/>
        </w:rPr>
      </w:pPr>
      <w:r>
        <w:rPr>
          <w:sz w:val="20"/>
        </w:rPr>
        <w:t xml:space="preserve">Porušení povinností podle článku IV bodu 1 písm. r) bude postiženo takto: do 30 kalendářních dní bez postihu, od 31 do 90 kalendářních dní odvod 1 % z poskytnuté podpory, od 91 do 180 kalendářních dní odvod      3      %      z poskytnuté      podpory,      prodlení      delší      než      180      kalendářních  </w:t>
      </w:r>
      <w:r>
        <w:rPr>
          <w:spacing w:val="44"/>
          <w:sz w:val="20"/>
        </w:rPr>
        <w:t xml:space="preserve"> </w:t>
      </w:r>
      <w:r>
        <w:rPr>
          <w:sz w:val="20"/>
        </w:rPr>
        <w:t>dní</w:t>
      </w:r>
    </w:p>
    <w:p w:rsidR="00E70313" w:rsidRDefault="00E70313">
      <w:pPr>
        <w:jc w:val="both"/>
        <w:rPr>
          <w:sz w:val="20"/>
        </w:rPr>
        <w:sectPr w:rsidR="00E70313">
          <w:pgSz w:w="12240" w:h="15840"/>
          <w:pgMar w:top="1060" w:right="1020" w:bottom="1160" w:left="1600" w:header="0" w:footer="902" w:gutter="0"/>
          <w:cols w:space="708"/>
        </w:sectPr>
      </w:pPr>
    </w:p>
    <w:p w:rsidR="00E70313" w:rsidRDefault="00DE68E6">
      <w:pPr>
        <w:pStyle w:val="Zkladntext"/>
        <w:spacing w:before="73"/>
        <w:ind w:left="525"/>
        <w:jc w:val="left"/>
      </w:pPr>
      <w:r>
        <w:lastRenderedPageBreak/>
        <w:t>5 % z poskytnuté podpory.</w:t>
      </w:r>
    </w:p>
    <w:p w:rsidR="00E70313" w:rsidRDefault="00DE68E6">
      <w:pPr>
        <w:pStyle w:val="Odstavecseseznamem"/>
        <w:numPr>
          <w:ilvl w:val="0"/>
          <w:numId w:val="3"/>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E70313" w:rsidRDefault="00DE68E6">
      <w:pPr>
        <w:pStyle w:val="Odstavecseseznamem"/>
        <w:numPr>
          <w:ilvl w:val="0"/>
          <w:numId w:val="3"/>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E70313" w:rsidRDefault="00DE68E6">
      <w:pPr>
        <w:pStyle w:val="Odstavecseseznamem"/>
        <w:numPr>
          <w:ilvl w:val="0"/>
          <w:numId w:val="3"/>
        </w:numPr>
        <w:tabs>
          <w:tab w:val="left" w:pos="526"/>
        </w:tabs>
        <w:ind w:left="525" w:right="112" w:hanging="425"/>
        <w:jc w:val="both"/>
        <w:rPr>
          <w:sz w:val="20"/>
        </w:rPr>
      </w:pPr>
      <w:r>
        <w:rPr>
          <w:sz w:val="20"/>
        </w:rPr>
        <w:t xml:space="preserve">Porušení povinností podle přílohy č. 1 této Smlouvy bude postiženo odvodem ve </w:t>
      </w:r>
      <w:r>
        <w:rPr>
          <w:spacing w:val="2"/>
          <w:sz w:val="20"/>
        </w:rPr>
        <w:t xml:space="preserve">výši </w:t>
      </w:r>
      <w:r>
        <w:rPr>
          <w:sz w:val="20"/>
        </w:rPr>
        <w:t>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E70313" w:rsidRDefault="00DE68E6">
      <w:pPr>
        <w:pStyle w:val="Odstavecseseznamem"/>
        <w:numPr>
          <w:ilvl w:val="0"/>
          <w:numId w:val="3"/>
        </w:numPr>
        <w:tabs>
          <w:tab w:val="left" w:pos="526"/>
        </w:tabs>
        <w:ind w:left="525" w:right="109"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3"/>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E70313" w:rsidRDefault="00DE68E6">
      <w:pPr>
        <w:pStyle w:val="Odstavecseseznamem"/>
        <w:numPr>
          <w:ilvl w:val="0"/>
          <w:numId w:val="3"/>
        </w:numPr>
        <w:tabs>
          <w:tab w:val="left" w:pos="526"/>
        </w:tabs>
        <w:ind w:left="525" w:right="110" w:hanging="425"/>
        <w:jc w:val="both"/>
        <w:rPr>
          <w:sz w:val="20"/>
        </w:rPr>
      </w:pPr>
      <w:r>
        <w:rPr>
          <w:sz w:val="20"/>
        </w:rPr>
        <w:t>Porušení ostatních povinností podle této Smlouvy bude postiženo odvodem ve výši 0,1 % z poskytnuté podpory.</w:t>
      </w:r>
    </w:p>
    <w:p w:rsidR="00E70313" w:rsidRDefault="00E70313">
      <w:pPr>
        <w:pStyle w:val="Zkladntext"/>
        <w:spacing w:before="0"/>
        <w:jc w:val="left"/>
        <w:rPr>
          <w:sz w:val="26"/>
        </w:rPr>
      </w:pPr>
    </w:p>
    <w:p w:rsidR="00E70313" w:rsidRDefault="00DE68E6">
      <w:pPr>
        <w:pStyle w:val="Nadpis1"/>
        <w:spacing w:before="185"/>
        <w:ind w:left="3900" w:right="3771"/>
      </w:pPr>
      <w:r>
        <w:t>VI.</w:t>
      </w:r>
    </w:p>
    <w:p w:rsidR="00E70313" w:rsidRDefault="00DE68E6">
      <w:pPr>
        <w:ind w:left="3900" w:right="3774"/>
        <w:jc w:val="center"/>
        <w:rPr>
          <w:b/>
          <w:sz w:val="20"/>
        </w:rPr>
      </w:pPr>
      <w:r>
        <w:rPr>
          <w:b/>
          <w:sz w:val="20"/>
        </w:rPr>
        <w:t>Závěrečná ustanovení</w:t>
      </w:r>
    </w:p>
    <w:p w:rsidR="00E70313" w:rsidRDefault="00E70313">
      <w:pPr>
        <w:pStyle w:val="Zkladntext"/>
        <w:spacing w:before="0"/>
        <w:jc w:val="left"/>
        <w:rPr>
          <w:b/>
        </w:rPr>
      </w:pPr>
    </w:p>
    <w:p w:rsidR="00E70313" w:rsidRDefault="00DE68E6">
      <w:pPr>
        <w:pStyle w:val="Odstavecseseznamem"/>
        <w:numPr>
          <w:ilvl w:val="0"/>
          <w:numId w:val="2"/>
        </w:numPr>
        <w:tabs>
          <w:tab w:val="left" w:pos="526"/>
        </w:tabs>
        <w:spacing w:before="0"/>
        <w:ind w:right="113"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7"/>
          <w:sz w:val="20"/>
        </w:rPr>
        <w:t xml:space="preserve"> </w:t>
      </w:r>
      <w:r>
        <w:rPr>
          <w:sz w:val="20"/>
        </w:rPr>
        <w:t>1.</w:t>
      </w:r>
    </w:p>
    <w:p w:rsidR="00E70313" w:rsidRDefault="00DE68E6">
      <w:pPr>
        <w:pStyle w:val="Odstavecseseznamem"/>
        <w:numPr>
          <w:ilvl w:val="0"/>
          <w:numId w:val="2"/>
        </w:numPr>
        <w:tabs>
          <w:tab w:val="left" w:pos="526"/>
        </w:tabs>
        <w:ind w:right="112" w:hanging="283"/>
        <w:jc w:val="both"/>
        <w:rPr>
          <w:sz w:val="20"/>
        </w:rPr>
      </w:pPr>
      <w:r>
        <w:rPr>
          <w:sz w:val="20"/>
        </w:rPr>
        <w:t>Při</w:t>
      </w:r>
      <w:r>
        <w:rPr>
          <w:spacing w:val="-7"/>
          <w:sz w:val="20"/>
        </w:rPr>
        <w:t xml:space="preserve"> </w:t>
      </w:r>
      <w:r>
        <w:rPr>
          <w:sz w:val="20"/>
        </w:rPr>
        <w:t>bankovním</w:t>
      </w:r>
      <w:r>
        <w:rPr>
          <w:spacing w:val="-8"/>
          <w:sz w:val="20"/>
        </w:rPr>
        <w:t xml:space="preserve"> </w:t>
      </w:r>
      <w:r>
        <w:rPr>
          <w:sz w:val="20"/>
        </w:rPr>
        <w:t>převodu</w:t>
      </w:r>
      <w:r>
        <w:rPr>
          <w:spacing w:val="-6"/>
          <w:sz w:val="20"/>
        </w:rPr>
        <w:t xml:space="preserve"> </w:t>
      </w:r>
      <w:r>
        <w:rPr>
          <w:sz w:val="20"/>
        </w:rPr>
        <w:t>finančních</w:t>
      </w:r>
      <w:r>
        <w:rPr>
          <w:spacing w:val="-7"/>
          <w:sz w:val="20"/>
        </w:rPr>
        <w:t xml:space="preserve"> </w:t>
      </w:r>
      <w:r>
        <w:rPr>
          <w:sz w:val="20"/>
        </w:rPr>
        <w:t>prostředků</w:t>
      </w:r>
      <w:r>
        <w:rPr>
          <w:spacing w:val="-7"/>
          <w:sz w:val="20"/>
        </w:rPr>
        <w:t xml:space="preserve"> </w:t>
      </w:r>
      <w:r>
        <w:rPr>
          <w:sz w:val="20"/>
        </w:rPr>
        <w:t>dle</w:t>
      </w:r>
      <w:r>
        <w:rPr>
          <w:spacing w:val="-8"/>
          <w:sz w:val="20"/>
        </w:rPr>
        <w:t xml:space="preserve"> </w:t>
      </w:r>
      <w:r>
        <w:rPr>
          <w:sz w:val="20"/>
        </w:rPr>
        <w:t>této</w:t>
      </w:r>
      <w:r>
        <w:rPr>
          <w:spacing w:val="-4"/>
          <w:sz w:val="20"/>
        </w:rPr>
        <w:t xml:space="preserve"> </w:t>
      </w:r>
      <w:r>
        <w:rPr>
          <w:sz w:val="20"/>
        </w:rPr>
        <w:t>Smlouvy</w:t>
      </w:r>
      <w:r>
        <w:rPr>
          <w:spacing w:val="-7"/>
          <w:sz w:val="20"/>
        </w:rPr>
        <w:t xml:space="preserve"> </w:t>
      </w:r>
      <w:r>
        <w:rPr>
          <w:sz w:val="20"/>
        </w:rPr>
        <w:t>budou</w:t>
      </w:r>
      <w:r>
        <w:rPr>
          <w:spacing w:val="-7"/>
          <w:sz w:val="20"/>
        </w:rPr>
        <w:t xml:space="preserve"> </w:t>
      </w:r>
      <w:r>
        <w:rPr>
          <w:sz w:val="20"/>
        </w:rPr>
        <w:t>smluvní</w:t>
      </w:r>
      <w:r>
        <w:rPr>
          <w:spacing w:val="-4"/>
          <w:sz w:val="20"/>
        </w:rPr>
        <w:t xml:space="preserve"> </w:t>
      </w:r>
      <w:r>
        <w:rPr>
          <w:sz w:val="20"/>
        </w:rPr>
        <w:t>strany</w:t>
      </w:r>
      <w:r>
        <w:rPr>
          <w:spacing w:val="-8"/>
          <w:sz w:val="20"/>
        </w:rPr>
        <w:t xml:space="preserve"> </w:t>
      </w:r>
      <w:r>
        <w:rPr>
          <w:sz w:val="20"/>
        </w:rPr>
        <w:t>používat</w:t>
      </w:r>
      <w:r>
        <w:rPr>
          <w:spacing w:val="-7"/>
          <w:sz w:val="20"/>
        </w:rPr>
        <w:t xml:space="preserve"> </w:t>
      </w:r>
      <w:r>
        <w:rPr>
          <w:sz w:val="20"/>
        </w:rPr>
        <w:t>variabilní symboly v souladu s metodikou použití variabilních symbolů, vydanou Fondem, která je k dispozici ke stažení na</w:t>
      </w:r>
      <w:r>
        <w:rPr>
          <w:spacing w:val="-8"/>
          <w:sz w:val="20"/>
        </w:rPr>
        <w:t xml:space="preserve"> </w:t>
      </w:r>
      <w:hyperlink r:id="rId9">
        <w:r>
          <w:rPr>
            <w:sz w:val="20"/>
          </w:rPr>
          <w:t>www.sfzp.cz.</w:t>
        </w:r>
      </w:hyperlink>
    </w:p>
    <w:p w:rsidR="00E70313" w:rsidRDefault="00DE68E6">
      <w:pPr>
        <w:pStyle w:val="Odstavecseseznamem"/>
        <w:numPr>
          <w:ilvl w:val="0"/>
          <w:numId w:val="2"/>
        </w:numPr>
        <w:tabs>
          <w:tab w:val="left" w:pos="526"/>
        </w:tabs>
        <w:spacing w:before="118"/>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E70313" w:rsidRDefault="00DE68E6">
      <w:pPr>
        <w:pStyle w:val="Odstavecseseznamem"/>
        <w:numPr>
          <w:ilvl w:val="0"/>
          <w:numId w:val="2"/>
        </w:numPr>
        <w:tabs>
          <w:tab w:val="left" w:pos="52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3"/>
          <w:sz w:val="20"/>
        </w:rPr>
        <w:t xml:space="preserve"> </w:t>
      </w:r>
      <w:r>
        <w:rPr>
          <w:sz w:val="20"/>
        </w:rPr>
        <w:t>předpokládala.</w:t>
      </w:r>
    </w:p>
    <w:p w:rsidR="00E70313" w:rsidRDefault="00DE68E6">
      <w:pPr>
        <w:pStyle w:val="Odstavecseseznamem"/>
        <w:numPr>
          <w:ilvl w:val="0"/>
          <w:numId w:val="2"/>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E70313" w:rsidRDefault="00DE68E6">
      <w:pPr>
        <w:pStyle w:val="Odstavecseseznamem"/>
        <w:numPr>
          <w:ilvl w:val="0"/>
          <w:numId w:val="2"/>
        </w:numPr>
        <w:tabs>
          <w:tab w:val="left" w:pos="526"/>
        </w:tabs>
        <w:spacing w:before="117"/>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E70313" w:rsidRDefault="00DE68E6">
      <w:pPr>
        <w:pStyle w:val="Odstavecseseznamem"/>
        <w:numPr>
          <w:ilvl w:val="0"/>
          <w:numId w:val="2"/>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E70313" w:rsidRDefault="00DE68E6">
      <w:pPr>
        <w:pStyle w:val="Odstavecseseznamem"/>
        <w:numPr>
          <w:ilvl w:val="0"/>
          <w:numId w:val="2"/>
        </w:numPr>
        <w:tabs>
          <w:tab w:val="left" w:pos="52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18"/>
          <w:sz w:val="20"/>
        </w:rPr>
        <w:t xml:space="preserve"> </w:t>
      </w:r>
      <w:r>
        <w:rPr>
          <w:sz w:val="20"/>
        </w:rPr>
        <w:t>podobě.</w:t>
      </w:r>
    </w:p>
    <w:p w:rsidR="00E70313" w:rsidRDefault="00DE68E6">
      <w:pPr>
        <w:pStyle w:val="Odstavecseseznamem"/>
        <w:numPr>
          <w:ilvl w:val="0"/>
          <w:numId w:val="2"/>
        </w:numPr>
        <w:tabs>
          <w:tab w:val="left" w:pos="52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7"/>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E70313" w:rsidRDefault="00DE68E6">
      <w:pPr>
        <w:pStyle w:val="Odstavecseseznamem"/>
        <w:numPr>
          <w:ilvl w:val="0"/>
          <w:numId w:val="2"/>
        </w:numPr>
        <w:tabs>
          <w:tab w:val="left" w:pos="526"/>
        </w:tabs>
        <w:ind w:right="116" w:hanging="425"/>
        <w:jc w:val="both"/>
        <w:rPr>
          <w:sz w:val="20"/>
        </w:rPr>
      </w:pPr>
      <w:r>
        <w:rPr>
          <w:sz w:val="20"/>
        </w:rPr>
        <w:t xml:space="preserve">Tato Smlouva je vyhotovena v jednom elektronickém vyhotovení, podepsaném zaručenými elektronickými  podpisy  zástupců  smluvních  stran,   popřípadě  je  vyhotovena  ve  dvou     </w:t>
      </w:r>
      <w:r>
        <w:rPr>
          <w:spacing w:val="39"/>
          <w:sz w:val="20"/>
        </w:rPr>
        <w:t xml:space="preserve"> </w:t>
      </w:r>
      <w:r>
        <w:rPr>
          <w:sz w:val="20"/>
        </w:rPr>
        <w:t>listinných</w:t>
      </w:r>
    </w:p>
    <w:p w:rsidR="00E70313" w:rsidRDefault="00E70313">
      <w:pPr>
        <w:jc w:val="both"/>
        <w:rPr>
          <w:sz w:val="20"/>
        </w:rPr>
        <w:sectPr w:rsidR="00E70313">
          <w:pgSz w:w="12240" w:h="15840"/>
          <w:pgMar w:top="1060" w:right="1020" w:bottom="1160" w:left="1460" w:header="0" w:footer="902" w:gutter="0"/>
          <w:cols w:space="708"/>
        </w:sectPr>
      </w:pPr>
    </w:p>
    <w:p w:rsidR="00E70313" w:rsidRDefault="00DE68E6">
      <w:pPr>
        <w:pStyle w:val="Zkladntext"/>
        <w:spacing w:before="73"/>
        <w:ind w:left="385"/>
        <w:jc w:val="left"/>
      </w:pPr>
      <w:r>
        <w:lastRenderedPageBreak/>
        <w:t>exemplářích a podepsána vlastnoručně; každý exemplář má platnost originálu. Každá smluvní strana obdrží jeden exemplář.</w:t>
      </w:r>
    </w:p>
    <w:p w:rsidR="00E70313" w:rsidRDefault="00E70313">
      <w:pPr>
        <w:pStyle w:val="Zkladntext"/>
        <w:spacing w:before="1"/>
        <w:jc w:val="left"/>
        <w:rPr>
          <w:sz w:val="29"/>
        </w:rPr>
      </w:pPr>
    </w:p>
    <w:p w:rsidR="00E70313" w:rsidRDefault="00DE68E6">
      <w:pPr>
        <w:pStyle w:val="Zkladntext"/>
        <w:tabs>
          <w:tab w:val="left" w:pos="6551"/>
        </w:tabs>
        <w:spacing w:before="0"/>
        <w:ind w:left="102"/>
        <w:jc w:val="left"/>
      </w:pPr>
      <w:r>
        <w:t>V:</w:t>
      </w:r>
      <w:r>
        <w:tab/>
        <w:t>V Praze</w:t>
      </w:r>
      <w:r>
        <w:rPr>
          <w:spacing w:val="15"/>
        </w:rPr>
        <w:t xml:space="preserve"> </w:t>
      </w:r>
      <w:r>
        <w:t>dne:</w:t>
      </w:r>
    </w:p>
    <w:p w:rsidR="00E70313" w:rsidRDefault="00E70313">
      <w:pPr>
        <w:pStyle w:val="Zkladntext"/>
        <w:spacing w:before="0"/>
        <w:jc w:val="left"/>
      </w:pPr>
    </w:p>
    <w:p w:rsidR="00E70313" w:rsidRDefault="00DE68E6">
      <w:pPr>
        <w:pStyle w:val="Zkladntext"/>
        <w:spacing w:before="0"/>
        <w:ind w:left="102"/>
        <w:jc w:val="left"/>
      </w:pPr>
      <w:r>
        <w:t>dne:</w:t>
      </w:r>
    </w:p>
    <w:p w:rsidR="00E70313" w:rsidRDefault="00E70313">
      <w:pPr>
        <w:pStyle w:val="Zkladntext"/>
        <w:spacing w:before="0"/>
        <w:jc w:val="left"/>
        <w:rPr>
          <w:sz w:val="26"/>
        </w:rPr>
      </w:pPr>
    </w:p>
    <w:p w:rsidR="00E70313" w:rsidRDefault="00E70313">
      <w:pPr>
        <w:pStyle w:val="Zkladntext"/>
        <w:spacing w:before="0"/>
        <w:jc w:val="left"/>
        <w:rPr>
          <w:sz w:val="26"/>
        </w:rPr>
      </w:pPr>
    </w:p>
    <w:p w:rsidR="00E70313" w:rsidRDefault="00E70313">
      <w:pPr>
        <w:pStyle w:val="Zkladntext"/>
        <w:spacing w:before="12"/>
        <w:jc w:val="left"/>
        <w:rPr>
          <w:sz w:val="27"/>
        </w:rPr>
      </w:pPr>
    </w:p>
    <w:p w:rsidR="00E70313" w:rsidRDefault="00DE68E6">
      <w:pPr>
        <w:pStyle w:val="Zkladntext"/>
        <w:tabs>
          <w:tab w:val="left" w:pos="6582"/>
        </w:tabs>
        <w:spacing w:before="1"/>
        <w:ind w:left="102"/>
        <w:jc w:val="left"/>
      </w:pPr>
      <w:r>
        <w:t>…………………………………………….</w:t>
      </w:r>
      <w:r>
        <w:tab/>
        <w:t>……………………………………</w:t>
      </w:r>
    </w:p>
    <w:p w:rsidR="00E70313" w:rsidRDefault="00DE68E6">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70313" w:rsidRDefault="00E70313">
      <w:pPr>
        <w:pStyle w:val="Zkladntext"/>
        <w:spacing w:before="0"/>
        <w:jc w:val="left"/>
        <w:rPr>
          <w:sz w:val="26"/>
        </w:rPr>
      </w:pPr>
    </w:p>
    <w:p w:rsidR="00E70313" w:rsidRDefault="00E70313">
      <w:pPr>
        <w:pStyle w:val="Zkladntext"/>
        <w:spacing w:before="12"/>
        <w:jc w:val="left"/>
        <w:rPr>
          <w:sz w:val="22"/>
        </w:rPr>
      </w:pPr>
    </w:p>
    <w:p w:rsidR="00E70313" w:rsidRDefault="00DE68E6">
      <w:pPr>
        <w:pStyle w:val="Zkladntext"/>
        <w:spacing w:before="0"/>
        <w:ind w:left="102"/>
        <w:jc w:val="left"/>
      </w:pPr>
      <w:r>
        <w:t>Příloha č. 1 – Specifické podmínky provozování pro model samostatného provozování</w:t>
      </w:r>
    </w:p>
    <w:p w:rsidR="00E70313" w:rsidRDefault="00E70313">
      <w:pPr>
        <w:pStyle w:val="Zkladntext"/>
        <w:spacing w:before="1"/>
        <w:jc w:val="left"/>
        <w:rPr>
          <w:sz w:val="29"/>
        </w:rPr>
      </w:pPr>
    </w:p>
    <w:p w:rsidR="00E70313" w:rsidRDefault="00DE68E6">
      <w:pPr>
        <w:pStyle w:val="Zkladntext"/>
        <w:spacing w:before="0"/>
        <w:ind w:left="102"/>
        <w:jc w:val="left"/>
      </w:pPr>
      <w:r>
        <w:t>Příloha č. 2 - Stanovení finančních oprav, které se použijí v případě porušení povinností při zadávání zakázek/veřejných zakázek</w:t>
      </w:r>
    </w:p>
    <w:p w:rsidR="00E70313" w:rsidRDefault="00E70313">
      <w:pPr>
        <w:sectPr w:rsidR="00E70313">
          <w:pgSz w:w="12240" w:h="15840"/>
          <w:pgMar w:top="1060" w:right="1020" w:bottom="1160" w:left="1600" w:header="0" w:footer="902" w:gutter="0"/>
          <w:cols w:space="708"/>
        </w:sectPr>
      </w:pPr>
    </w:p>
    <w:p w:rsidR="00E70313" w:rsidRDefault="00DE68E6">
      <w:pPr>
        <w:pStyle w:val="Zkladntext"/>
        <w:spacing w:before="73"/>
        <w:ind w:left="102"/>
        <w:jc w:val="left"/>
      </w:pPr>
      <w:r>
        <w:lastRenderedPageBreak/>
        <w:t>Příloha č. 1 - Specifické podmínky provozování pro model samostatného provozování</w:t>
      </w:r>
    </w:p>
    <w:p w:rsidR="00E70313" w:rsidRDefault="00E70313">
      <w:pPr>
        <w:pStyle w:val="Zkladntext"/>
        <w:spacing w:before="1"/>
        <w:jc w:val="left"/>
        <w:rPr>
          <w:sz w:val="29"/>
        </w:rPr>
      </w:pPr>
    </w:p>
    <w:p w:rsidR="00E70313" w:rsidRDefault="00DE68E6">
      <w:pPr>
        <w:pStyle w:val="Nadpis1"/>
        <w:ind w:right="0"/>
        <w:jc w:val="left"/>
      </w:pPr>
      <w:r>
        <w:t>Specifické podmínky provozování pro model samostatného provozování</w:t>
      </w:r>
    </w:p>
    <w:p w:rsidR="00E70313" w:rsidRDefault="00E70313">
      <w:pPr>
        <w:pStyle w:val="Zkladntext"/>
        <w:spacing w:before="1"/>
        <w:jc w:val="left"/>
        <w:rPr>
          <w:b/>
          <w:sz w:val="29"/>
        </w:rPr>
      </w:pPr>
    </w:p>
    <w:p w:rsidR="00E70313" w:rsidRDefault="00DE68E6">
      <w:pPr>
        <w:pStyle w:val="Odstavecseseznamem"/>
        <w:numPr>
          <w:ilvl w:val="0"/>
          <w:numId w:val="1"/>
        </w:numPr>
        <w:tabs>
          <w:tab w:val="left" w:pos="530"/>
        </w:tabs>
        <w:spacing w:before="0" w:line="264" w:lineRule="auto"/>
        <w:ind w:right="111"/>
        <w:jc w:val="both"/>
        <w:rPr>
          <w:sz w:val="20"/>
        </w:rPr>
      </w:pPr>
      <w:r>
        <w:rPr>
          <w:sz w:val="20"/>
        </w:rP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w:t>
      </w:r>
      <w:r>
        <w:rPr>
          <w:spacing w:val="-8"/>
          <w:sz w:val="20"/>
        </w:rPr>
        <w:t xml:space="preserve"> </w:t>
      </w:r>
      <w:r>
        <w:rPr>
          <w:sz w:val="20"/>
        </w:rPr>
        <w:t>viz</w:t>
      </w:r>
      <w:r>
        <w:rPr>
          <w:spacing w:val="-6"/>
          <w:sz w:val="20"/>
        </w:rPr>
        <w:t xml:space="preserve"> </w:t>
      </w:r>
      <w:r>
        <w:rPr>
          <w:sz w:val="20"/>
        </w:rPr>
        <w:t>Metodika)</w:t>
      </w:r>
      <w:r>
        <w:rPr>
          <w:spacing w:val="-9"/>
          <w:sz w:val="20"/>
        </w:rPr>
        <w:t xml:space="preserve"> </w:t>
      </w:r>
      <w:r>
        <w:rPr>
          <w:sz w:val="20"/>
        </w:rPr>
        <w:t>společně</w:t>
      </w:r>
      <w:r>
        <w:rPr>
          <w:spacing w:val="-9"/>
          <w:sz w:val="20"/>
        </w:rPr>
        <w:t xml:space="preserve"> </w:t>
      </w:r>
      <w:r>
        <w:rPr>
          <w:sz w:val="20"/>
        </w:rPr>
        <w:t>s</w:t>
      </w:r>
      <w:r>
        <w:rPr>
          <w:spacing w:val="-8"/>
          <w:sz w:val="20"/>
        </w:rPr>
        <w:t xml:space="preserve"> </w:t>
      </w:r>
      <w:r>
        <w:rPr>
          <w:sz w:val="20"/>
        </w:rPr>
        <w:t>podpořenou</w:t>
      </w:r>
      <w:r>
        <w:rPr>
          <w:spacing w:val="-8"/>
          <w:sz w:val="20"/>
        </w:rPr>
        <w:t xml:space="preserve"> </w:t>
      </w:r>
      <w:r>
        <w:rPr>
          <w:sz w:val="20"/>
        </w:rPr>
        <w:t>infrastrukturou</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podpořeného</w:t>
      </w:r>
      <w:r>
        <w:rPr>
          <w:spacing w:val="-7"/>
          <w:sz w:val="20"/>
        </w:rPr>
        <w:t xml:space="preserve"> </w:t>
      </w:r>
      <w:r>
        <w:rPr>
          <w:sz w:val="20"/>
        </w:rPr>
        <w:t>samostatného modelu</w:t>
      </w:r>
      <w:r>
        <w:rPr>
          <w:spacing w:val="-7"/>
          <w:sz w:val="20"/>
        </w:rPr>
        <w:t xml:space="preserve"> </w:t>
      </w:r>
      <w:r>
        <w:rPr>
          <w:sz w:val="20"/>
        </w:rPr>
        <w:t>provozování.</w:t>
      </w:r>
    </w:p>
    <w:p w:rsidR="00E70313" w:rsidRDefault="00DE68E6">
      <w:pPr>
        <w:pStyle w:val="Odstavecseseznamem"/>
        <w:numPr>
          <w:ilvl w:val="0"/>
          <w:numId w:val="1"/>
        </w:numPr>
        <w:tabs>
          <w:tab w:val="left" w:pos="530"/>
        </w:tabs>
        <w:spacing w:line="264" w:lineRule="auto"/>
        <w:ind w:right="110" w:hanging="293"/>
        <w:jc w:val="both"/>
        <w:rPr>
          <w:sz w:val="20"/>
        </w:rPr>
      </w:pPr>
      <w:r>
        <w:rPr>
          <w:sz w:val="20"/>
        </w:rPr>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Pr>
          <w:spacing w:val="-8"/>
          <w:sz w:val="20"/>
        </w:rPr>
        <w:t xml:space="preserve"> </w:t>
      </w:r>
      <w:r>
        <w:rPr>
          <w:sz w:val="20"/>
        </w:rPr>
        <w:t>důvodu:</w:t>
      </w:r>
    </w:p>
    <w:p w:rsidR="00E70313" w:rsidRDefault="00DE68E6">
      <w:pPr>
        <w:pStyle w:val="Odstavecseseznamem"/>
        <w:numPr>
          <w:ilvl w:val="1"/>
          <w:numId w:val="1"/>
        </w:numPr>
        <w:tabs>
          <w:tab w:val="left" w:pos="801"/>
        </w:tabs>
        <w:spacing w:before="0"/>
        <w:ind w:right="201" w:hanging="281"/>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E70313" w:rsidRDefault="00DE68E6">
      <w:pPr>
        <w:pStyle w:val="Odstavecseseznamem"/>
        <w:numPr>
          <w:ilvl w:val="1"/>
          <w:numId w:val="1"/>
        </w:numPr>
        <w:tabs>
          <w:tab w:val="left" w:pos="818"/>
        </w:tabs>
        <w:spacing w:before="0"/>
        <w:ind w:right="489" w:hanging="281"/>
        <w:rPr>
          <w:sz w:val="20"/>
        </w:rPr>
      </w:pPr>
      <w:r>
        <w:rPr>
          <w:sz w:val="20"/>
        </w:rPr>
        <w:t>snížení na úroveň, která prokazatelně vytváří zdroje pro správu, obnovu a případné rozšíření vodovodů a/nebo kanalizací minimálně ve výši „plných odpisů“. V obou případech je</w:t>
      </w:r>
      <w:r>
        <w:rPr>
          <w:spacing w:val="-25"/>
          <w:sz w:val="20"/>
        </w:rPr>
        <w:t xml:space="preserve"> </w:t>
      </w:r>
      <w:r>
        <w:rPr>
          <w:sz w:val="20"/>
        </w:rPr>
        <w:t>nezbytné, aby Fond navrženou odchylku</w:t>
      </w:r>
      <w:r>
        <w:rPr>
          <w:spacing w:val="-14"/>
          <w:sz w:val="20"/>
        </w:rPr>
        <w:t xml:space="preserve"> </w:t>
      </w:r>
      <w:r>
        <w:rPr>
          <w:sz w:val="20"/>
        </w:rPr>
        <w:t>odsouhlasil.</w:t>
      </w:r>
    </w:p>
    <w:p w:rsidR="00E70313" w:rsidRDefault="00DE68E6">
      <w:pPr>
        <w:pStyle w:val="Odstavecseseznamem"/>
        <w:numPr>
          <w:ilvl w:val="0"/>
          <w:numId w:val="1"/>
        </w:numPr>
        <w:tabs>
          <w:tab w:val="left" w:pos="530"/>
        </w:tabs>
        <w:spacing w:line="264" w:lineRule="auto"/>
        <w:ind w:right="119" w:hanging="346"/>
        <w:jc w:val="both"/>
        <w:rPr>
          <w:sz w:val="20"/>
        </w:rPr>
      </w:pPr>
      <w:r>
        <w:rPr>
          <w:sz w:val="20"/>
        </w:rPr>
        <w:t>Čistý příjem z provozování vodohospodářské infrastruktury bude použit v souladu s principy péče řádného</w:t>
      </w:r>
      <w:r>
        <w:rPr>
          <w:spacing w:val="-7"/>
          <w:sz w:val="20"/>
        </w:rPr>
        <w:t xml:space="preserve"> </w:t>
      </w:r>
      <w:r>
        <w:rPr>
          <w:sz w:val="20"/>
        </w:rPr>
        <w:t>hospodáře.</w:t>
      </w:r>
    </w:p>
    <w:p w:rsidR="00E70313" w:rsidRDefault="00DE68E6">
      <w:pPr>
        <w:pStyle w:val="Odstavecseseznamem"/>
        <w:numPr>
          <w:ilvl w:val="0"/>
          <w:numId w:val="1"/>
        </w:numPr>
        <w:tabs>
          <w:tab w:val="left" w:pos="530"/>
        </w:tabs>
        <w:spacing w:line="264" w:lineRule="auto"/>
        <w:ind w:right="115" w:hanging="365"/>
        <w:jc w:val="both"/>
        <w:rPr>
          <w:sz w:val="20"/>
        </w:rPr>
      </w:pPr>
      <w:r>
        <w:rPr>
          <w:sz w:val="20"/>
        </w:rPr>
        <w:t>Příjemce podpory je povinen zajistit, že relevantní požadavky kladené na provozní smlouvy budou aplikovány</w:t>
      </w:r>
      <w:r>
        <w:rPr>
          <w:spacing w:val="-7"/>
          <w:sz w:val="20"/>
        </w:rPr>
        <w:t xml:space="preserve"> </w:t>
      </w:r>
      <w:r>
        <w:rPr>
          <w:sz w:val="20"/>
        </w:rPr>
        <w:t>na</w:t>
      </w:r>
      <w:r>
        <w:rPr>
          <w:spacing w:val="-4"/>
          <w:sz w:val="20"/>
        </w:rPr>
        <w:t xml:space="preserve"> </w:t>
      </w:r>
      <w:r>
        <w:rPr>
          <w:sz w:val="20"/>
        </w:rPr>
        <w:t>„související</w:t>
      </w:r>
      <w:r>
        <w:rPr>
          <w:spacing w:val="-7"/>
          <w:sz w:val="20"/>
        </w:rPr>
        <w:t xml:space="preserve"> </w:t>
      </w:r>
      <w:r>
        <w:rPr>
          <w:sz w:val="20"/>
        </w:rPr>
        <w:t>provozní</w:t>
      </w:r>
      <w:r>
        <w:rPr>
          <w:spacing w:val="-7"/>
          <w:sz w:val="20"/>
        </w:rPr>
        <w:t xml:space="preserve"> </w:t>
      </w:r>
      <w:r>
        <w:rPr>
          <w:sz w:val="20"/>
        </w:rPr>
        <w:t>smlouvy“</w:t>
      </w:r>
      <w:r>
        <w:rPr>
          <w:spacing w:val="-8"/>
          <w:sz w:val="20"/>
        </w:rPr>
        <w:t xml:space="preserve"> </w:t>
      </w:r>
      <w:r>
        <w:rPr>
          <w:sz w:val="20"/>
        </w:rPr>
        <w:t>ve</w:t>
      </w:r>
      <w:r>
        <w:rPr>
          <w:spacing w:val="-7"/>
          <w:sz w:val="20"/>
        </w:rPr>
        <w:t xml:space="preserve"> </w:t>
      </w:r>
      <w:r>
        <w:rPr>
          <w:sz w:val="20"/>
        </w:rPr>
        <w:t>smyslu</w:t>
      </w:r>
      <w:r>
        <w:rPr>
          <w:spacing w:val="-4"/>
          <w:sz w:val="20"/>
        </w:rPr>
        <w:t xml:space="preserve"> </w:t>
      </w:r>
      <w:r>
        <w:rPr>
          <w:sz w:val="20"/>
        </w:rPr>
        <w:t>Metodiky</w:t>
      </w:r>
      <w:r>
        <w:rPr>
          <w:spacing w:val="-7"/>
          <w:sz w:val="20"/>
        </w:rPr>
        <w:t xml:space="preserve"> </w:t>
      </w:r>
      <w:r>
        <w:rPr>
          <w:sz w:val="20"/>
        </w:rPr>
        <w:t>s</w:t>
      </w:r>
      <w:r>
        <w:rPr>
          <w:spacing w:val="-7"/>
          <w:sz w:val="20"/>
        </w:rPr>
        <w:t xml:space="preserve"> </w:t>
      </w:r>
      <w:r>
        <w:rPr>
          <w:sz w:val="20"/>
        </w:rPr>
        <w:t>tím,</w:t>
      </w:r>
      <w:r>
        <w:rPr>
          <w:spacing w:val="-7"/>
          <w:sz w:val="20"/>
        </w:rPr>
        <w:t xml:space="preserve"> </w:t>
      </w:r>
      <w:r>
        <w:rPr>
          <w:sz w:val="20"/>
        </w:rPr>
        <w:t>že</w:t>
      </w:r>
      <w:r>
        <w:rPr>
          <w:spacing w:val="-8"/>
          <w:sz w:val="20"/>
        </w:rPr>
        <w:t xml:space="preserve"> </w:t>
      </w:r>
      <w:r>
        <w:rPr>
          <w:sz w:val="20"/>
        </w:rPr>
        <w:t>v</w:t>
      </w:r>
      <w:r>
        <w:rPr>
          <w:spacing w:val="-6"/>
          <w:sz w:val="20"/>
        </w:rPr>
        <w:t xml:space="preserve"> </w:t>
      </w:r>
      <w:r>
        <w:rPr>
          <w:sz w:val="20"/>
        </w:rPr>
        <w:t>případě</w:t>
      </w:r>
      <w:r>
        <w:rPr>
          <w:spacing w:val="-8"/>
          <w:sz w:val="20"/>
        </w:rPr>
        <w:t xml:space="preserve"> </w:t>
      </w:r>
      <w:r>
        <w:rPr>
          <w:sz w:val="20"/>
        </w:rPr>
        <w:t>ukončení</w:t>
      </w:r>
      <w:r>
        <w:rPr>
          <w:spacing w:val="-7"/>
          <w:sz w:val="20"/>
        </w:rPr>
        <w:t xml:space="preserve"> </w:t>
      </w:r>
      <w:r>
        <w:rPr>
          <w:sz w:val="20"/>
        </w:rPr>
        <w:t>platnosti související</w:t>
      </w:r>
      <w:r>
        <w:rPr>
          <w:spacing w:val="-11"/>
          <w:sz w:val="20"/>
        </w:rPr>
        <w:t xml:space="preserve"> </w:t>
      </w:r>
      <w:r>
        <w:rPr>
          <w:sz w:val="20"/>
        </w:rPr>
        <w:t>provozní</w:t>
      </w:r>
      <w:r>
        <w:rPr>
          <w:spacing w:val="-12"/>
          <w:sz w:val="20"/>
        </w:rPr>
        <w:t xml:space="preserve"> </w:t>
      </w:r>
      <w:r>
        <w:rPr>
          <w:sz w:val="20"/>
        </w:rPr>
        <w:t>smlouvy</w:t>
      </w:r>
      <w:r>
        <w:rPr>
          <w:spacing w:val="-12"/>
          <w:sz w:val="20"/>
        </w:rPr>
        <w:t xml:space="preserve"> </w:t>
      </w:r>
      <w:r>
        <w:rPr>
          <w:sz w:val="20"/>
        </w:rPr>
        <w:t>je</w:t>
      </w:r>
      <w:r>
        <w:rPr>
          <w:spacing w:val="-13"/>
          <w:sz w:val="20"/>
        </w:rPr>
        <w:t xml:space="preserve"> </w:t>
      </w:r>
      <w:r>
        <w:rPr>
          <w:sz w:val="20"/>
        </w:rPr>
        <w:t>vlastník</w:t>
      </w:r>
      <w:r>
        <w:rPr>
          <w:spacing w:val="-11"/>
          <w:sz w:val="20"/>
        </w:rPr>
        <w:t xml:space="preserve"> </w:t>
      </w:r>
      <w:r>
        <w:rPr>
          <w:sz w:val="20"/>
        </w:rPr>
        <w:t>infrastruktury,</w:t>
      </w:r>
      <w:r>
        <w:rPr>
          <w:spacing w:val="-11"/>
          <w:sz w:val="20"/>
        </w:rPr>
        <w:t xml:space="preserve"> </w:t>
      </w:r>
      <w:r>
        <w:rPr>
          <w:sz w:val="20"/>
        </w:rPr>
        <w:t>která</w:t>
      </w:r>
      <w:r>
        <w:rPr>
          <w:spacing w:val="-11"/>
          <w:sz w:val="20"/>
        </w:rPr>
        <w:t xml:space="preserve"> </w:t>
      </w:r>
      <w:r>
        <w:rPr>
          <w:sz w:val="20"/>
        </w:rPr>
        <w:t>je</w:t>
      </w:r>
      <w:r>
        <w:rPr>
          <w:spacing w:val="-13"/>
          <w:sz w:val="20"/>
        </w:rPr>
        <w:t xml:space="preserve"> </w:t>
      </w:r>
      <w:r>
        <w:rPr>
          <w:sz w:val="20"/>
        </w:rPr>
        <w:t>předmětem</w:t>
      </w:r>
      <w:r>
        <w:rPr>
          <w:spacing w:val="-13"/>
          <w:sz w:val="20"/>
        </w:rPr>
        <w:t xml:space="preserve"> </w:t>
      </w:r>
      <w:r>
        <w:rPr>
          <w:sz w:val="20"/>
        </w:rPr>
        <w:t>související</w:t>
      </w:r>
      <w:r>
        <w:rPr>
          <w:spacing w:val="-12"/>
          <w:sz w:val="20"/>
        </w:rPr>
        <w:t xml:space="preserve"> </w:t>
      </w:r>
      <w:r>
        <w:rPr>
          <w:sz w:val="20"/>
        </w:rPr>
        <w:t>provozní</w:t>
      </w:r>
      <w:r>
        <w:rPr>
          <w:spacing w:val="-12"/>
          <w:sz w:val="20"/>
        </w:rPr>
        <w:t xml:space="preserve"> </w:t>
      </w:r>
      <w:r>
        <w:rPr>
          <w:sz w:val="20"/>
        </w:rPr>
        <w:t>smlouvy, oprávněn změnit provozní</w:t>
      </w:r>
      <w:r>
        <w:rPr>
          <w:spacing w:val="-9"/>
          <w:sz w:val="20"/>
        </w:rPr>
        <w:t xml:space="preserve"> </w:t>
      </w:r>
      <w:r>
        <w:rPr>
          <w:sz w:val="20"/>
        </w:rPr>
        <w:t>model.</w:t>
      </w:r>
    </w:p>
    <w:p w:rsidR="00E70313" w:rsidRDefault="00E70313">
      <w:pPr>
        <w:spacing w:line="264" w:lineRule="auto"/>
        <w:jc w:val="both"/>
        <w:rPr>
          <w:sz w:val="20"/>
        </w:rPr>
        <w:sectPr w:rsidR="00E70313">
          <w:pgSz w:w="12240" w:h="15840"/>
          <w:pgMar w:top="1060" w:right="1020" w:bottom="1160" w:left="1600" w:header="0" w:footer="902" w:gutter="0"/>
          <w:cols w:space="708"/>
        </w:sectPr>
      </w:pPr>
    </w:p>
    <w:p w:rsidR="00E70313" w:rsidRDefault="00DE68E6">
      <w:pPr>
        <w:pStyle w:val="Zkladntext"/>
        <w:spacing w:before="73"/>
        <w:ind w:left="102"/>
      </w:pPr>
      <w:r>
        <w:lastRenderedPageBreak/>
        <w:t>Příloha č. 2 - Stanovení finančních oprav pro konkrétní pochybení v rámci veřejných zakázek</w:t>
      </w:r>
    </w:p>
    <w:p w:rsidR="00E70313" w:rsidRDefault="00E70313">
      <w:pPr>
        <w:pStyle w:val="Zkladntext"/>
        <w:spacing w:before="1"/>
        <w:jc w:val="left"/>
        <w:rPr>
          <w:sz w:val="29"/>
        </w:rPr>
      </w:pPr>
    </w:p>
    <w:p w:rsidR="00E70313" w:rsidRDefault="00DE68E6">
      <w:pPr>
        <w:pStyle w:val="Nadpis1"/>
        <w:spacing w:line="264" w:lineRule="auto"/>
        <w:ind w:right="120"/>
        <w:jc w:val="both"/>
      </w:pPr>
      <w:r>
        <w:t>Stanovení finančních oprav, které se použijí v případě porušení povinností při zadávání zakázek/ veřejných zakázek</w:t>
      </w:r>
    </w:p>
    <w:p w:rsidR="00E70313" w:rsidRDefault="00E70313">
      <w:pPr>
        <w:pStyle w:val="Zkladntext"/>
        <w:spacing w:before="1"/>
        <w:jc w:val="left"/>
        <w:rPr>
          <w:b/>
          <w:sz w:val="27"/>
        </w:rPr>
      </w:pPr>
    </w:p>
    <w:p w:rsidR="00E70313" w:rsidRDefault="00DE68E6">
      <w:pPr>
        <w:pStyle w:val="Zkladntext"/>
        <w:spacing w:before="0" w:line="264" w:lineRule="auto"/>
        <w:ind w:left="102" w:right="110"/>
      </w:pPr>
      <w: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w:t>
      </w:r>
      <w:r>
        <w:rPr>
          <w:spacing w:val="-1"/>
        </w:rPr>
        <w:t xml:space="preserve"> </w:t>
      </w:r>
      <w:r>
        <w:t>nedodržení</w:t>
      </w:r>
      <w:r>
        <w:rPr>
          <w:spacing w:val="-14"/>
        </w:rPr>
        <w:t xml:space="preserve"> </w:t>
      </w:r>
      <w:r>
        <w:t>postupu</w:t>
      </w:r>
      <w:r>
        <w:rPr>
          <w:spacing w:val="-13"/>
        </w:rPr>
        <w:t xml:space="preserve"> </w:t>
      </w:r>
      <w:r>
        <w:t>podle</w:t>
      </w:r>
      <w:r>
        <w:rPr>
          <w:spacing w:val="-15"/>
        </w:rPr>
        <w:t xml:space="preserve"> </w:t>
      </w:r>
      <w:r>
        <w:t>zákona</w:t>
      </w:r>
      <w:r>
        <w:rPr>
          <w:spacing w:val="-12"/>
        </w:rPr>
        <w:t xml:space="preserve"> </w:t>
      </w:r>
      <w:r>
        <w:t>č.</w:t>
      </w:r>
      <w:r>
        <w:rPr>
          <w:spacing w:val="-14"/>
        </w:rPr>
        <w:t xml:space="preserve"> </w:t>
      </w:r>
      <w:r>
        <w:t>134/2016</w:t>
      </w:r>
      <w:r>
        <w:rPr>
          <w:spacing w:val="-14"/>
        </w:rPr>
        <w:t xml:space="preserve"> </w:t>
      </w:r>
      <w:r>
        <w:t>Sb.,</w:t>
      </w:r>
      <w:r>
        <w:rPr>
          <w:spacing w:val="-14"/>
        </w:rPr>
        <w:t xml:space="preserve"> </w:t>
      </w:r>
      <w:r>
        <w:t>o</w:t>
      </w:r>
      <w:r>
        <w:rPr>
          <w:spacing w:val="5"/>
        </w:rPr>
        <w:t xml:space="preserve"> </w:t>
      </w:r>
      <w:r>
        <w:t>zadávání</w:t>
      </w:r>
      <w:r>
        <w:rPr>
          <w:spacing w:val="-12"/>
        </w:rPr>
        <w:t xml:space="preserve"> </w:t>
      </w:r>
      <w:r>
        <w:t>veřejných</w:t>
      </w:r>
      <w:r>
        <w:rPr>
          <w:spacing w:val="-14"/>
        </w:rPr>
        <w:t xml:space="preserve"> </w:t>
      </w:r>
      <w:r>
        <w:t>zakázek,</w:t>
      </w:r>
      <w:r>
        <w:rPr>
          <w:spacing w:val="-12"/>
        </w:rPr>
        <w:t xml:space="preserve"> </w:t>
      </w:r>
      <w:r>
        <w:t>ve</w:t>
      </w:r>
      <w:r>
        <w:rPr>
          <w:spacing w:val="-14"/>
        </w:rPr>
        <w:t xml:space="preserve"> </w:t>
      </w:r>
      <w:r>
        <w:t>znění</w:t>
      </w:r>
      <w:r>
        <w:rPr>
          <w:spacing w:val="-14"/>
        </w:rPr>
        <w:t xml:space="preserve"> </w:t>
      </w:r>
      <w:r>
        <w:t>účinném</w:t>
      </w:r>
      <w:r>
        <w:rPr>
          <w:spacing w:val="-15"/>
        </w:rPr>
        <w:t xml:space="preserve"> </w:t>
      </w:r>
      <w:r>
        <w:t>v</w:t>
      </w:r>
      <w:r>
        <w:rPr>
          <w:spacing w:val="2"/>
        </w:rPr>
        <w:t xml:space="preserve"> </w:t>
      </w:r>
      <w:r>
        <w:t>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w:t>
      </w:r>
      <w:r>
        <w:rPr>
          <w:spacing w:val="-9"/>
        </w:rPr>
        <w:t xml:space="preserve"> </w:t>
      </w:r>
      <w:r>
        <w:t>řízení</w:t>
      </w:r>
      <w:r>
        <w:rPr>
          <w:spacing w:val="-7"/>
        </w:rPr>
        <w:t xml:space="preserve"> </w:t>
      </w:r>
      <w:r>
        <w:t>(dále</w:t>
      </w:r>
      <w:r>
        <w:rPr>
          <w:spacing w:val="-10"/>
        </w:rPr>
        <w:t xml:space="preserve"> </w:t>
      </w:r>
      <w:r>
        <w:t>jen</w:t>
      </w:r>
      <w:r>
        <w:rPr>
          <w:spacing w:val="-9"/>
        </w:rPr>
        <w:t xml:space="preserve"> </w:t>
      </w:r>
      <w:r>
        <w:t>„Pokyny</w:t>
      </w:r>
      <w:r>
        <w:rPr>
          <w:spacing w:val="-10"/>
        </w:rPr>
        <w:t xml:space="preserve"> </w:t>
      </w:r>
      <w:r>
        <w:t>OPŽP“),</w:t>
      </w:r>
      <w:r>
        <w:rPr>
          <w:spacing w:val="-7"/>
        </w:rPr>
        <w:t xml:space="preserve"> </w:t>
      </w:r>
      <w:r>
        <w:t>případně</w:t>
      </w:r>
      <w:r>
        <w:rPr>
          <w:spacing w:val="-8"/>
        </w:rPr>
        <w:t xml:space="preserve"> </w:t>
      </w:r>
      <w:r>
        <w:t>v dokumentu</w:t>
      </w:r>
      <w:r>
        <w:rPr>
          <w:spacing w:val="-9"/>
        </w:rPr>
        <w:t xml:space="preserve"> </w:t>
      </w:r>
      <w:r>
        <w:t>Zadávání</w:t>
      </w:r>
      <w:r>
        <w:rPr>
          <w:spacing w:val="-9"/>
        </w:rPr>
        <w:t xml:space="preserve"> </w:t>
      </w:r>
      <w:r>
        <w:t>veřejných</w:t>
      </w:r>
      <w:r>
        <w:rPr>
          <w:spacing w:val="-9"/>
        </w:rPr>
        <w:t xml:space="preserve"> </w:t>
      </w:r>
      <w:r>
        <w:t>zakázek v OPŽP 2014 – 2020, ve znění účinném v době zahájení výběrového/zadávacího řízení (dále jen „Zadávání VZ v</w:t>
      </w:r>
      <w:r>
        <w:rPr>
          <w:spacing w:val="-8"/>
        </w:rPr>
        <w:t xml:space="preserve"> </w:t>
      </w:r>
      <w:r>
        <w:t>OPŽP“).</w:t>
      </w:r>
    </w:p>
    <w:p w:rsidR="00E70313" w:rsidRDefault="00DE68E6">
      <w:pPr>
        <w:pStyle w:val="Zkladntext"/>
        <w:spacing w:before="117" w:line="264" w:lineRule="auto"/>
        <w:ind w:left="102" w:right="110"/>
      </w:pPr>
      <w:r>
        <w:t>V</w:t>
      </w:r>
      <w:r>
        <w:rPr>
          <w:spacing w:val="-8"/>
        </w:rPr>
        <w:t xml:space="preserve"> </w:t>
      </w:r>
      <w:r>
        <w:t>případě,</w:t>
      </w:r>
      <w:r>
        <w:rPr>
          <w:spacing w:val="-9"/>
        </w:rPr>
        <w:t xml:space="preserve"> </w:t>
      </w:r>
      <w:r>
        <w:t>že</w:t>
      </w:r>
      <w:r>
        <w:rPr>
          <w:spacing w:val="-10"/>
        </w:rPr>
        <w:t xml:space="preserve"> </w:t>
      </w:r>
      <w:r>
        <w:t>identifikované</w:t>
      </w:r>
      <w:r>
        <w:rPr>
          <w:spacing w:val="-8"/>
        </w:rPr>
        <w:t xml:space="preserve"> </w:t>
      </w:r>
      <w:r>
        <w:t>porušení</w:t>
      </w:r>
      <w:r>
        <w:rPr>
          <w:spacing w:val="-9"/>
        </w:rPr>
        <w:t xml:space="preserve"> </w:t>
      </w:r>
      <w:r>
        <w:t>nemohlo</w:t>
      </w:r>
      <w:r>
        <w:rPr>
          <w:spacing w:val="-9"/>
        </w:rPr>
        <w:t xml:space="preserve"> </w:t>
      </w:r>
      <w:r>
        <w:t>mít</w:t>
      </w:r>
      <w:r>
        <w:rPr>
          <w:spacing w:val="-10"/>
        </w:rPr>
        <w:t xml:space="preserve"> </w:t>
      </w:r>
      <w:r>
        <w:t>ani</w:t>
      </w:r>
      <w:r>
        <w:rPr>
          <w:spacing w:val="-8"/>
        </w:rPr>
        <w:t xml:space="preserve"> </w:t>
      </w:r>
      <w:r>
        <w:t>potenciální</w:t>
      </w:r>
      <w:r>
        <w:rPr>
          <w:spacing w:val="-5"/>
        </w:rPr>
        <w:t xml:space="preserve"> </w:t>
      </w:r>
      <w:r>
        <w:t>finanční</w:t>
      </w:r>
      <w:r>
        <w:rPr>
          <w:spacing w:val="-9"/>
        </w:rPr>
        <w:t xml:space="preserve"> </w:t>
      </w:r>
      <w:r>
        <w:t>dopad,</w:t>
      </w:r>
      <w:r>
        <w:rPr>
          <w:spacing w:val="-7"/>
        </w:rPr>
        <w:t xml:space="preserve"> </w:t>
      </w:r>
      <w:r>
        <w:t>nestanoví</w:t>
      </w:r>
      <w:r>
        <w:rPr>
          <w:spacing w:val="-9"/>
        </w:rPr>
        <w:t xml:space="preserve"> </w:t>
      </w:r>
      <w:r>
        <w:t>se</w:t>
      </w:r>
      <w:r>
        <w:rPr>
          <w:spacing w:val="-11"/>
        </w:rPr>
        <w:t xml:space="preserve"> </w:t>
      </w:r>
      <w:r>
        <w:t>za</w:t>
      </w:r>
      <w:r>
        <w:rPr>
          <w:spacing w:val="-2"/>
        </w:rPr>
        <w:t xml:space="preserve"> </w:t>
      </w:r>
      <w:r>
        <w:t>něj</w:t>
      </w:r>
      <w:r>
        <w:rPr>
          <w:spacing w:val="-9"/>
        </w:rPr>
        <w:t xml:space="preserve"> </w:t>
      </w:r>
      <w:r>
        <w:t>žádná finanční</w:t>
      </w:r>
      <w:r>
        <w:rPr>
          <w:spacing w:val="-7"/>
        </w:rPr>
        <w:t xml:space="preserve"> </w:t>
      </w:r>
      <w:r>
        <w:t>oprava.</w:t>
      </w:r>
    </w:p>
    <w:p w:rsidR="00E70313" w:rsidRDefault="00DE68E6">
      <w:pPr>
        <w:pStyle w:val="Zkladntext"/>
        <w:spacing w:line="264" w:lineRule="auto"/>
        <w:ind w:left="102" w:right="111"/>
      </w:pPr>
      <w: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E70313" w:rsidRDefault="00DE68E6">
      <w:pPr>
        <w:pStyle w:val="Zkladntext"/>
        <w:spacing w:line="264" w:lineRule="auto"/>
        <w:ind w:left="102" w:right="109"/>
      </w:pPr>
      <w:r>
        <w:t>Výše finanční opravy se vypočte z částky, která byla nebo má být z prostředků Fondu v rámci podpory poskytnuta v souvislosti s veřejnou zakázkou, u které se porušení vyskytlo.</w:t>
      </w:r>
    </w:p>
    <w:p w:rsidR="00E70313" w:rsidRDefault="00DE68E6">
      <w:pPr>
        <w:pStyle w:val="Zkladntext"/>
        <w:spacing w:line="264" w:lineRule="auto"/>
        <w:ind w:left="102" w:right="108"/>
      </w:pPr>
      <w:r>
        <w:t>V případě, že u veřejné zakázky bude identifikováno více porušení, výše finančních oprav stanovených za jednotlivá</w:t>
      </w:r>
      <w:r>
        <w:rPr>
          <w:spacing w:val="-15"/>
        </w:rPr>
        <w:t xml:space="preserve"> </w:t>
      </w:r>
      <w:r>
        <w:t>porušení</w:t>
      </w:r>
      <w:r>
        <w:rPr>
          <w:spacing w:val="-12"/>
        </w:rPr>
        <w:t xml:space="preserve"> </w:t>
      </w:r>
      <w:r>
        <w:t>se</w:t>
      </w:r>
      <w:r>
        <w:rPr>
          <w:spacing w:val="-13"/>
        </w:rPr>
        <w:t xml:space="preserve"> </w:t>
      </w:r>
      <w:r>
        <w:t>nesčítají</w:t>
      </w:r>
      <w:r>
        <w:rPr>
          <w:spacing w:val="-12"/>
        </w:rPr>
        <w:t xml:space="preserve"> </w:t>
      </w:r>
      <w:r>
        <w:t>a</w:t>
      </w:r>
      <w:r>
        <w:rPr>
          <w:spacing w:val="-15"/>
        </w:rPr>
        <w:t xml:space="preserve"> </w:t>
      </w:r>
      <w:r>
        <w:t>výsledná</w:t>
      </w:r>
      <w:r>
        <w:rPr>
          <w:spacing w:val="-15"/>
        </w:rPr>
        <w:t xml:space="preserve"> </w:t>
      </w:r>
      <w:r>
        <w:t>finanční</w:t>
      </w:r>
      <w:r>
        <w:rPr>
          <w:spacing w:val="-14"/>
        </w:rPr>
        <w:t xml:space="preserve"> </w:t>
      </w:r>
      <w:r>
        <w:t>oprava</w:t>
      </w:r>
      <w:r>
        <w:rPr>
          <w:spacing w:val="-14"/>
        </w:rPr>
        <w:t xml:space="preserve"> </w:t>
      </w:r>
      <w:r>
        <w:t>je</w:t>
      </w:r>
      <w:r>
        <w:rPr>
          <w:spacing w:val="-13"/>
        </w:rPr>
        <w:t xml:space="preserve"> </w:t>
      </w:r>
      <w:r>
        <w:t>stanovena</w:t>
      </w:r>
      <w:r>
        <w:rPr>
          <w:spacing w:val="-15"/>
        </w:rPr>
        <w:t xml:space="preserve"> </w:t>
      </w:r>
      <w:r>
        <w:t>s</w:t>
      </w:r>
      <w:r>
        <w:rPr>
          <w:spacing w:val="2"/>
        </w:rPr>
        <w:t xml:space="preserve"> </w:t>
      </w:r>
      <w:r>
        <w:t>ohledem</w:t>
      </w:r>
      <w:r>
        <w:rPr>
          <w:spacing w:val="-13"/>
        </w:rPr>
        <w:t xml:space="preserve"> </w:t>
      </w:r>
      <w:r>
        <w:t>na</w:t>
      </w:r>
      <w:r>
        <w:rPr>
          <w:spacing w:val="-15"/>
        </w:rPr>
        <w:t xml:space="preserve"> </w:t>
      </w:r>
      <w:r>
        <w:t>nejzávažnější</w:t>
      </w:r>
      <w:r>
        <w:rPr>
          <w:spacing w:val="-12"/>
        </w:rPr>
        <w:t xml:space="preserve"> </w:t>
      </w:r>
      <w:r>
        <w:t>porušení.</w:t>
      </w:r>
    </w:p>
    <w:p w:rsidR="00E70313" w:rsidRDefault="00DE68E6">
      <w:pPr>
        <w:pStyle w:val="Zkladntext"/>
        <w:spacing w:line="264" w:lineRule="auto"/>
        <w:ind w:left="102" w:right="108"/>
      </w:pPr>
      <w: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1"/>
        </w:rPr>
        <w:t xml:space="preserve"> </w:t>
      </w:r>
      <w:r>
        <w:t>zadána.</w:t>
      </w:r>
    </w:p>
    <w:p w:rsidR="00E70313" w:rsidRDefault="00DE68E6">
      <w:pPr>
        <w:pStyle w:val="Zkladntext"/>
        <w:spacing w:line="264" w:lineRule="auto"/>
        <w:ind w:left="102" w:right="117"/>
      </w:pPr>
      <w:r>
        <w:t>V případě, že bude identifikováno  porušení,  které nelze podřadit pod  konkrétní  typ  porušení  uvedený  v tabulce níže, bude stanovena finanční oprava dle zásady</w:t>
      </w:r>
      <w:r>
        <w:rPr>
          <w:spacing w:val="-18"/>
        </w:rPr>
        <w:t xml:space="preserve"> </w:t>
      </w:r>
      <w:r>
        <w:t>přiměřenosti.</w:t>
      </w:r>
    </w:p>
    <w:p w:rsidR="00E70313" w:rsidRDefault="00E70313">
      <w:pPr>
        <w:spacing w:line="264" w:lineRule="auto"/>
        <w:sectPr w:rsidR="00E70313">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70313">
        <w:trPr>
          <w:trHeight w:hRule="exact" w:val="548"/>
        </w:trPr>
        <w:tc>
          <w:tcPr>
            <w:tcW w:w="492" w:type="dxa"/>
            <w:tcBorders>
              <w:right w:val="single" w:sz="2" w:space="0" w:color="000000"/>
            </w:tcBorders>
            <w:shd w:val="clear" w:color="auto" w:fill="F1F1F1"/>
          </w:tcPr>
          <w:p w:rsidR="00E70313" w:rsidRDefault="00DE68E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70313" w:rsidRDefault="00DE68E6">
            <w:pPr>
              <w:pStyle w:val="TableParagraph"/>
              <w:spacing w:before="108"/>
              <w:ind w:left="103"/>
              <w:rPr>
                <w:b/>
                <w:sz w:val="20"/>
              </w:rPr>
            </w:pPr>
            <w:r>
              <w:rPr>
                <w:b/>
                <w:sz w:val="20"/>
              </w:rPr>
              <w:t>Sazba finanční opravy</w:t>
            </w:r>
          </w:p>
        </w:tc>
      </w:tr>
      <w:tr w:rsidR="00E70313">
        <w:trPr>
          <w:trHeight w:hRule="exact" w:val="539"/>
        </w:trPr>
        <w:tc>
          <w:tcPr>
            <w:tcW w:w="492" w:type="dxa"/>
            <w:vMerge w:val="restart"/>
            <w:tcBorders>
              <w:right w:val="single" w:sz="2" w:space="0" w:color="000000"/>
            </w:tcBorders>
          </w:tcPr>
          <w:p w:rsidR="00E70313" w:rsidRDefault="00DE68E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70313" w:rsidRDefault="00DE68E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70313" w:rsidRDefault="00DE68E6">
            <w:pPr>
              <w:pStyle w:val="TableParagraph"/>
              <w:spacing w:before="109" w:line="264" w:lineRule="auto"/>
              <w:ind w:right="141"/>
              <w:rPr>
                <w:sz w:val="20"/>
              </w:rPr>
            </w:pPr>
            <w:r>
              <w:rPr>
                <w:sz w:val="20"/>
              </w:rPr>
              <w:t>Zadavatel zadal veřejnou zakázku, aniž by zahájil zadávací řízení</w:t>
            </w:r>
          </w:p>
          <w:p w:rsidR="00E70313" w:rsidRDefault="00DE68E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70313" w:rsidRDefault="00DE68E6">
            <w:pPr>
              <w:pStyle w:val="TableParagraph"/>
              <w:spacing w:before="109"/>
              <w:ind w:left="103"/>
              <w:rPr>
                <w:sz w:val="20"/>
              </w:rPr>
            </w:pPr>
            <w:r>
              <w:rPr>
                <w:sz w:val="20"/>
              </w:rPr>
              <w:t>100 %</w:t>
            </w:r>
          </w:p>
        </w:tc>
      </w:tr>
      <w:tr w:rsidR="00E70313">
        <w:trPr>
          <w:trHeight w:hRule="exact" w:val="1694"/>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70313">
        <w:trPr>
          <w:trHeight w:hRule="exact" w:val="523"/>
        </w:trPr>
        <w:tc>
          <w:tcPr>
            <w:tcW w:w="492" w:type="dxa"/>
            <w:vMerge w:val="restart"/>
            <w:tcBorders>
              <w:top w:val="single" w:sz="2" w:space="0" w:color="000000"/>
              <w:right w:val="single" w:sz="2" w:space="0" w:color="000000"/>
            </w:tcBorders>
          </w:tcPr>
          <w:p w:rsidR="00E70313" w:rsidRDefault="00DE68E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E70313" w:rsidRDefault="00DE68E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100 %</w:t>
            </w:r>
          </w:p>
        </w:tc>
      </w:tr>
      <w:tr w:rsidR="00E70313">
        <w:trPr>
          <w:trHeight w:hRule="exact" w:val="1695"/>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70313">
        <w:trPr>
          <w:trHeight w:hRule="exact" w:val="1109"/>
        </w:trPr>
        <w:tc>
          <w:tcPr>
            <w:tcW w:w="492" w:type="dxa"/>
            <w:vMerge w:val="restart"/>
            <w:tcBorders>
              <w:top w:val="single" w:sz="2" w:space="0" w:color="000000"/>
              <w:right w:val="single" w:sz="2" w:space="0" w:color="000000"/>
            </w:tcBorders>
          </w:tcPr>
          <w:p w:rsidR="00E70313" w:rsidRDefault="00DE68E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70313" w:rsidRDefault="00DE68E6">
            <w:pPr>
              <w:pStyle w:val="TableParagraph"/>
              <w:spacing w:before="0"/>
              <w:rPr>
                <w:sz w:val="20"/>
              </w:rPr>
            </w:pPr>
            <w:r>
              <w:rPr>
                <w:sz w:val="20"/>
              </w:rPr>
              <w:t>v  Pokynech OPŽP, příp.</w:t>
            </w:r>
          </w:p>
          <w:p w:rsidR="00E70313" w:rsidRDefault="00DE68E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90"/>
              <w:rPr>
                <w:sz w:val="20"/>
              </w:rPr>
            </w:pPr>
            <w:r>
              <w:rPr>
                <w:sz w:val="20"/>
              </w:rPr>
              <w:t>25 %, pokud je zkrácení vyšší nebo rovno 50 % délky minimální lhůty</w:t>
            </w:r>
          </w:p>
        </w:tc>
      </w:tr>
      <w:tr w:rsidR="00E70313">
        <w:trPr>
          <w:trHeight w:hRule="exact" w:val="1109"/>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90"/>
              <w:rPr>
                <w:sz w:val="20"/>
              </w:rPr>
            </w:pPr>
            <w:r>
              <w:rPr>
                <w:sz w:val="20"/>
              </w:rPr>
              <w:t>10 %, pokud je zkrácení vyšší nebo rovno 30 % délky minimální lhůty</w:t>
            </w:r>
          </w:p>
        </w:tc>
      </w:tr>
      <w:tr w:rsidR="00E70313">
        <w:trPr>
          <w:trHeight w:hRule="exact" w:val="1109"/>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E70313">
        <w:trPr>
          <w:trHeight w:hRule="exact" w:val="1402"/>
        </w:trPr>
        <w:tc>
          <w:tcPr>
            <w:tcW w:w="492" w:type="dxa"/>
            <w:vMerge w:val="restart"/>
            <w:tcBorders>
              <w:top w:val="single" w:sz="2" w:space="0" w:color="000000"/>
              <w:right w:val="single" w:sz="2" w:space="0" w:color="000000"/>
            </w:tcBorders>
          </w:tcPr>
          <w:p w:rsidR="00E70313" w:rsidRDefault="00DE68E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70313">
        <w:trPr>
          <w:trHeight w:hRule="exact" w:val="1402"/>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70313">
        <w:trPr>
          <w:trHeight w:hRule="exact" w:val="1402"/>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70313" w:rsidRDefault="00E70313">
      <w:pPr>
        <w:spacing w:line="264" w:lineRule="auto"/>
        <w:rPr>
          <w:sz w:val="20"/>
        </w:rPr>
        <w:sectPr w:rsidR="00E70313">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70313">
        <w:trPr>
          <w:trHeight w:hRule="exact" w:val="548"/>
        </w:trPr>
        <w:tc>
          <w:tcPr>
            <w:tcW w:w="492" w:type="dxa"/>
            <w:tcBorders>
              <w:right w:val="single" w:sz="2" w:space="0" w:color="000000"/>
            </w:tcBorders>
            <w:shd w:val="clear" w:color="auto" w:fill="F1F1F1"/>
          </w:tcPr>
          <w:p w:rsidR="00E70313" w:rsidRDefault="00DE68E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70313" w:rsidRDefault="00DE68E6">
            <w:pPr>
              <w:pStyle w:val="TableParagraph"/>
              <w:spacing w:before="108"/>
              <w:ind w:left="103"/>
              <w:rPr>
                <w:b/>
                <w:sz w:val="20"/>
              </w:rPr>
            </w:pPr>
            <w:r>
              <w:rPr>
                <w:b/>
                <w:sz w:val="20"/>
              </w:rPr>
              <w:t>Sazba finanční opravy</w:t>
            </w:r>
          </w:p>
        </w:tc>
      </w:tr>
      <w:tr w:rsidR="00E70313">
        <w:trPr>
          <w:trHeight w:hRule="exact" w:val="513"/>
        </w:trPr>
        <w:tc>
          <w:tcPr>
            <w:tcW w:w="492" w:type="dxa"/>
            <w:vMerge w:val="restart"/>
            <w:tcBorders>
              <w:right w:val="single" w:sz="2" w:space="0" w:color="000000"/>
            </w:tcBorders>
          </w:tcPr>
          <w:p w:rsidR="00E70313" w:rsidRDefault="00DE68E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70313" w:rsidRDefault="00DE68E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70313" w:rsidRDefault="00DE68E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70313" w:rsidRDefault="00DE68E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70313" w:rsidRDefault="00DE68E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70313" w:rsidRDefault="00DE68E6">
            <w:pPr>
              <w:pStyle w:val="TableParagraph"/>
              <w:spacing w:before="83"/>
              <w:ind w:left="103"/>
              <w:rPr>
                <w:sz w:val="20"/>
              </w:rPr>
            </w:pPr>
            <w:r>
              <w:rPr>
                <w:sz w:val="20"/>
              </w:rPr>
              <w:t>10 %</w:t>
            </w:r>
          </w:p>
        </w:tc>
      </w:tr>
      <w:tr w:rsidR="00E70313">
        <w:trPr>
          <w:trHeight w:hRule="exact" w:val="2635"/>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v případě menší závažnosti porušení</w:t>
            </w:r>
          </w:p>
        </w:tc>
      </w:tr>
      <w:tr w:rsidR="00E70313">
        <w:trPr>
          <w:trHeight w:hRule="exact" w:val="625"/>
        </w:trPr>
        <w:tc>
          <w:tcPr>
            <w:tcW w:w="492" w:type="dxa"/>
            <w:vMerge w:val="restart"/>
            <w:tcBorders>
              <w:top w:val="single" w:sz="2" w:space="0" w:color="000000"/>
              <w:right w:val="single" w:sz="2" w:space="0" w:color="000000"/>
            </w:tcBorders>
          </w:tcPr>
          <w:p w:rsidR="00E70313" w:rsidRDefault="00DE68E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324"/>
              <w:rPr>
                <w:sz w:val="20"/>
              </w:rPr>
            </w:pPr>
            <w:r>
              <w:rPr>
                <w:sz w:val="20"/>
              </w:rPr>
              <w:t>Použití jednacího řízení s uveřejněním</w:t>
            </w:r>
          </w:p>
          <w:p w:rsidR="00E70313" w:rsidRDefault="00DE68E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rPr>
                <w:sz w:val="20"/>
              </w:rPr>
            </w:pPr>
            <w:r>
              <w:rPr>
                <w:sz w:val="20"/>
              </w:rPr>
              <w:t>Zadavatel zadal veřejnou zakázku</w:t>
            </w:r>
          </w:p>
          <w:p w:rsidR="00E70313" w:rsidRDefault="00DE68E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25 %</w:t>
            </w:r>
          </w:p>
        </w:tc>
      </w:tr>
      <w:tr w:rsidR="00E70313">
        <w:trPr>
          <w:trHeight w:hRule="exact" w:val="1361"/>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line="261" w:lineRule="auto"/>
              <w:ind w:left="103"/>
              <w:rPr>
                <w:sz w:val="20"/>
              </w:rPr>
            </w:pPr>
            <w:r>
              <w:rPr>
                <w:sz w:val="20"/>
              </w:rPr>
              <w:t>5 % nebo 10 % dle závažnosti porušení</w:t>
            </w:r>
          </w:p>
        </w:tc>
      </w:tr>
      <w:tr w:rsidR="00E70313">
        <w:trPr>
          <w:trHeight w:hRule="exact" w:val="526"/>
        </w:trPr>
        <w:tc>
          <w:tcPr>
            <w:tcW w:w="492" w:type="dxa"/>
            <w:vMerge w:val="restart"/>
            <w:tcBorders>
              <w:top w:val="single" w:sz="2" w:space="0" w:color="000000"/>
              <w:right w:val="single" w:sz="2" w:space="0" w:color="000000"/>
            </w:tcBorders>
          </w:tcPr>
          <w:p w:rsidR="00E70313" w:rsidRDefault="00DE68E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rPr>
                <w:sz w:val="20"/>
              </w:rPr>
            </w:pPr>
            <w:r>
              <w:rPr>
                <w:sz w:val="20"/>
              </w:rPr>
              <w:t>Zadavatel neuvedl v oznámení</w:t>
            </w:r>
          </w:p>
          <w:p w:rsidR="00E70313" w:rsidRDefault="00DE68E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ind w:left="103"/>
              <w:rPr>
                <w:sz w:val="20"/>
              </w:rPr>
            </w:pPr>
            <w:r>
              <w:rPr>
                <w:sz w:val="20"/>
              </w:rPr>
              <w:t>25 %</w:t>
            </w:r>
          </w:p>
        </w:tc>
      </w:tr>
      <w:tr w:rsidR="00E70313">
        <w:trPr>
          <w:trHeight w:hRule="exact" w:val="1692"/>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70313">
        <w:trPr>
          <w:trHeight w:hRule="exact" w:val="526"/>
        </w:trPr>
        <w:tc>
          <w:tcPr>
            <w:tcW w:w="492" w:type="dxa"/>
            <w:vMerge w:val="restart"/>
            <w:tcBorders>
              <w:top w:val="single" w:sz="2" w:space="0" w:color="000000"/>
              <w:right w:val="single" w:sz="2" w:space="0" w:color="000000"/>
            </w:tcBorders>
          </w:tcPr>
          <w:p w:rsidR="00E70313" w:rsidRDefault="00DE68E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rPr>
                <w:sz w:val="20"/>
              </w:rPr>
            </w:pPr>
            <w:r>
              <w:rPr>
                <w:sz w:val="20"/>
              </w:rPr>
              <w:t>Zadavatel neuvedl v oznámení</w:t>
            </w:r>
          </w:p>
          <w:p w:rsidR="00E70313" w:rsidRDefault="00DE68E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ind w:left="103"/>
              <w:rPr>
                <w:sz w:val="20"/>
              </w:rPr>
            </w:pPr>
            <w:r>
              <w:rPr>
                <w:sz w:val="20"/>
              </w:rPr>
              <w:t>25 %</w:t>
            </w:r>
          </w:p>
        </w:tc>
      </w:tr>
      <w:tr w:rsidR="00E70313">
        <w:trPr>
          <w:trHeight w:hRule="exact" w:val="1498"/>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70313">
        <w:trPr>
          <w:trHeight w:hRule="exact" w:val="696"/>
        </w:trPr>
        <w:tc>
          <w:tcPr>
            <w:tcW w:w="492" w:type="dxa"/>
            <w:vMerge w:val="restart"/>
            <w:tcBorders>
              <w:top w:val="single" w:sz="2" w:space="0" w:color="000000"/>
              <w:right w:val="single" w:sz="2" w:space="0" w:color="000000"/>
            </w:tcBorders>
          </w:tcPr>
          <w:p w:rsidR="00E70313" w:rsidRDefault="00DE68E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15"/>
              <w:rPr>
                <w:sz w:val="20"/>
              </w:rPr>
            </w:pPr>
            <w:r>
              <w:rPr>
                <w:sz w:val="20"/>
              </w:rPr>
              <w:t>Stanovení požadavků na kvalifikaci</w:t>
            </w:r>
          </w:p>
          <w:p w:rsidR="00E70313" w:rsidRDefault="00DE68E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25 %</w:t>
            </w:r>
          </w:p>
        </w:tc>
      </w:tr>
      <w:tr w:rsidR="00E70313">
        <w:trPr>
          <w:trHeight w:hRule="exact" w:val="1371"/>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w:t>
            </w:r>
          </w:p>
        </w:tc>
      </w:tr>
    </w:tbl>
    <w:p w:rsidR="00E70313" w:rsidRDefault="00E70313">
      <w:pPr>
        <w:spacing w:line="264" w:lineRule="auto"/>
        <w:rPr>
          <w:sz w:val="20"/>
        </w:rPr>
        <w:sectPr w:rsidR="00E70313">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70313">
        <w:trPr>
          <w:trHeight w:hRule="exact" w:val="548"/>
        </w:trPr>
        <w:tc>
          <w:tcPr>
            <w:tcW w:w="492" w:type="dxa"/>
            <w:tcBorders>
              <w:right w:val="single" w:sz="2" w:space="0" w:color="000000"/>
            </w:tcBorders>
            <w:shd w:val="clear" w:color="auto" w:fill="F1F1F1"/>
          </w:tcPr>
          <w:p w:rsidR="00E70313" w:rsidRDefault="00DE68E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70313" w:rsidRDefault="00DE68E6">
            <w:pPr>
              <w:pStyle w:val="TableParagraph"/>
              <w:spacing w:before="108"/>
              <w:ind w:left="103"/>
              <w:rPr>
                <w:b/>
                <w:sz w:val="20"/>
              </w:rPr>
            </w:pPr>
            <w:r>
              <w:rPr>
                <w:b/>
                <w:sz w:val="20"/>
              </w:rPr>
              <w:t>Sazba finanční opravy</w:t>
            </w:r>
          </w:p>
        </w:tc>
      </w:tr>
      <w:tr w:rsidR="00E70313">
        <w:trPr>
          <w:trHeight w:hRule="exact" w:val="513"/>
        </w:trPr>
        <w:tc>
          <w:tcPr>
            <w:tcW w:w="492" w:type="dxa"/>
            <w:vMerge w:val="restart"/>
            <w:tcBorders>
              <w:right w:val="single" w:sz="2" w:space="0" w:color="000000"/>
            </w:tcBorders>
          </w:tcPr>
          <w:p w:rsidR="00E70313" w:rsidRDefault="00DE68E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70313" w:rsidRDefault="00DE68E6">
            <w:pPr>
              <w:pStyle w:val="TableParagraph"/>
              <w:spacing w:before="83" w:line="264" w:lineRule="auto"/>
              <w:ind w:right="95"/>
              <w:rPr>
                <w:sz w:val="20"/>
              </w:rPr>
            </w:pPr>
            <w:r>
              <w:rPr>
                <w:sz w:val="20"/>
              </w:rPr>
              <w:t>Stanovení pravidel pro hodnocení nabídek</w:t>
            </w:r>
          </w:p>
          <w:p w:rsidR="00E70313" w:rsidRDefault="00DE68E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70313" w:rsidRDefault="00DE68E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70313" w:rsidRDefault="00DE68E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70313" w:rsidRDefault="00DE68E6">
            <w:pPr>
              <w:pStyle w:val="TableParagraph"/>
              <w:spacing w:before="83"/>
              <w:ind w:left="103"/>
              <w:rPr>
                <w:sz w:val="20"/>
              </w:rPr>
            </w:pPr>
            <w:r>
              <w:rPr>
                <w:sz w:val="20"/>
              </w:rPr>
              <w:t>25 %</w:t>
            </w:r>
          </w:p>
        </w:tc>
      </w:tr>
      <w:tr w:rsidR="00E70313">
        <w:trPr>
          <w:trHeight w:hRule="exact" w:val="2050"/>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w:t>
            </w:r>
          </w:p>
        </w:tc>
      </w:tr>
      <w:tr w:rsidR="00E70313">
        <w:trPr>
          <w:trHeight w:hRule="exact" w:val="523"/>
        </w:trPr>
        <w:tc>
          <w:tcPr>
            <w:tcW w:w="492" w:type="dxa"/>
            <w:vMerge w:val="restart"/>
            <w:tcBorders>
              <w:top w:val="single" w:sz="2" w:space="0" w:color="000000"/>
              <w:right w:val="single" w:sz="2" w:space="0" w:color="000000"/>
            </w:tcBorders>
          </w:tcPr>
          <w:p w:rsidR="00E70313" w:rsidRDefault="00DE68E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36"/>
              <w:jc w:val="both"/>
              <w:rPr>
                <w:sz w:val="20"/>
              </w:rPr>
            </w:pPr>
            <w:r>
              <w:rPr>
                <w:sz w:val="20"/>
              </w:rPr>
              <w:t>Stanovení technických podmínek nebo jiných podmínek účasti</w:t>
            </w:r>
          </w:p>
          <w:p w:rsidR="00E70313" w:rsidRDefault="00DE68E6">
            <w:pPr>
              <w:pStyle w:val="TableParagraph"/>
              <w:spacing w:before="0" w:line="264" w:lineRule="auto"/>
              <w:ind w:right="311"/>
              <w:rPr>
                <w:sz w:val="20"/>
              </w:rPr>
            </w:pPr>
            <w:r>
              <w:rPr>
                <w:sz w:val="20"/>
              </w:rPr>
              <w:t>v řízení v rozporu se zákonem nebo</w:t>
            </w:r>
          </w:p>
          <w:p w:rsidR="00E70313" w:rsidRDefault="00DE68E6">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25 %</w:t>
            </w:r>
          </w:p>
        </w:tc>
      </w:tr>
      <w:tr w:rsidR="00E70313">
        <w:trPr>
          <w:trHeight w:hRule="exact" w:val="819"/>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4" w:space="0" w:color="000000"/>
            </w:tcBorders>
          </w:tcPr>
          <w:p w:rsidR="00E70313" w:rsidRDefault="00DE68E6">
            <w:pPr>
              <w:pStyle w:val="TableParagraph"/>
              <w:spacing w:line="264" w:lineRule="auto"/>
              <w:ind w:left="103"/>
              <w:rPr>
                <w:sz w:val="20"/>
              </w:rPr>
            </w:pPr>
            <w:r>
              <w:rPr>
                <w:sz w:val="20"/>
              </w:rPr>
              <w:t>5 % nebo 10 % dle závažnosti porušení</w:t>
            </w:r>
          </w:p>
        </w:tc>
      </w:tr>
      <w:tr w:rsidR="00E70313">
        <w:trPr>
          <w:trHeight w:hRule="exact" w:val="1406"/>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4" w:space="0" w:color="000000"/>
              <w:left w:val="single" w:sz="2" w:space="0" w:color="000000"/>
              <w:bottom w:val="single" w:sz="4" w:space="0" w:color="000000"/>
            </w:tcBorders>
          </w:tcPr>
          <w:p w:rsidR="00E70313" w:rsidRDefault="00DE68E6">
            <w:pPr>
              <w:pStyle w:val="TableParagraph"/>
              <w:spacing w:line="264" w:lineRule="auto"/>
              <w:ind w:left="103" w:right="173"/>
              <w:rPr>
                <w:sz w:val="20"/>
              </w:rPr>
            </w:pPr>
            <w:r>
              <w:rPr>
                <w:sz w:val="20"/>
              </w:rPr>
              <w:t>25 % v případě značkové specifikace v míře vyšší než 30 % z finančního objemu veřejné zakázky</w:t>
            </w:r>
          </w:p>
        </w:tc>
      </w:tr>
      <w:tr w:rsidR="00E70313">
        <w:trPr>
          <w:trHeight w:hRule="exact" w:val="1406"/>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4" w:space="0" w:color="000000"/>
              <w:left w:val="single" w:sz="2" w:space="0" w:color="000000"/>
              <w:bottom w:val="single" w:sz="4" w:space="0" w:color="000000"/>
            </w:tcBorders>
          </w:tcPr>
          <w:p w:rsidR="00E70313" w:rsidRDefault="00DE68E6">
            <w:pPr>
              <w:pStyle w:val="TableParagraph"/>
              <w:spacing w:line="264" w:lineRule="auto"/>
              <w:ind w:left="103" w:right="555"/>
              <w:rPr>
                <w:sz w:val="20"/>
              </w:rPr>
            </w:pPr>
            <w:r>
              <w:rPr>
                <w:sz w:val="20"/>
              </w:rPr>
              <w:t>10 % v případě značkové specifikace v míře 20 – 30 % z finančního objemu veřejné zakázky</w:t>
            </w:r>
          </w:p>
        </w:tc>
      </w:tr>
      <w:tr w:rsidR="00E70313">
        <w:trPr>
          <w:trHeight w:hRule="exact" w:val="1404"/>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4" w:space="0" w:color="000000"/>
              <w:left w:val="single" w:sz="2" w:space="0" w:color="000000"/>
              <w:bottom w:val="single" w:sz="2" w:space="0" w:color="000000"/>
            </w:tcBorders>
          </w:tcPr>
          <w:p w:rsidR="00E70313" w:rsidRDefault="00DE68E6">
            <w:pPr>
              <w:pStyle w:val="TableParagraph"/>
              <w:spacing w:line="264" w:lineRule="auto"/>
              <w:ind w:left="103" w:right="489"/>
              <w:rPr>
                <w:sz w:val="20"/>
              </w:rPr>
            </w:pPr>
            <w:r>
              <w:rPr>
                <w:sz w:val="20"/>
              </w:rPr>
              <w:t>5 % v případě značkové specifikace v míře 10 &lt; 20 % z finančního objemu veřejné zakázky</w:t>
            </w:r>
          </w:p>
        </w:tc>
      </w:tr>
      <w:tr w:rsidR="00E70313">
        <w:trPr>
          <w:trHeight w:hRule="exact" w:val="523"/>
        </w:trPr>
        <w:tc>
          <w:tcPr>
            <w:tcW w:w="492" w:type="dxa"/>
            <w:vMerge w:val="restart"/>
            <w:tcBorders>
              <w:top w:val="single" w:sz="2" w:space="0" w:color="000000"/>
              <w:right w:val="single" w:sz="2" w:space="0" w:color="000000"/>
            </w:tcBorders>
          </w:tcPr>
          <w:p w:rsidR="00E70313" w:rsidRDefault="00DE68E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10 %</w:t>
            </w:r>
          </w:p>
        </w:tc>
      </w:tr>
      <w:tr w:rsidR="00E70313">
        <w:trPr>
          <w:trHeight w:hRule="exact" w:val="586"/>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5 % dle závažnosti porušení</w:t>
            </w:r>
          </w:p>
        </w:tc>
      </w:tr>
      <w:tr w:rsidR="00E70313">
        <w:trPr>
          <w:trHeight w:hRule="exact" w:val="523"/>
        </w:trPr>
        <w:tc>
          <w:tcPr>
            <w:tcW w:w="492" w:type="dxa"/>
            <w:vMerge w:val="restart"/>
            <w:tcBorders>
              <w:top w:val="single" w:sz="2" w:space="0" w:color="000000"/>
              <w:right w:val="single" w:sz="2" w:space="0" w:color="000000"/>
            </w:tcBorders>
          </w:tcPr>
          <w:p w:rsidR="00E70313" w:rsidRDefault="00DE68E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25 %</w:t>
            </w:r>
          </w:p>
        </w:tc>
      </w:tr>
      <w:tr w:rsidR="00E70313">
        <w:trPr>
          <w:trHeight w:hRule="exact" w:val="2636"/>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w:t>
            </w:r>
          </w:p>
        </w:tc>
      </w:tr>
      <w:tr w:rsidR="00E70313">
        <w:trPr>
          <w:trHeight w:hRule="exact" w:val="523"/>
        </w:trPr>
        <w:tc>
          <w:tcPr>
            <w:tcW w:w="492" w:type="dxa"/>
            <w:tcBorders>
              <w:top w:val="single" w:sz="2" w:space="0" w:color="000000"/>
              <w:bottom w:val="single" w:sz="2" w:space="0" w:color="000000"/>
              <w:right w:val="single" w:sz="2" w:space="0" w:color="000000"/>
            </w:tcBorders>
          </w:tcPr>
          <w:p w:rsidR="00E70313" w:rsidRDefault="00E70313"/>
        </w:tc>
        <w:tc>
          <w:tcPr>
            <w:tcW w:w="2211" w:type="dxa"/>
            <w:tcBorders>
              <w:top w:val="single" w:sz="2" w:space="0" w:color="000000"/>
              <w:left w:val="single" w:sz="2" w:space="0" w:color="000000"/>
              <w:bottom w:val="single" w:sz="2" w:space="0" w:color="000000"/>
              <w:right w:val="single" w:sz="2" w:space="0" w:color="000000"/>
            </w:tcBorders>
          </w:tcPr>
          <w:p w:rsidR="00E70313" w:rsidRDefault="00E70313"/>
        </w:tc>
        <w:tc>
          <w:tcPr>
            <w:tcW w:w="3485" w:type="dxa"/>
            <w:tcBorders>
              <w:top w:val="single" w:sz="2" w:space="0" w:color="000000"/>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E70313"/>
        </w:tc>
      </w:tr>
    </w:tbl>
    <w:p w:rsidR="00E70313" w:rsidRDefault="00E70313">
      <w:pPr>
        <w:sectPr w:rsidR="00E70313">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70313">
        <w:trPr>
          <w:trHeight w:hRule="exact" w:val="548"/>
        </w:trPr>
        <w:tc>
          <w:tcPr>
            <w:tcW w:w="492" w:type="dxa"/>
            <w:tcBorders>
              <w:right w:val="single" w:sz="2" w:space="0" w:color="000000"/>
            </w:tcBorders>
            <w:shd w:val="clear" w:color="auto" w:fill="F1F1F1"/>
          </w:tcPr>
          <w:p w:rsidR="00E70313" w:rsidRDefault="00DE68E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70313" w:rsidRDefault="00DE68E6">
            <w:pPr>
              <w:pStyle w:val="TableParagraph"/>
              <w:spacing w:before="108"/>
              <w:ind w:left="103"/>
              <w:rPr>
                <w:b/>
                <w:sz w:val="20"/>
              </w:rPr>
            </w:pPr>
            <w:r>
              <w:rPr>
                <w:b/>
                <w:sz w:val="20"/>
              </w:rPr>
              <w:t>Sazba finanční opravy</w:t>
            </w:r>
          </w:p>
        </w:tc>
      </w:tr>
      <w:tr w:rsidR="00E70313">
        <w:trPr>
          <w:trHeight w:hRule="exact" w:val="513"/>
        </w:trPr>
        <w:tc>
          <w:tcPr>
            <w:tcW w:w="492" w:type="dxa"/>
            <w:vMerge w:val="restart"/>
            <w:tcBorders>
              <w:right w:val="single" w:sz="2" w:space="0" w:color="000000"/>
            </w:tcBorders>
          </w:tcPr>
          <w:p w:rsidR="00E70313" w:rsidRDefault="00DE68E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70313" w:rsidRDefault="00DE68E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70313" w:rsidRDefault="00DE68E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70313" w:rsidRDefault="00DE68E6">
            <w:pPr>
              <w:pStyle w:val="TableParagraph"/>
              <w:spacing w:before="0" w:line="264" w:lineRule="auto"/>
              <w:ind w:right="105"/>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70313" w:rsidRDefault="00DE68E6">
            <w:pPr>
              <w:pStyle w:val="TableParagraph"/>
              <w:spacing w:before="83"/>
              <w:ind w:left="103"/>
              <w:rPr>
                <w:sz w:val="20"/>
              </w:rPr>
            </w:pPr>
            <w:r>
              <w:rPr>
                <w:sz w:val="20"/>
              </w:rPr>
              <w:t>25 %</w:t>
            </w:r>
          </w:p>
        </w:tc>
      </w:tr>
      <w:tr w:rsidR="00E70313">
        <w:trPr>
          <w:trHeight w:hRule="exact" w:val="2635"/>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w:t>
            </w:r>
          </w:p>
        </w:tc>
      </w:tr>
      <w:tr w:rsidR="00E70313">
        <w:trPr>
          <w:trHeight w:hRule="exact" w:val="1693"/>
        </w:trPr>
        <w:tc>
          <w:tcPr>
            <w:tcW w:w="492" w:type="dxa"/>
            <w:tcBorders>
              <w:top w:val="single" w:sz="2" w:space="0" w:color="000000"/>
              <w:bottom w:val="single" w:sz="2" w:space="0" w:color="000000"/>
              <w:right w:val="single" w:sz="2" w:space="0" w:color="000000"/>
            </w:tcBorders>
          </w:tcPr>
          <w:p w:rsidR="00E70313" w:rsidRDefault="00DE68E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70313" w:rsidRDefault="00DE68E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25 %</w:t>
            </w:r>
          </w:p>
        </w:tc>
      </w:tr>
      <w:tr w:rsidR="00E70313">
        <w:trPr>
          <w:trHeight w:hRule="exact" w:val="526"/>
        </w:trPr>
        <w:tc>
          <w:tcPr>
            <w:tcW w:w="492" w:type="dxa"/>
            <w:vMerge w:val="restart"/>
            <w:tcBorders>
              <w:top w:val="single" w:sz="2" w:space="0" w:color="000000"/>
              <w:right w:val="single" w:sz="2" w:space="0" w:color="000000"/>
            </w:tcBorders>
          </w:tcPr>
          <w:p w:rsidR="00E70313" w:rsidRDefault="00DE68E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ind w:left="103"/>
              <w:rPr>
                <w:sz w:val="20"/>
              </w:rPr>
            </w:pPr>
            <w:r>
              <w:rPr>
                <w:sz w:val="20"/>
              </w:rPr>
              <w:t>25 %</w:t>
            </w:r>
          </w:p>
        </w:tc>
      </w:tr>
      <w:tr w:rsidR="00E70313">
        <w:trPr>
          <w:trHeight w:hRule="exact" w:val="3219"/>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5 % nebo 10 % dle závažnosti porušení</w:t>
            </w:r>
          </w:p>
        </w:tc>
      </w:tr>
      <w:tr w:rsidR="00E70313">
        <w:trPr>
          <w:trHeight w:hRule="exact" w:val="2571"/>
        </w:trPr>
        <w:tc>
          <w:tcPr>
            <w:tcW w:w="492" w:type="dxa"/>
            <w:tcBorders>
              <w:top w:val="single" w:sz="2" w:space="0" w:color="000000"/>
              <w:bottom w:val="single" w:sz="2" w:space="0" w:color="000000"/>
              <w:right w:val="single" w:sz="2" w:space="0" w:color="000000"/>
            </w:tcBorders>
          </w:tcPr>
          <w:p w:rsidR="00E70313" w:rsidRDefault="00DE68E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70313" w:rsidRDefault="00DE68E6">
            <w:pPr>
              <w:pStyle w:val="TableParagraph"/>
              <w:ind w:left="103"/>
              <w:rPr>
                <w:sz w:val="20"/>
              </w:rPr>
            </w:pPr>
            <w:r>
              <w:rPr>
                <w:sz w:val="20"/>
              </w:rPr>
              <w:t>100 %</w:t>
            </w:r>
          </w:p>
        </w:tc>
      </w:tr>
      <w:tr w:rsidR="00E70313">
        <w:trPr>
          <w:trHeight w:hRule="exact" w:val="1694"/>
        </w:trPr>
        <w:tc>
          <w:tcPr>
            <w:tcW w:w="492" w:type="dxa"/>
            <w:tcBorders>
              <w:top w:val="single" w:sz="2" w:space="0" w:color="000000"/>
              <w:bottom w:val="single" w:sz="2" w:space="0" w:color="000000"/>
              <w:right w:val="single" w:sz="2" w:space="0" w:color="000000"/>
            </w:tcBorders>
          </w:tcPr>
          <w:p w:rsidR="00E70313" w:rsidRDefault="00DE68E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before="108" w:line="264" w:lineRule="auto"/>
              <w:ind w:right="689"/>
              <w:jc w:val="both"/>
              <w:rPr>
                <w:sz w:val="20"/>
              </w:rPr>
            </w:pPr>
            <w:r>
              <w:rPr>
                <w:sz w:val="20"/>
              </w:rPr>
              <w:t>Zadavatel umožnil podstatnou změnu závazku ze smlouvy na veřejnou zakázku nebo práv</w:t>
            </w:r>
          </w:p>
          <w:p w:rsidR="00E70313" w:rsidRDefault="00DE68E6">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line="264" w:lineRule="auto"/>
              <w:ind w:left="103" w:right="533"/>
              <w:rPr>
                <w:sz w:val="20"/>
              </w:rPr>
            </w:pPr>
            <w:r>
              <w:rPr>
                <w:sz w:val="20"/>
              </w:rPr>
              <w:t>25 % z ceny původní veřejné zakázky</w:t>
            </w:r>
          </w:p>
          <w:p w:rsidR="00E70313" w:rsidRDefault="00DE68E6">
            <w:pPr>
              <w:pStyle w:val="TableParagraph"/>
              <w:spacing w:before="117"/>
              <w:ind w:left="103"/>
              <w:rPr>
                <w:sz w:val="20"/>
              </w:rPr>
            </w:pPr>
            <w:r>
              <w:rPr>
                <w:sz w:val="20"/>
              </w:rPr>
              <w:t>a dále</w:t>
            </w:r>
          </w:p>
        </w:tc>
      </w:tr>
    </w:tbl>
    <w:p w:rsidR="00E70313" w:rsidRDefault="00E70313">
      <w:pPr>
        <w:rPr>
          <w:sz w:val="20"/>
        </w:rPr>
        <w:sectPr w:rsidR="00E70313">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70313">
        <w:trPr>
          <w:trHeight w:hRule="exact" w:val="548"/>
        </w:trPr>
        <w:tc>
          <w:tcPr>
            <w:tcW w:w="492" w:type="dxa"/>
            <w:tcBorders>
              <w:right w:val="single" w:sz="2" w:space="0" w:color="000000"/>
            </w:tcBorders>
            <w:shd w:val="clear" w:color="auto" w:fill="F1F1F1"/>
          </w:tcPr>
          <w:p w:rsidR="00E70313" w:rsidRDefault="00DE68E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70313" w:rsidRDefault="00DE68E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70313" w:rsidRDefault="00DE68E6">
            <w:pPr>
              <w:pStyle w:val="TableParagraph"/>
              <w:spacing w:before="108"/>
              <w:ind w:left="103"/>
              <w:rPr>
                <w:b/>
                <w:sz w:val="20"/>
              </w:rPr>
            </w:pPr>
            <w:r>
              <w:rPr>
                <w:b/>
                <w:sz w:val="20"/>
              </w:rPr>
              <w:t>Sazba finanční opravy</w:t>
            </w:r>
          </w:p>
        </w:tc>
      </w:tr>
      <w:tr w:rsidR="00E70313">
        <w:trPr>
          <w:trHeight w:hRule="exact" w:val="1098"/>
        </w:trPr>
        <w:tc>
          <w:tcPr>
            <w:tcW w:w="492" w:type="dxa"/>
            <w:tcBorders>
              <w:bottom w:val="single" w:sz="2" w:space="0" w:color="000000"/>
              <w:right w:val="single" w:sz="2" w:space="0" w:color="000000"/>
            </w:tcBorders>
          </w:tcPr>
          <w:p w:rsidR="00E70313" w:rsidRDefault="00E70313"/>
        </w:tc>
        <w:tc>
          <w:tcPr>
            <w:tcW w:w="2211" w:type="dxa"/>
            <w:tcBorders>
              <w:left w:val="single" w:sz="2" w:space="0" w:color="000000"/>
              <w:bottom w:val="single" w:sz="2" w:space="0" w:color="000000"/>
              <w:right w:val="single" w:sz="2" w:space="0" w:color="000000"/>
            </w:tcBorders>
          </w:tcPr>
          <w:p w:rsidR="00E70313" w:rsidRDefault="00E70313"/>
        </w:tc>
        <w:tc>
          <w:tcPr>
            <w:tcW w:w="3485" w:type="dxa"/>
            <w:tcBorders>
              <w:left w:val="single" w:sz="2" w:space="0" w:color="000000"/>
              <w:bottom w:val="single" w:sz="2" w:space="0" w:color="000000"/>
              <w:right w:val="single" w:sz="2" w:space="0" w:color="000000"/>
            </w:tcBorders>
          </w:tcPr>
          <w:p w:rsidR="00E70313" w:rsidRDefault="00DE68E6">
            <w:pPr>
              <w:pStyle w:val="TableParagraph"/>
              <w:spacing w:before="83"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E70313" w:rsidRDefault="00DE68E6">
            <w:pPr>
              <w:pStyle w:val="TableParagraph"/>
              <w:spacing w:before="83" w:line="264" w:lineRule="auto"/>
              <w:ind w:left="103" w:right="353"/>
              <w:rPr>
                <w:sz w:val="20"/>
              </w:rPr>
            </w:pPr>
            <w:r>
              <w:rPr>
                <w:sz w:val="20"/>
              </w:rPr>
              <w:t>100 % částky, o kterou byla případně zvýšena cena veřejné zakázky</w:t>
            </w:r>
          </w:p>
        </w:tc>
      </w:tr>
      <w:tr w:rsidR="00E70313">
        <w:trPr>
          <w:trHeight w:hRule="exact" w:val="2280"/>
        </w:trPr>
        <w:tc>
          <w:tcPr>
            <w:tcW w:w="492" w:type="dxa"/>
            <w:tcBorders>
              <w:top w:val="single" w:sz="2" w:space="0" w:color="000000"/>
              <w:bottom w:val="single" w:sz="2" w:space="0" w:color="000000"/>
              <w:right w:val="single" w:sz="2" w:space="0" w:color="000000"/>
            </w:tcBorders>
          </w:tcPr>
          <w:p w:rsidR="00E70313" w:rsidRDefault="00DE68E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70313" w:rsidRDefault="00DE68E6">
            <w:pPr>
              <w:pStyle w:val="TableParagraph"/>
              <w:spacing w:line="264" w:lineRule="auto"/>
              <w:rPr>
                <w:sz w:val="20"/>
              </w:rPr>
            </w:pPr>
            <w:r>
              <w:rPr>
                <w:sz w:val="20"/>
              </w:rPr>
              <w:t>Zadavatel umožnil podstatné zúžení rozsahu plnění veřejné zakázky</w:t>
            </w:r>
          </w:p>
          <w:p w:rsidR="00E70313" w:rsidRDefault="00DE68E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Pr>
                <w:sz w:val="20"/>
              </w:rPr>
            </w:pPr>
            <w:r>
              <w:rPr>
                <w:sz w:val="20"/>
              </w:rPr>
              <w:t>25 % z ceny veřejné zakázky po zúžení rozsahu plnění</w:t>
            </w:r>
          </w:p>
          <w:p w:rsidR="00E70313" w:rsidRDefault="00DE68E6">
            <w:pPr>
              <w:pStyle w:val="TableParagraph"/>
              <w:spacing w:before="120"/>
              <w:ind w:left="103"/>
              <w:rPr>
                <w:sz w:val="20"/>
              </w:rPr>
            </w:pPr>
            <w:r>
              <w:rPr>
                <w:sz w:val="20"/>
              </w:rPr>
              <w:t>a dále</w:t>
            </w:r>
          </w:p>
          <w:p w:rsidR="00E70313" w:rsidRDefault="00DE68E6">
            <w:pPr>
              <w:pStyle w:val="TableParagraph"/>
              <w:spacing w:before="146" w:line="264" w:lineRule="auto"/>
              <w:ind w:left="103" w:right="96"/>
              <w:rPr>
                <w:sz w:val="20"/>
              </w:rPr>
            </w:pPr>
            <w:r>
              <w:rPr>
                <w:sz w:val="20"/>
              </w:rPr>
              <w:t>100 % částky, o kterou byla snížena cena veřejné zakázky</w:t>
            </w:r>
          </w:p>
        </w:tc>
      </w:tr>
      <w:tr w:rsidR="00E70313">
        <w:trPr>
          <w:trHeight w:hRule="exact" w:val="1109"/>
        </w:trPr>
        <w:tc>
          <w:tcPr>
            <w:tcW w:w="492" w:type="dxa"/>
            <w:vMerge w:val="restart"/>
            <w:tcBorders>
              <w:top w:val="single" w:sz="2" w:space="0" w:color="000000"/>
              <w:right w:val="single" w:sz="2" w:space="0" w:color="000000"/>
            </w:tcBorders>
          </w:tcPr>
          <w:p w:rsidR="00E70313" w:rsidRDefault="00DE68E6">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70313" w:rsidRDefault="00DE68E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6" w:line="264" w:lineRule="auto"/>
              <w:ind w:left="103"/>
              <w:rPr>
                <w:sz w:val="20"/>
              </w:rPr>
            </w:pPr>
            <w:r>
              <w:rPr>
                <w:sz w:val="20"/>
              </w:rPr>
              <w:t>100 % hodnoty dodatečných stavebních prací, dodávek nebo služeb</w:t>
            </w:r>
          </w:p>
        </w:tc>
      </w:tr>
      <w:tr w:rsidR="00E70313">
        <w:trPr>
          <w:trHeight w:hRule="exact" w:val="2570"/>
        </w:trPr>
        <w:tc>
          <w:tcPr>
            <w:tcW w:w="492" w:type="dxa"/>
            <w:vMerge/>
            <w:tcBorders>
              <w:bottom w:val="single" w:sz="2" w:space="0" w:color="000000"/>
              <w:right w:val="single" w:sz="2" w:space="0" w:color="000000"/>
            </w:tcBorders>
          </w:tcPr>
          <w:p w:rsidR="00E70313" w:rsidRDefault="00E70313"/>
        </w:tc>
        <w:tc>
          <w:tcPr>
            <w:tcW w:w="2211" w:type="dxa"/>
            <w:vMerge/>
            <w:tcBorders>
              <w:left w:val="single" w:sz="2" w:space="0" w:color="000000"/>
              <w:bottom w:val="single" w:sz="2" w:space="0" w:color="000000"/>
              <w:right w:val="single" w:sz="2" w:space="0" w:color="000000"/>
            </w:tcBorders>
          </w:tcPr>
          <w:p w:rsidR="00E70313" w:rsidRDefault="00E70313"/>
        </w:tc>
        <w:tc>
          <w:tcPr>
            <w:tcW w:w="3485" w:type="dxa"/>
            <w:vMerge/>
            <w:tcBorders>
              <w:left w:val="single" w:sz="2" w:space="0" w:color="000000"/>
              <w:bottom w:val="single" w:sz="2" w:space="0" w:color="000000"/>
              <w:right w:val="single" w:sz="2" w:space="0" w:color="000000"/>
            </w:tcBorders>
          </w:tcPr>
          <w:p w:rsidR="00E70313" w:rsidRDefault="00E70313"/>
        </w:tc>
        <w:tc>
          <w:tcPr>
            <w:tcW w:w="3188" w:type="dxa"/>
            <w:tcBorders>
              <w:top w:val="single" w:sz="2" w:space="0" w:color="000000"/>
              <w:left w:val="single" w:sz="2" w:space="0" w:color="000000"/>
              <w:bottom w:val="single" w:sz="2" w:space="0" w:color="000000"/>
            </w:tcBorders>
          </w:tcPr>
          <w:p w:rsidR="00E70313" w:rsidRDefault="00DE68E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70313">
        <w:trPr>
          <w:trHeight w:hRule="exact" w:val="526"/>
        </w:trPr>
        <w:tc>
          <w:tcPr>
            <w:tcW w:w="492" w:type="dxa"/>
            <w:vMerge w:val="restart"/>
            <w:tcBorders>
              <w:top w:val="single" w:sz="2" w:space="0" w:color="000000"/>
              <w:right w:val="single" w:sz="2" w:space="0" w:color="000000"/>
            </w:tcBorders>
          </w:tcPr>
          <w:p w:rsidR="00E70313" w:rsidRDefault="00DE68E6">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70313" w:rsidRDefault="00DE68E6">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E70313" w:rsidRDefault="00DE68E6">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E70313" w:rsidRDefault="00DE68E6">
            <w:pPr>
              <w:pStyle w:val="TableParagraph"/>
              <w:spacing w:before="108"/>
              <w:ind w:left="103"/>
              <w:rPr>
                <w:sz w:val="20"/>
              </w:rPr>
            </w:pPr>
            <w:r>
              <w:rPr>
                <w:sz w:val="20"/>
              </w:rPr>
              <w:t>25 %</w:t>
            </w:r>
          </w:p>
        </w:tc>
      </w:tr>
      <w:tr w:rsidR="00E70313">
        <w:trPr>
          <w:trHeight w:hRule="exact" w:val="2645"/>
        </w:trPr>
        <w:tc>
          <w:tcPr>
            <w:tcW w:w="492" w:type="dxa"/>
            <w:vMerge/>
            <w:tcBorders>
              <w:right w:val="single" w:sz="2" w:space="0" w:color="000000"/>
            </w:tcBorders>
          </w:tcPr>
          <w:p w:rsidR="00E70313" w:rsidRDefault="00E70313"/>
        </w:tc>
        <w:tc>
          <w:tcPr>
            <w:tcW w:w="2211" w:type="dxa"/>
            <w:vMerge/>
            <w:tcBorders>
              <w:left w:val="single" w:sz="2" w:space="0" w:color="000000"/>
              <w:right w:val="single" w:sz="2" w:space="0" w:color="000000"/>
            </w:tcBorders>
          </w:tcPr>
          <w:p w:rsidR="00E70313" w:rsidRDefault="00E70313"/>
        </w:tc>
        <w:tc>
          <w:tcPr>
            <w:tcW w:w="3485" w:type="dxa"/>
            <w:vMerge/>
            <w:tcBorders>
              <w:left w:val="single" w:sz="2" w:space="0" w:color="000000"/>
              <w:right w:val="single" w:sz="2" w:space="0" w:color="000000"/>
            </w:tcBorders>
          </w:tcPr>
          <w:p w:rsidR="00E70313" w:rsidRDefault="00E70313"/>
        </w:tc>
        <w:tc>
          <w:tcPr>
            <w:tcW w:w="3188" w:type="dxa"/>
            <w:tcBorders>
              <w:top w:val="single" w:sz="2" w:space="0" w:color="000000"/>
              <w:left w:val="single" w:sz="2" w:space="0" w:color="000000"/>
            </w:tcBorders>
          </w:tcPr>
          <w:p w:rsidR="00E70313" w:rsidRDefault="00DE68E6">
            <w:pPr>
              <w:pStyle w:val="TableParagraph"/>
              <w:spacing w:line="264" w:lineRule="auto"/>
              <w:ind w:left="103"/>
              <w:rPr>
                <w:sz w:val="20"/>
              </w:rPr>
            </w:pPr>
            <w:r>
              <w:rPr>
                <w:sz w:val="20"/>
              </w:rPr>
              <w:t>2 % nebo 5 % nebo 10 % dle závažnosti porušení</w:t>
            </w:r>
          </w:p>
        </w:tc>
      </w:tr>
    </w:tbl>
    <w:p w:rsidR="00DE68E6" w:rsidRDefault="00DE68E6"/>
    <w:sectPr w:rsidR="00DE68E6">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41" w:rsidRDefault="004A7941">
      <w:r>
        <w:separator/>
      </w:r>
    </w:p>
  </w:endnote>
  <w:endnote w:type="continuationSeparator" w:id="0">
    <w:p w:rsidR="004A7941" w:rsidRDefault="004A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13" w:rsidRDefault="00BF5832">
    <w:pPr>
      <w:pStyle w:val="Zkladntext"/>
      <w:spacing w:before="0" w:line="14" w:lineRule="auto"/>
      <w:jc w:val="left"/>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313" w:rsidRDefault="00DE68E6">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FC462B">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E70313" w:rsidRDefault="00DE68E6">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FC462B">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41" w:rsidRDefault="004A7941">
      <w:r>
        <w:separator/>
      </w:r>
    </w:p>
  </w:footnote>
  <w:footnote w:type="continuationSeparator" w:id="0">
    <w:p w:rsidR="004A7941" w:rsidRDefault="004A7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017"/>
    <w:multiLevelType w:val="hybridMultilevel"/>
    <w:tmpl w:val="4E6271F2"/>
    <w:lvl w:ilvl="0" w:tplc="D73C9986">
      <w:start w:val="1"/>
      <w:numFmt w:val="decimal"/>
      <w:lvlText w:val="%1)"/>
      <w:lvlJc w:val="left"/>
      <w:pPr>
        <w:ind w:left="325" w:hanging="224"/>
        <w:jc w:val="left"/>
      </w:pPr>
      <w:rPr>
        <w:rFonts w:ascii="Segoe UI" w:eastAsia="Segoe UI" w:hAnsi="Segoe UI" w:cs="Segoe UI" w:hint="default"/>
        <w:w w:val="99"/>
        <w:sz w:val="20"/>
        <w:szCs w:val="20"/>
      </w:rPr>
    </w:lvl>
    <w:lvl w:ilvl="1" w:tplc="1C52FBFA">
      <w:start w:val="1"/>
      <w:numFmt w:val="lowerLetter"/>
      <w:lvlText w:val="%2)"/>
      <w:lvlJc w:val="left"/>
      <w:pPr>
        <w:ind w:left="668" w:hanging="284"/>
        <w:jc w:val="right"/>
      </w:pPr>
      <w:rPr>
        <w:rFonts w:ascii="Segoe UI" w:eastAsia="Segoe UI" w:hAnsi="Segoe UI" w:cs="Segoe UI" w:hint="default"/>
        <w:spacing w:val="-1"/>
        <w:w w:val="99"/>
        <w:sz w:val="20"/>
        <w:szCs w:val="20"/>
      </w:rPr>
    </w:lvl>
    <w:lvl w:ilvl="2" w:tplc="2E48C624">
      <w:numFmt w:val="bullet"/>
      <w:lvlText w:val="•"/>
      <w:lvlJc w:val="left"/>
      <w:pPr>
        <w:ind w:left="820" w:hanging="284"/>
      </w:pPr>
      <w:rPr>
        <w:rFonts w:hint="default"/>
      </w:rPr>
    </w:lvl>
    <w:lvl w:ilvl="3" w:tplc="011A892A">
      <w:numFmt w:val="bullet"/>
      <w:lvlText w:val="•"/>
      <w:lvlJc w:val="left"/>
      <w:pPr>
        <w:ind w:left="1920" w:hanging="284"/>
      </w:pPr>
      <w:rPr>
        <w:rFonts w:hint="default"/>
      </w:rPr>
    </w:lvl>
    <w:lvl w:ilvl="4" w:tplc="99A86ECE">
      <w:numFmt w:val="bullet"/>
      <w:lvlText w:val="•"/>
      <w:lvlJc w:val="left"/>
      <w:pPr>
        <w:ind w:left="3020" w:hanging="284"/>
      </w:pPr>
      <w:rPr>
        <w:rFonts w:hint="default"/>
      </w:rPr>
    </w:lvl>
    <w:lvl w:ilvl="5" w:tplc="5B900404">
      <w:numFmt w:val="bullet"/>
      <w:lvlText w:val="•"/>
      <w:lvlJc w:val="left"/>
      <w:pPr>
        <w:ind w:left="4120" w:hanging="284"/>
      </w:pPr>
      <w:rPr>
        <w:rFonts w:hint="default"/>
      </w:rPr>
    </w:lvl>
    <w:lvl w:ilvl="6" w:tplc="4DBEEDA2">
      <w:numFmt w:val="bullet"/>
      <w:lvlText w:val="•"/>
      <w:lvlJc w:val="left"/>
      <w:pPr>
        <w:ind w:left="5220" w:hanging="284"/>
      </w:pPr>
      <w:rPr>
        <w:rFonts w:hint="default"/>
      </w:rPr>
    </w:lvl>
    <w:lvl w:ilvl="7" w:tplc="23FA86A2">
      <w:numFmt w:val="bullet"/>
      <w:lvlText w:val="•"/>
      <w:lvlJc w:val="left"/>
      <w:pPr>
        <w:ind w:left="6320" w:hanging="284"/>
      </w:pPr>
      <w:rPr>
        <w:rFonts w:hint="default"/>
      </w:rPr>
    </w:lvl>
    <w:lvl w:ilvl="8" w:tplc="6B40D804">
      <w:numFmt w:val="bullet"/>
      <w:lvlText w:val="•"/>
      <w:lvlJc w:val="left"/>
      <w:pPr>
        <w:ind w:left="7420" w:hanging="284"/>
      </w:pPr>
      <w:rPr>
        <w:rFonts w:hint="default"/>
      </w:rPr>
    </w:lvl>
  </w:abstractNum>
  <w:abstractNum w:abstractNumId="1" w15:restartNumberingAfterBreak="0">
    <w:nsid w:val="1D4A6108"/>
    <w:multiLevelType w:val="hybridMultilevel"/>
    <w:tmpl w:val="95625280"/>
    <w:lvl w:ilvl="0" w:tplc="5A304B76">
      <w:start w:val="1"/>
      <w:numFmt w:val="upperRoman"/>
      <w:lvlText w:val="%1."/>
      <w:lvlJc w:val="left"/>
      <w:pPr>
        <w:ind w:left="529" w:hanging="240"/>
        <w:jc w:val="right"/>
      </w:pPr>
      <w:rPr>
        <w:rFonts w:ascii="Segoe UI" w:eastAsia="Segoe UI" w:hAnsi="Segoe UI" w:cs="Segoe UI" w:hint="default"/>
        <w:spacing w:val="-1"/>
        <w:w w:val="99"/>
        <w:sz w:val="20"/>
        <w:szCs w:val="20"/>
      </w:rPr>
    </w:lvl>
    <w:lvl w:ilvl="1" w:tplc="69EC1CE2">
      <w:start w:val="1"/>
      <w:numFmt w:val="lowerLetter"/>
      <w:lvlText w:val="%2)"/>
      <w:lvlJc w:val="left"/>
      <w:pPr>
        <w:ind w:left="810" w:hanging="272"/>
        <w:jc w:val="left"/>
      </w:pPr>
      <w:rPr>
        <w:rFonts w:ascii="Segoe UI" w:eastAsia="Segoe UI" w:hAnsi="Segoe UI" w:cs="Segoe UI" w:hint="default"/>
        <w:w w:val="99"/>
        <w:sz w:val="20"/>
        <w:szCs w:val="20"/>
      </w:rPr>
    </w:lvl>
    <w:lvl w:ilvl="2" w:tplc="573AD862">
      <w:numFmt w:val="bullet"/>
      <w:lvlText w:val="•"/>
      <w:lvlJc w:val="left"/>
      <w:pPr>
        <w:ind w:left="1797" w:hanging="272"/>
      </w:pPr>
      <w:rPr>
        <w:rFonts w:hint="default"/>
      </w:rPr>
    </w:lvl>
    <w:lvl w:ilvl="3" w:tplc="CA444A3E">
      <w:numFmt w:val="bullet"/>
      <w:lvlText w:val="•"/>
      <w:lvlJc w:val="left"/>
      <w:pPr>
        <w:ind w:left="2775" w:hanging="272"/>
      </w:pPr>
      <w:rPr>
        <w:rFonts w:hint="default"/>
      </w:rPr>
    </w:lvl>
    <w:lvl w:ilvl="4" w:tplc="C414E66A">
      <w:numFmt w:val="bullet"/>
      <w:lvlText w:val="•"/>
      <w:lvlJc w:val="left"/>
      <w:pPr>
        <w:ind w:left="3753" w:hanging="272"/>
      </w:pPr>
      <w:rPr>
        <w:rFonts w:hint="default"/>
      </w:rPr>
    </w:lvl>
    <w:lvl w:ilvl="5" w:tplc="353EDE40">
      <w:numFmt w:val="bullet"/>
      <w:lvlText w:val="•"/>
      <w:lvlJc w:val="left"/>
      <w:pPr>
        <w:ind w:left="4731" w:hanging="272"/>
      </w:pPr>
      <w:rPr>
        <w:rFonts w:hint="default"/>
      </w:rPr>
    </w:lvl>
    <w:lvl w:ilvl="6" w:tplc="DAB60D6A">
      <w:numFmt w:val="bullet"/>
      <w:lvlText w:val="•"/>
      <w:lvlJc w:val="left"/>
      <w:pPr>
        <w:ind w:left="5708" w:hanging="272"/>
      </w:pPr>
      <w:rPr>
        <w:rFonts w:hint="default"/>
      </w:rPr>
    </w:lvl>
    <w:lvl w:ilvl="7" w:tplc="DF5446A4">
      <w:numFmt w:val="bullet"/>
      <w:lvlText w:val="•"/>
      <w:lvlJc w:val="left"/>
      <w:pPr>
        <w:ind w:left="6686" w:hanging="272"/>
      </w:pPr>
      <w:rPr>
        <w:rFonts w:hint="default"/>
      </w:rPr>
    </w:lvl>
    <w:lvl w:ilvl="8" w:tplc="8B1C2668">
      <w:numFmt w:val="bullet"/>
      <w:lvlText w:val="•"/>
      <w:lvlJc w:val="left"/>
      <w:pPr>
        <w:ind w:left="7664" w:hanging="272"/>
      </w:pPr>
      <w:rPr>
        <w:rFonts w:hint="default"/>
      </w:rPr>
    </w:lvl>
  </w:abstractNum>
  <w:abstractNum w:abstractNumId="2" w15:restartNumberingAfterBreak="0">
    <w:nsid w:val="3FCF1E7B"/>
    <w:multiLevelType w:val="hybridMultilevel"/>
    <w:tmpl w:val="01FEEA2A"/>
    <w:lvl w:ilvl="0" w:tplc="F4481D64">
      <w:start w:val="1"/>
      <w:numFmt w:val="decimal"/>
      <w:lvlText w:val="%1)"/>
      <w:lvlJc w:val="left"/>
      <w:pPr>
        <w:ind w:left="385" w:hanging="284"/>
        <w:jc w:val="right"/>
      </w:pPr>
      <w:rPr>
        <w:rFonts w:ascii="Segoe UI" w:eastAsia="Segoe UI" w:hAnsi="Segoe UI" w:cs="Segoe UI" w:hint="default"/>
        <w:w w:val="99"/>
        <w:sz w:val="20"/>
        <w:szCs w:val="20"/>
      </w:rPr>
    </w:lvl>
    <w:lvl w:ilvl="1" w:tplc="F6A0D8F2">
      <w:numFmt w:val="bullet"/>
      <w:lvlText w:val="•"/>
      <w:lvlJc w:val="left"/>
      <w:pPr>
        <w:ind w:left="1304" w:hanging="284"/>
      </w:pPr>
      <w:rPr>
        <w:rFonts w:hint="default"/>
      </w:rPr>
    </w:lvl>
    <w:lvl w:ilvl="2" w:tplc="7D48D766">
      <w:numFmt w:val="bullet"/>
      <w:lvlText w:val="•"/>
      <w:lvlJc w:val="left"/>
      <w:pPr>
        <w:ind w:left="2228" w:hanging="284"/>
      </w:pPr>
      <w:rPr>
        <w:rFonts w:hint="default"/>
      </w:rPr>
    </w:lvl>
    <w:lvl w:ilvl="3" w:tplc="EA28BB70">
      <w:numFmt w:val="bullet"/>
      <w:lvlText w:val="•"/>
      <w:lvlJc w:val="left"/>
      <w:pPr>
        <w:ind w:left="3152" w:hanging="284"/>
      </w:pPr>
      <w:rPr>
        <w:rFonts w:hint="default"/>
      </w:rPr>
    </w:lvl>
    <w:lvl w:ilvl="4" w:tplc="3F04064A">
      <w:numFmt w:val="bullet"/>
      <w:lvlText w:val="•"/>
      <w:lvlJc w:val="left"/>
      <w:pPr>
        <w:ind w:left="4076" w:hanging="284"/>
      </w:pPr>
      <w:rPr>
        <w:rFonts w:hint="default"/>
      </w:rPr>
    </w:lvl>
    <w:lvl w:ilvl="5" w:tplc="A5A0729A">
      <w:numFmt w:val="bullet"/>
      <w:lvlText w:val="•"/>
      <w:lvlJc w:val="left"/>
      <w:pPr>
        <w:ind w:left="5000" w:hanging="284"/>
      </w:pPr>
      <w:rPr>
        <w:rFonts w:hint="default"/>
      </w:rPr>
    </w:lvl>
    <w:lvl w:ilvl="6" w:tplc="04963B82">
      <w:numFmt w:val="bullet"/>
      <w:lvlText w:val="•"/>
      <w:lvlJc w:val="left"/>
      <w:pPr>
        <w:ind w:left="5924" w:hanging="284"/>
      </w:pPr>
      <w:rPr>
        <w:rFonts w:hint="default"/>
      </w:rPr>
    </w:lvl>
    <w:lvl w:ilvl="7" w:tplc="682E2806">
      <w:numFmt w:val="bullet"/>
      <w:lvlText w:val="•"/>
      <w:lvlJc w:val="left"/>
      <w:pPr>
        <w:ind w:left="6848" w:hanging="284"/>
      </w:pPr>
      <w:rPr>
        <w:rFonts w:hint="default"/>
      </w:rPr>
    </w:lvl>
    <w:lvl w:ilvl="8" w:tplc="F432E600">
      <w:numFmt w:val="bullet"/>
      <w:lvlText w:val="•"/>
      <w:lvlJc w:val="left"/>
      <w:pPr>
        <w:ind w:left="7772" w:hanging="284"/>
      </w:pPr>
      <w:rPr>
        <w:rFonts w:hint="default"/>
      </w:rPr>
    </w:lvl>
  </w:abstractNum>
  <w:abstractNum w:abstractNumId="3" w15:restartNumberingAfterBreak="0">
    <w:nsid w:val="562E7793"/>
    <w:multiLevelType w:val="hybridMultilevel"/>
    <w:tmpl w:val="4A4CD46C"/>
    <w:lvl w:ilvl="0" w:tplc="F550BD42">
      <w:start w:val="1"/>
      <w:numFmt w:val="decimal"/>
      <w:lvlText w:val="%1)"/>
      <w:lvlJc w:val="left"/>
      <w:pPr>
        <w:ind w:left="385" w:hanging="284"/>
        <w:jc w:val="right"/>
      </w:pPr>
      <w:rPr>
        <w:rFonts w:ascii="Segoe UI" w:eastAsia="Segoe UI" w:hAnsi="Segoe UI" w:cs="Segoe UI" w:hint="default"/>
        <w:w w:val="99"/>
        <w:sz w:val="20"/>
        <w:szCs w:val="20"/>
      </w:rPr>
    </w:lvl>
    <w:lvl w:ilvl="1" w:tplc="35D23D58">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AEFC6C26">
      <w:numFmt w:val="bullet"/>
      <w:lvlText w:val="•"/>
      <w:lvlJc w:val="left"/>
      <w:pPr>
        <w:ind w:left="1780" w:hanging="284"/>
      </w:pPr>
      <w:rPr>
        <w:rFonts w:hint="default"/>
      </w:rPr>
    </w:lvl>
    <w:lvl w:ilvl="3" w:tplc="4EF0DC6E">
      <w:numFmt w:val="bullet"/>
      <w:lvlText w:val="•"/>
      <w:lvlJc w:val="left"/>
      <w:pPr>
        <w:ind w:left="2760" w:hanging="284"/>
      </w:pPr>
      <w:rPr>
        <w:rFonts w:hint="default"/>
      </w:rPr>
    </w:lvl>
    <w:lvl w:ilvl="4" w:tplc="16EA77F2">
      <w:numFmt w:val="bullet"/>
      <w:lvlText w:val="•"/>
      <w:lvlJc w:val="left"/>
      <w:pPr>
        <w:ind w:left="3740" w:hanging="284"/>
      </w:pPr>
      <w:rPr>
        <w:rFonts w:hint="default"/>
      </w:rPr>
    </w:lvl>
    <w:lvl w:ilvl="5" w:tplc="DF0C816A">
      <w:numFmt w:val="bullet"/>
      <w:lvlText w:val="•"/>
      <w:lvlJc w:val="left"/>
      <w:pPr>
        <w:ind w:left="4720" w:hanging="284"/>
      </w:pPr>
      <w:rPr>
        <w:rFonts w:hint="default"/>
      </w:rPr>
    </w:lvl>
    <w:lvl w:ilvl="6" w:tplc="233AD380">
      <w:numFmt w:val="bullet"/>
      <w:lvlText w:val="•"/>
      <w:lvlJc w:val="left"/>
      <w:pPr>
        <w:ind w:left="5700" w:hanging="284"/>
      </w:pPr>
      <w:rPr>
        <w:rFonts w:hint="default"/>
      </w:rPr>
    </w:lvl>
    <w:lvl w:ilvl="7" w:tplc="848A2E68">
      <w:numFmt w:val="bullet"/>
      <w:lvlText w:val="•"/>
      <w:lvlJc w:val="left"/>
      <w:pPr>
        <w:ind w:left="6680" w:hanging="284"/>
      </w:pPr>
      <w:rPr>
        <w:rFonts w:hint="default"/>
      </w:rPr>
    </w:lvl>
    <w:lvl w:ilvl="8" w:tplc="965A8144">
      <w:numFmt w:val="bullet"/>
      <w:lvlText w:val="•"/>
      <w:lvlJc w:val="left"/>
      <w:pPr>
        <w:ind w:left="7660" w:hanging="284"/>
      </w:pPr>
      <w:rPr>
        <w:rFonts w:hint="default"/>
      </w:rPr>
    </w:lvl>
  </w:abstractNum>
  <w:abstractNum w:abstractNumId="4" w15:restartNumberingAfterBreak="0">
    <w:nsid w:val="59537CAF"/>
    <w:multiLevelType w:val="hybridMultilevel"/>
    <w:tmpl w:val="2D687730"/>
    <w:lvl w:ilvl="0" w:tplc="08C2667C">
      <w:start w:val="1"/>
      <w:numFmt w:val="decimal"/>
      <w:lvlText w:val="%1)"/>
      <w:lvlJc w:val="left"/>
      <w:pPr>
        <w:ind w:left="385" w:hanging="284"/>
        <w:jc w:val="left"/>
      </w:pPr>
      <w:rPr>
        <w:rFonts w:ascii="Segoe UI" w:eastAsia="Segoe UI" w:hAnsi="Segoe UI" w:cs="Segoe UI" w:hint="default"/>
        <w:w w:val="99"/>
        <w:sz w:val="20"/>
        <w:szCs w:val="20"/>
      </w:rPr>
    </w:lvl>
    <w:lvl w:ilvl="1" w:tplc="1A8CB7FA">
      <w:numFmt w:val="bullet"/>
      <w:lvlText w:val="•"/>
      <w:lvlJc w:val="left"/>
      <w:pPr>
        <w:ind w:left="1304" w:hanging="284"/>
      </w:pPr>
      <w:rPr>
        <w:rFonts w:hint="default"/>
      </w:rPr>
    </w:lvl>
    <w:lvl w:ilvl="2" w:tplc="716E2166">
      <w:numFmt w:val="bullet"/>
      <w:lvlText w:val="•"/>
      <w:lvlJc w:val="left"/>
      <w:pPr>
        <w:ind w:left="2228" w:hanging="284"/>
      </w:pPr>
      <w:rPr>
        <w:rFonts w:hint="default"/>
      </w:rPr>
    </w:lvl>
    <w:lvl w:ilvl="3" w:tplc="99C0D198">
      <w:numFmt w:val="bullet"/>
      <w:lvlText w:val="•"/>
      <w:lvlJc w:val="left"/>
      <w:pPr>
        <w:ind w:left="3152" w:hanging="284"/>
      </w:pPr>
      <w:rPr>
        <w:rFonts w:hint="default"/>
      </w:rPr>
    </w:lvl>
    <w:lvl w:ilvl="4" w:tplc="6D969CF6">
      <w:numFmt w:val="bullet"/>
      <w:lvlText w:val="•"/>
      <w:lvlJc w:val="left"/>
      <w:pPr>
        <w:ind w:left="4076" w:hanging="284"/>
      </w:pPr>
      <w:rPr>
        <w:rFonts w:hint="default"/>
      </w:rPr>
    </w:lvl>
    <w:lvl w:ilvl="5" w:tplc="0784A770">
      <w:numFmt w:val="bullet"/>
      <w:lvlText w:val="•"/>
      <w:lvlJc w:val="left"/>
      <w:pPr>
        <w:ind w:left="5000" w:hanging="284"/>
      </w:pPr>
      <w:rPr>
        <w:rFonts w:hint="default"/>
      </w:rPr>
    </w:lvl>
    <w:lvl w:ilvl="6" w:tplc="F0C8EE36">
      <w:numFmt w:val="bullet"/>
      <w:lvlText w:val="•"/>
      <w:lvlJc w:val="left"/>
      <w:pPr>
        <w:ind w:left="5924" w:hanging="284"/>
      </w:pPr>
      <w:rPr>
        <w:rFonts w:hint="default"/>
      </w:rPr>
    </w:lvl>
    <w:lvl w:ilvl="7" w:tplc="1B46C8EA">
      <w:numFmt w:val="bullet"/>
      <w:lvlText w:val="•"/>
      <w:lvlJc w:val="left"/>
      <w:pPr>
        <w:ind w:left="6848" w:hanging="284"/>
      </w:pPr>
      <w:rPr>
        <w:rFonts w:hint="default"/>
      </w:rPr>
    </w:lvl>
    <w:lvl w:ilvl="8" w:tplc="52DC3B4E">
      <w:numFmt w:val="bullet"/>
      <w:lvlText w:val="•"/>
      <w:lvlJc w:val="left"/>
      <w:pPr>
        <w:ind w:left="7772" w:hanging="284"/>
      </w:pPr>
      <w:rPr>
        <w:rFonts w:hint="default"/>
      </w:rPr>
    </w:lvl>
  </w:abstractNum>
  <w:abstractNum w:abstractNumId="5" w15:restartNumberingAfterBreak="0">
    <w:nsid w:val="595D05E9"/>
    <w:multiLevelType w:val="hybridMultilevel"/>
    <w:tmpl w:val="BA06255C"/>
    <w:lvl w:ilvl="0" w:tplc="C6CC1A0C">
      <w:start w:val="1"/>
      <w:numFmt w:val="decimal"/>
      <w:lvlText w:val="%1)"/>
      <w:lvlJc w:val="left"/>
      <w:pPr>
        <w:ind w:left="385" w:hanging="284"/>
        <w:jc w:val="left"/>
      </w:pPr>
      <w:rPr>
        <w:rFonts w:ascii="Segoe UI" w:eastAsia="Segoe UI" w:hAnsi="Segoe UI" w:cs="Segoe UI" w:hint="default"/>
        <w:w w:val="99"/>
        <w:sz w:val="20"/>
        <w:szCs w:val="20"/>
      </w:rPr>
    </w:lvl>
    <w:lvl w:ilvl="1" w:tplc="C6FAFBC4">
      <w:numFmt w:val="bullet"/>
      <w:lvlText w:val="•"/>
      <w:lvlJc w:val="left"/>
      <w:pPr>
        <w:ind w:left="1304" w:hanging="284"/>
      </w:pPr>
      <w:rPr>
        <w:rFonts w:hint="default"/>
      </w:rPr>
    </w:lvl>
    <w:lvl w:ilvl="2" w:tplc="187005FA">
      <w:numFmt w:val="bullet"/>
      <w:lvlText w:val="•"/>
      <w:lvlJc w:val="left"/>
      <w:pPr>
        <w:ind w:left="2228" w:hanging="284"/>
      </w:pPr>
      <w:rPr>
        <w:rFonts w:hint="default"/>
      </w:rPr>
    </w:lvl>
    <w:lvl w:ilvl="3" w:tplc="C7C800FE">
      <w:numFmt w:val="bullet"/>
      <w:lvlText w:val="•"/>
      <w:lvlJc w:val="left"/>
      <w:pPr>
        <w:ind w:left="3152" w:hanging="284"/>
      </w:pPr>
      <w:rPr>
        <w:rFonts w:hint="default"/>
      </w:rPr>
    </w:lvl>
    <w:lvl w:ilvl="4" w:tplc="50CE5DA4">
      <w:numFmt w:val="bullet"/>
      <w:lvlText w:val="•"/>
      <w:lvlJc w:val="left"/>
      <w:pPr>
        <w:ind w:left="4076" w:hanging="284"/>
      </w:pPr>
      <w:rPr>
        <w:rFonts w:hint="default"/>
      </w:rPr>
    </w:lvl>
    <w:lvl w:ilvl="5" w:tplc="C346F720">
      <w:numFmt w:val="bullet"/>
      <w:lvlText w:val="•"/>
      <w:lvlJc w:val="left"/>
      <w:pPr>
        <w:ind w:left="5000" w:hanging="284"/>
      </w:pPr>
      <w:rPr>
        <w:rFonts w:hint="default"/>
      </w:rPr>
    </w:lvl>
    <w:lvl w:ilvl="6" w:tplc="0CA2F8FE">
      <w:numFmt w:val="bullet"/>
      <w:lvlText w:val="•"/>
      <w:lvlJc w:val="left"/>
      <w:pPr>
        <w:ind w:left="5924" w:hanging="284"/>
      </w:pPr>
      <w:rPr>
        <w:rFonts w:hint="default"/>
      </w:rPr>
    </w:lvl>
    <w:lvl w:ilvl="7" w:tplc="E7740760">
      <w:numFmt w:val="bullet"/>
      <w:lvlText w:val="•"/>
      <w:lvlJc w:val="left"/>
      <w:pPr>
        <w:ind w:left="6848" w:hanging="284"/>
      </w:pPr>
      <w:rPr>
        <w:rFonts w:hint="default"/>
      </w:rPr>
    </w:lvl>
    <w:lvl w:ilvl="8" w:tplc="46AA7040">
      <w:numFmt w:val="bullet"/>
      <w:lvlText w:val="•"/>
      <w:lvlJc w:val="left"/>
      <w:pPr>
        <w:ind w:left="7772" w:hanging="284"/>
      </w:pPr>
      <w:rPr>
        <w:rFonts w:hint="default"/>
      </w:rPr>
    </w:lvl>
  </w:abstractNum>
  <w:abstractNum w:abstractNumId="6" w15:restartNumberingAfterBreak="0">
    <w:nsid w:val="6B306932"/>
    <w:multiLevelType w:val="hybridMultilevel"/>
    <w:tmpl w:val="FF363D44"/>
    <w:lvl w:ilvl="0" w:tplc="C7BE7AD8">
      <w:start w:val="1"/>
      <w:numFmt w:val="decimal"/>
      <w:lvlText w:val="%1)"/>
      <w:lvlJc w:val="left"/>
      <w:pPr>
        <w:ind w:left="525" w:hanging="284"/>
        <w:jc w:val="right"/>
      </w:pPr>
      <w:rPr>
        <w:rFonts w:ascii="Segoe UI" w:eastAsia="Segoe UI" w:hAnsi="Segoe UI" w:cs="Segoe UI" w:hint="default"/>
        <w:w w:val="99"/>
        <w:sz w:val="20"/>
        <w:szCs w:val="20"/>
      </w:rPr>
    </w:lvl>
    <w:lvl w:ilvl="1" w:tplc="3A40FAB4">
      <w:numFmt w:val="bullet"/>
      <w:lvlText w:val="•"/>
      <w:lvlJc w:val="left"/>
      <w:pPr>
        <w:ind w:left="1444" w:hanging="284"/>
      </w:pPr>
      <w:rPr>
        <w:rFonts w:hint="default"/>
      </w:rPr>
    </w:lvl>
    <w:lvl w:ilvl="2" w:tplc="56C661FC">
      <w:numFmt w:val="bullet"/>
      <w:lvlText w:val="•"/>
      <w:lvlJc w:val="left"/>
      <w:pPr>
        <w:ind w:left="2368" w:hanging="284"/>
      </w:pPr>
      <w:rPr>
        <w:rFonts w:hint="default"/>
      </w:rPr>
    </w:lvl>
    <w:lvl w:ilvl="3" w:tplc="8FFC4C98">
      <w:numFmt w:val="bullet"/>
      <w:lvlText w:val="•"/>
      <w:lvlJc w:val="left"/>
      <w:pPr>
        <w:ind w:left="3292" w:hanging="284"/>
      </w:pPr>
      <w:rPr>
        <w:rFonts w:hint="default"/>
      </w:rPr>
    </w:lvl>
    <w:lvl w:ilvl="4" w:tplc="D87482DC">
      <w:numFmt w:val="bullet"/>
      <w:lvlText w:val="•"/>
      <w:lvlJc w:val="left"/>
      <w:pPr>
        <w:ind w:left="4216" w:hanging="284"/>
      </w:pPr>
      <w:rPr>
        <w:rFonts w:hint="default"/>
      </w:rPr>
    </w:lvl>
    <w:lvl w:ilvl="5" w:tplc="BF92F24C">
      <w:numFmt w:val="bullet"/>
      <w:lvlText w:val="•"/>
      <w:lvlJc w:val="left"/>
      <w:pPr>
        <w:ind w:left="5140" w:hanging="284"/>
      </w:pPr>
      <w:rPr>
        <w:rFonts w:hint="default"/>
      </w:rPr>
    </w:lvl>
    <w:lvl w:ilvl="6" w:tplc="15F498D8">
      <w:numFmt w:val="bullet"/>
      <w:lvlText w:val="•"/>
      <w:lvlJc w:val="left"/>
      <w:pPr>
        <w:ind w:left="6064" w:hanging="284"/>
      </w:pPr>
      <w:rPr>
        <w:rFonts w:hint="default"/>
      </w:rPr>
    </w:lvl>
    <w:lvl w:ilvl="7" w:tplc="0DF2809E">
      <w:numFmt w:val="bullet"/>
      <w:lvlText w:val="•"/>
      <w:lvlJc w:val="left"/>
      <w:pPr>
        <w:ind w:left="6988" w:hanging="284"/>
      </w:pPr>
      <w:rPr>
        <w:rFonts w:hint="default"/>
      </w:rPr>
    </w:lvl>
    <w:lvl w:ilvl="8" w:tplc="B8E815E6">
      <w:numFmt w:val="bullet"/>
      <w:lvlText w:val="•"/>
      <w:lvlJc w:val="left"/>
      <w:pPr>
        <w:ind w:left="7912" w:hanging="284"/>
      </w:pPr>
      <w:rPr>
        <w:rFont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13"/>
    <w:rsid w:val="004A7941"/>
    <w:rsid w:val="00BF5832"/>
    <w:rsid w:val="00DE68E6"/>
    <w:rsid w:val="00E70313"/>
    <w:rsid w:val="00FC4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EB6B"/>
  <w15:docId w15:val="{55D9B4A1-C6BB-4727-85C1-3533DE35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668"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5307</Words>
  <Characters>31315</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2021-04-01T07:53:00Z</dcterms:created>
  <dcterms:modified xsi:type="dcterms:W3CDTF">2021-04-01T07:53:00Z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2021-04-01T00:00:00Z</vt:filetime>
  </property>
</Properties>
</file>