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0811F8FF" w:rsidR="00726B26" w:rsidRPr="00726B26" w:rsidRDefault="000B4CF1" w:rsidP="00726B26">
      <w:pPr>
        <w:rPr>
          <w:b/>
        </w:rPr>
      </w:pPr>
      <w:proofErr w:type="spellStart"/>
      <w:r>
        <w:rPr>
          <w:b/>
        </w:rPr>
        <w:t>Alliance</w:t>
      </w:r>
      <w:proofErr w:type="spellEnd"/>
      <w:r>
        <w:rPr>
          <w:b/>
        </w:rPr>
        <w:t xml:space="preserve"> </w:t>
      </w:r>
      <w:proofErr w:type="spellStart"/>
      <w:r>
        <w:rPr>
          <w:b/>
        </w:rPr>
        <w:t>Healthcare</w:t>
      </w:r>
      <w:proofErr w:type="spellEnd"/>
      <w:r>
        <w:rPr>
          <w:b/>
        </w:rPr>
        <w:t>, s.r.o.</w:t>
      </w:r>
    </w:p>
    <w:p w14:paraId="62F78EE6" w14:textId="0E10CA21" w:rsidR="00726B26" w:rsidRDefault="00726B26" w:rsidP="00726B26">
      <w:r>
        <w:t xml:space="preserve">IČ: </w:t>
      </w:r>
      <w:r w:rsidR="000B4CF1">
        <w:t>14707420</w:t>
      </w:r>
    </w:p>
    <w:p w14:paraId="62F78EE7" w14:textId="7CEBD890" w:rsidR="00726B26" w:rsidRPr="00512AB9" w:rsidRDefault="00726B26" w:rsidP="00726B26">
      <w:r>
        <w:t xml:space="preserve">DIČ: </w:t>
      </w:r>
      <w:r w:rsidR="000B4CF1">
        <w:t>CZ14707420</w:t>
      </w:r>
    </w:p>
    <w:p w14:paraId="62F78EE8" w14:textId="66B481FD" w:rsidR="00726B26" w:rsidRPr="00512AB9" w:rsidRDefault="00726B26" w:rsidP="00726B26">
      <w:r>
        <w:t>se sídlem</w:t>
      </w:r>
      <w:r w:rsidRPr="00512AB9">
        <w:t xml:space="preserve">:  </w:t>
      </w:r>
      <w:r w:rsidR="000B4CF1">
        <w:t>Podle Trati 624/7, 108 00, Praha 10 - Malešice</w:t>
      </w:r>
    </w:p>
    <w:p w14:paraId="62F78EE9" w14:textId="5DBBA176" w:rsidR="00726B26" w:rsidRPr="00512AB9" w:rsidRDefault="00726B26" w:rsidP="00726B26">
      <w:r>
        <w:t>zastoupena</w:t>
      </w:r>
      <w:r w:rsidRPr="00512AB9">
        <w:t xml:space="preserve">: </w:t>
      </w:r>
      <w:r w:rsidR="000B4CF1">
        <w:t xml:space="preserve">Ing. Jan </w:t>
      </w:r>
      <w:proofErr w:type="spellStart"/>
      <w:r w:rsidR="000B4CF1">
        <w:t>Rohrbacher</w:t>
      </w:r>
      <w:proofErr w:type="spellEnd"/>
      <w:r w:rsidR="000B4CF1">
        <w:t>, Ing. Jiří Vaněk</w:t>
      </w:r>
    </w:p>
    <w:p w14:paraId="62F78EEA" w14:textId="039C3D60" w:rsidR="00726B26" w:rsidRPr="00512AB9" w:rsidRDefault="00726B26" w:rsidP="00726B26">
      <w:r w:rsidRPr="00512AB9">
        <w:t xml:space="preserve">bankovní spojení: </w:t>
      </w:r>
      <w:r w:rsidR="000B4CF1">
        <w:t>ČSOB, a.s.</w:t>
      </w:r>
    </w:p>
    <w:p w14:paraId="62F78EEB" w14:textId="6EC8E8C8" w:rsidR="00726B26" w:rsidRPr="00512AB9" w:rsidRDefault="00726B26" w:rsidP="00726B26">
      <w:r w:rsidRPr="00512AB9">
        <w:t xml:space="preserve">číslo účtu: </w:t>
      </w:r>
      <w:r w:rsidR="000B4CF1">
        <w:t>8010-0404243703/0300</w:t>
      </w:r>
    </w:p>
    <w:p w14:paraId="62F78EEC" w14:textId="30F11919" w:rsidR="00726B26" w:rsidRPr="00512AB9" w:rsidRDefault="00726B26" w:rsidP="00726B26">
      <w:r>
        <w:t>z</w:t>
      </w:r>
      <w:r w:rsidRPr="00512AB9">
        <w:t>apsán</w:t>
      </w:r>
      <w:r>
        <w:t>a</w:t>
      </w:r>
      <w:r w:rsidRPr="00512AB9">
        <w:t xml:space="preserve"> v obchodním rejstříku vedeném</w:t>
      </w:r>
      <w:r w:rsidR="000B4CF1">
        <w:t xml:space="preserve"> Městským</w:t>
      </w:r>
      <w:r>
        <w:t xml:space="preserve"> </w:t>
      </w:r>
      <w:r w:rsidRPr="00652864">
        <w:t>soudem v </w:t>
      </w:r>
      <w:r w:rsidR="000B4CF1">
        <w:t>Praze</w:t>
      </w:r>
      <w:r w:rsidRPr="00652864">
        <w:t xml:space="preserve">, oddíl </w:t>
      </w:r>
      <w:r w:rsidR="000B4CF1">
        <w:t>C</w:t>
      </w:r>
      <w:r w:rsidRPr="00652864">
        <w:t xml:space="preserve">, vložka </w:t>
      </w:r>
      <w:r w:rsidR="000B4CF1">
        <w:t>87837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77777777" w:rsidR="00726B26" w:rsidRPr="002B77A6" w:rsidRDefault="00726B26" w:rsidP="00726B26">
      <w:r w:rsidRPr="002B77A6">
        <w:t>IČ: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77777777" w:rsidR="00726B26" w:rsidRPr="002B77A6" w:rsidRDefault="00726B26" w:rsidP="00726B26">
      <w:r>
        <w:t>zastoupena</w:t>
      </w:r>
      <w:r w:rsidRPr="002B77A6">
        <w:t xml:space="preserve">: </w:t>
      </w:r>
      <w:r w:rsidR="001F7596">
        <w:t>prof. MUDr. Jaroslav Štěrba, Ph.D.</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55F09321"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t>„</w:t>
      </w:r>
      <w:r w:rsidR="00996773">
        <w:t>Cladribin</w:t>
      </w:r>
      <w:r w:rsidR="009029FF">
        <w:t>“</w:t>
      </w:r>
      <w:r w:rsidR="00290F5B">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dodáváno za podmínek sjednaných v této smlouvě na základě písemných </w:t>
      </w:r>
      <w:r>
        <w:lastRenderedPageBreak/>
        <w:t>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62F78F09" w14:textId="77777777" w:rsidR="00014CFB" w:rsidRDefault="00014CFB" w:rsidP="00014CFB">
      <w:pPr>
        <w:pStyle w:val="Odstavecsmlouvy"/>
        <w:numPr>
          <w:ilvl w:val="0"/>
          <w:numId w:val="0"/>
        </w:numPr>
        <w:ind w:left="567"/>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298BA11" w:rsidR="00014CFB" w:rsidRDefault="00014CFB" w:rsidP="00014CFB">
      <w:pPr>
        <w:pStyle w:val="Psmenoodstavce"/>
      </w:pPr>
      <w:r>
        <w:t xml:space="preserve">e-mailem na adresu </w:t>
      </w:r>
      <w:r w:rsidR="000B4CF1">
        <w:t>nemocnice@a-h.cz</w:t>
      </w:r>
      <w:r>
        <w:t>;</w:t>
      </w:r>
    </w:p>
    <w:p w14:paraId="62F78F14" w14:textId="712B17A8" w:rsidR="00014CFB" w:rsidRPr="000B4CF1" w:rsidRDefault="00014CFB" w:rsidP="00014CFB">
      <w:pPr>
        <w:pStyle w:val="Psmenoodstavce"/>
      </w:pPr>
      <w:r>
        <w:t xml:space="preserve">faxem na telefonní číslo </w:t>
      </w:r>
      <w:r w:rsidR="000B4CF1" w:rsidRPr="000B4CF1">
        <w:t>296 567 101</w:t>
      </w:r>
      <w:r w:rsidRPr="000B4CF1">
        <w:t>;</w:t>
      </w:r>
    </w:p>
    <w:p w14:paraId="62F78F16" w14:textId="2B1AD483" w:rsidR="00014CFB" w:rsidRDefault="00014CFB" w:rsidP="00014CFB">
      <w:pPr>
        <w:pStyle w:val="Psmenoodstavce"/>
        <w:numPr>
          <w:ilvl w:val="0"/>
          <w:numId w:val="0"/>
        </w:numPr>
        <w:ind w:left="567"/>
      </w:pPr>
      <w:r>
        <w:t xml:space="preserve">v internetovém systému Prodávajícího na adrese </w:t>
      </w:r>
      <w:proofErr w:type="spellStart"/>
      <w:r w:rsidR="000B4CF1">
        <w:t>alliance</w:t>
      </w:r>
      <w:proofErr w:type="spellEnd"/>
      <w:r w:rsidR="000B4CF1">
        <w:t>- healthcare.cz.</w:t>
      </w:r>
    </w:p>
    <w:p w14:paraId="3F576B59" w14:textId="77777777" w:rsidR="000B4CF1" w:rsidRDefault="000B4CF1" w:rsidP="00014CFB">
      <w:pPr>
        <w:pStyle w:val="Psmenoodstavce"/>
        <w:numPr>
          <w:ilvl w:val="0"/>
          <w:numId w:val="0"/>
        </w:numPr>
        <w:ind w:left="567"/>
      </w:pPr>
    </w:p>
    <w:p w14:paraId="62F78F17" w14:textId="71688DD1" w:rsidR="00014CFB" w:rsidRDefault="00014CFB" w:rsidP="00014CFB">
      <w:pPr>
        <w:pStyle w:val="Odstavecsmlouvy"/>
      </w:pPr>
      <w:r>
        <w:t xml:space="preserve">V naléhavých případech je Kupující oprávněn učinit Objednávku rovněž telefonicky na čísle </w:t>
      </w:r>
      <w:r w:rsidR="000B4CF1">
        <w:t>296 567 592</w:t>
      </w:r>
      <w:r>
        <w:t xml:space="preserve">. </w:t>
      </w:r>
    </w:p>
    <w:p w14:paraId="62F78F18" w14:textId="77777777" w:rsidR="00014CFB" w:rsidRDefault="00014CFB" w:rsidP="00014CFB">
      <w:pPr>
        <w:pStyle w:val="Odstavecsmlouvy"/>
        <w:numPr>
          <w:ilvl w:val="0"/>
          <w:numId w:val="0"/>
        </w:numPr>
        <w:ind w:left="567"/>
      </w:pPr>
    </w:p>
    <w:p w14:paraId="62F78F19" w14:textId="77777777"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717C3C">
        <w:t>lekarna@fnbrno.cz.</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7F9D901E" w:rsidR="00014CFB" w:rsidRDefault="00014CFB" w:rsidP="00014CFB">
      <w:pPr>
        <w:pStyle w:val="Odstavecsmlouvy"/>
      </w:pPr>
      <w:bookmarkStart w:id="5" w:name="_Ref525635743"/>
      <w:bookmarkStart w:id="6"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5"/>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6"/>
    </w:p>
    <w:p w14:paraId="594B7AC1" w14:textId="77777777" w:rsidR="00BE64FF" w:rsidRDefault="00BE64FF" w:rsidP="00BE64FF">
      <w:pPr>
        <w:pStyle w:val="Odstavecseseznamem"/>
      </w:pPr>
    </w:p>
    <w:p w14:paraId="6EF2F7CD" w14:textId="66062F1F" w:rsidR="00BE64FF" w:rsidRDefault="00BE64FF" w:rsidP="00BE64FF">
      <w:pPr>
        <w:pStyle w:val="Odstavecsmlouvy"/>
      </w:pPr>
      <w:r>
        <w:t>V případě, že Prodávající není schopen (při splnění podmínek Smlouvy) dílčí plnění dodat či jej není schopen dodat v celém rozsahu, je povinen o této skutečnosti Kupujícího informovat formou  tzv. „</w:t>
      </w:r>
      <w:r>
        <w:rPr>
          <w:b/>
          <w:i/>
        </w:rPr>
        <w:t>defektního listu</w:t>
      </w:r>
      <w:r>
        <w:t xml:space="preserve">“ zaslaného do dvou hodin od doručení výzvy. Z defektního listu musí vyplývat, v jakém rozsahu není Prodávající dílčí plnění schopen dodat. V rozsahu vymezeném </w:t>
      </w:r>
      <w:r>
        <w:lastRenderedPageBreak/>
        <w:t xml:space="preserve">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4DBB5CFD"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C" w14:textId="77777777" w:rsidR="00EA4C8B" w:rsidRDefault="00EA4C8B" w:rsidP="003E07FA">
      <w:pPr>
        <w:pStyle w:val="Psmenoodstavce"/>
        <w:ind w:left="1418" w:firstLine="0"/>
      </w:pPr>
      <w:r>
        <w:t>datum uskutečnění dodávky;</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4D06B502" w:rsidR="00EA4C8B" w:rsidRDefault="00EA4C8B" w:rsidP="003E07FA">
      <w:pPr>
        <w:pStyle w:val="Psmenoodstavce"/>
        <w:ind w:left="1418" w:firstLine="0"/>
      </w:pPr>
      <w:r w:rsidRPr="00512AB9">
        <w:t>údaje o šarži</w:t>
      </w:r>
      <w:r w:rsidR="002F473F">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773F79DF" w14:textId="77777777" w:rsidR="004E4993" w:rsidRPr="004E4993" w:rsidRDefault="004E4993" w:rsidP="004E4993"/>
    <w:p w14:paraId="1DF24B16" w14:textId="77777777" w:rsidR="00423B9E" w:rsidRPr="009029FF" w:rsidRDefault="00423B9E" w:rsidP="00423B9E">
      <w:pPr>
        <w:pStyle w:val="Odstavecsmlouvy"/>
      </w:pPr>
      <w:r w:rsidRPr="009029F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73374F40" w14:textId="77777777" w:rsidR="00423B9E" w:rsidRPr="009029FF" w:rsidRDefault="00423B9E" w:rsidP="00423B9E">
      <w:pPr>
        <w:pStyle w:val="Odstavecsmlouvy"/>
        <w:numPr>
          <w:ilvl w:val="0"/>
          <w:numId w:val="0"/>
        </w:numPr>
        <w:ind w:left="567" w:hanging="567"/>
      </w:pPr>
    </w:p>
    <w:p w14:paraId="2BE8364C" w14:textId="77777777" w:rsidR="00423B9E" w:rsidRPr="009029FF" w:rsidRDefault="00423B9E" w:rsidP="00423B9E">
      <w:pPr>
        <w:ind w:right="57" w:firstLine="567"/>
        <w:rPr>
          <w:color w:val="000000"/>
          <w:shd w:val="clear" w:color="auto" w:fill="FFFFFF"/>
        </w:rPr>
      </w:pPr>
      <w:r w:rsidRPr="009029FF">
        <w:rPr>
          <w:color w:val="000000"/>
          <w:shd w:val="clear" w:color="auto" w:fill="FFFFFF"/>
        </w:rPr>
        <w:t xml:space="preserve">Prodávající je oprávněn, v případě nedodání zboží, k jehož dodávce byl vyzván, nabídnout  </w:t>
      </w:r>
      <w:r w:rsidRPr="009029FF">
        <w:rPr>
          <w:color w:val="000000"/>
          <w:shd w:val="clear" w:color="auto" w:fill="FFFFFF"/>
        </w:rPr>
        <w:br/>
        <w:t xml:space="preserve">         kupujícímu alternativní předmět plnění, který bude v souladu s touto smlouvou a Zadávací   </w:t>
      </w:r>
      <w:r w:rsidRPr="009029FF">
        <w:rPr>
          <w:color w:val="000000"/>
          <w:shd w:val="clear" w:color="auto" w:fill="FFFFFF"/>
        </w:rPr>
        <w:br/>
        <w:t xml:space="preserve">         dokumentací. Kupující má právo dodávku alternativního plnění odmítnout.</w:t>
      </w:r>
    </w:p>
    <w:p w14:paraId="3EC3211B" w14:textId="55AFE93B" w:rsidR="00423B9E" w:rsidRPr="009029FF" w:rsidRDefault="00423B9E" w:rsidP="009029FF">
      <w:pPr>
        <w:pStyle w:val="Odstavecsmlouvy"/>
        <w:numPr>
          <w:ilvl w:val="0"/>
          <w:numId w:val="0"/>
        </w:numPr>
      </w:pPr>
    </w:p>
    <w:p w14:paraId="5ED9DD1A" w14:textId="77777777" w:rsidR="00423B9E" w:rsidRPr="009029FF" w:rsidRDefault="00423B9E" w:rsidP="009029FF">
      <w:pPr>
        <w:pStyle w:val="Odstavecsmlouvy"/>
      </w:pPr>
      <w:r w:rsidRPr="009029FF">
        <w:rPr>
          <w:color w:val="000000"/>
          <w:shd w:val="clear" w:color="auto" w:fill="FFFFFF"/>
        </w:rPr>
        <w:t xml:space="preserve">Nedodá-li prodávající kupujícímu zboží, k jehož dodání jej vyzval (např. v návaznosti na doručení defektního listu) či nedodá-li zboží řádně a včas </w:t>
      </w:r>
      <w:r w:rsidRPr="009029FF">
        <w:rPr>
          <w:color w:val="000000"/>
          <w:shd w:val="clear" w:color="auto" w:fill="FFFFFF"/>
        </w:rPr>
        <w:br/>
        <w:t>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22BB734E" w14:textId="3C76A895" w:rsidR="00423B9E" w:rsidRDefault="00423B9E" w:rsidP="009029FF">
      <w:pPr>
        <w:pStyle w:val="Odstavecsmlouvy"/>
        <w:numPr>
          <w:ilvl w:val="0"/>
          <w:numId w:val="0"/>
        </w:numPr>
      </w:pPr>
    </w:p>
    <w:p w14:paraId="0C4329D7" w14:textId="77777777" w:rsidR="00423B9E" w:rsidRDefault="00423B9E" w:rsidP="00423B9E">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7777777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578D0B9D" w:rsidR="00B468B6" w:rsidRDefault="00B468B6" w:rsidP="00B468B6">
      <w:pPr>
        <w:pStyle w:val="Odstavecsmlouvy"/>
      </w:pPr>
      <w:r w:rsidRPr="006E1A4C">
        <w:t>Prodávající je oprávněn zvýšit jednotkové ceny dle Přílohy č. 1 této smlouvy každoročně o</w:t>
      </w:r>
      <w:r w:rsidRPr="006E1A4C">
        <w:rPr>
          <w:b/>
        </w:rPr>
        <w:t xml:space="preserve"> průměrnou roční míru inflace za předchozí kalendářní rok </w:t>
      </w:r>
      <w:r w:rsidRPr="006E1A4C">
        <w:t xml:space="preserve">zveřejněnou Českým statistickým úřadem, nejvýše však o 5 % (i v případě, že míra inflace za předchozí kalendářní rok bude vyšší) a to vždy k 1. 4. příslušného roku, počínaje 1. 4. 2021. Zvýšení jednotkových cen dle Přílohy č. 1 </w:t>
      </w:r>
      <w:r w:rsidRPr="006E1A4C">
        <w:lastRenderedPageBreak/>
        <w:t>této smlouvy o inflaci je Prodávající povinen Kupujícímu oznámit nejpozději do 15. 3. příslušného 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019D82C4" w:rsidR="00B468B6" w:rsidRDefault="00B468B6" w:rsidP="00B468B6">
      <w:pPr>
        <w:pStyle w:val="Odstavecsmlouvy"/>
      </w:pPr>
      <w:r w:rsidRPr="006E1A4C">
        <w:t>Ustanovení čl. V.</w:t>
      </w:r>
      <w:r w:rsidR="00222710">
        <w:t xml:space="preserve"> </w:t>
      </w:r>
      <w:r w:rsidRPr="006E1A4C">
        <w:t>4  této smlouvy se použije pouze v případě, že průměrná roční míra inflace 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1002972E" w14:textId="77777777" w:rsidR="00443F12" w:rsidRDefault="00443F12" w:rsidP="00443F12">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62F78F4E" w14:textId="77777777" w:rsidR="00743A0B" w:rsidRDefault="00743A0B" w:rsidP="00743A0B">
      <w:pPr>
        <w:pStyle w:val="Odstavecsmlouvy"/>
        <w:numPr>
          <w:ilvl w:val="0"/>
          <w:numId w:val="0"/>
        </w:numPr>
        <w:ind w:left="567"/>
      </w:pPr>
    </w:p>
    <w:p w14:paraId="16F3B714" w14:textId="77777777" w:rsidR="00443F12" w:rsidRDefault="00443F12" w:rsidP="00443F12">
      <w:pPr>
        <w:pStyle w:val="Odstavecsmlouvy"/>
      </w:pPr>
      <w:bookmarkStart w:id="9"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9"/>
      <w:r>
        <w:t>Prodávající je povinen v takovém případě na výzvu Kupujícího uzavřít dodatek k této Smlouvě, jehož předmětem bude toto snížení jednotkové kupní ceny položky Zboží.</w:t>
      </w:r>
    </w:p>
    <w:p w14:paraId="0ED5763C" w14:textId="77777777" w:rsidR="00B468B6" w:rsidRDefault="00B468B6" w:rsidP="00222710"/>
    <w:p w14:paraId="55B1DB06" w14:textId="3A10F5FF" w:rsidR="00B468B6" w:rsidRDefault="00B468B6" w:rsidP="00B468B6">
      <w:pPr>
        <w:pStyle w:val="Odstavecsmlouvy"/>
      </w:pPr>
      <w:r>
        <w:t>Pro vyloučení pochybností se uvádí, že příslušná jednotková kupní cena je dle odst.</w:t>
      </w:r>
      <w:r w:rsidR="009A62AE">
        <w:t xml:space="preserve"> V. 6</w:t>
      </w:r>
      <w:r>
        <w:t xml:space="preserve">  resp. </w:t>
      </w:r>
      <w:r w:rsidR="009A62AE">
        <w:t xml:space="preserve">V. 7 </w:t>
      </w:r>
      <w:r>
        <w:t>této smlouvy snížena i bez uzavření dodatku k této smlouvě, tj. již okamžikem snížení úhrady ze strany Všeobecné zdravotní pojišťovny.</w:t>
      </w:r>
    </w:p>
    <w:p w14:paraId="62F78F50" w14:textId="77777777" w:rsidR="000C1FD1" w:rsidRDefault="000C1FD1" w:rsidP="000C1FD1">
      <w:pPr>
        <w:pStyle w:val="Odstavecsmlouvy"/>
        <w:numPr>
          <w:ilvl w:val="0"/>
          <w:numId w:val="0"/>
        </w:numPr>
        <w:ind w:left="567"/>
      </w:pPr>
      <w:bookmarkStart w:id="10" w:name="_GoBack"/>
      <w:bookmarkEnd w:id="10"/>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745E4A45" w:rsidR="000C1FD1" w:rsidRPr="000B4CF1"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a </w:t>
      </w:r>
      <w:r w:rsidRPr="000B4CF1">
        <w:t>to</w:t>
      </w:r>
      <w:r w:rsidR="000B4CF1" w:rsidRPr="000B4CF1">
        <w:t xml:space="preserve"> </w:t>
      </w:r>
      <w:r w:rsidRPr="000B4CF1">
        <w:t>ve formě tzv. sběrných faktur v denním intervalu</w:t>
      </w:r>
      <w:r w:rsidR="000B4CF1" w:rsidRPr="000B4CF1">
        <w:t>.</w:t>
      </w:r>
      <w:r w:rsidRPr="000B4CF1">
        <w:t xml:space="preserve">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6E40C19B" w:rsidR="002F473F" w:rsidRPr="00512AB9" w:rsidRDefault="002F473F" w:rsidP="002F473F">
      <w:pPr>
        <w:pStyle w:val="Odstavecsmlouvy"/>
      </w:pPr>
      <w:r>
        <w:t>Zboží musí být označeno šarží na vnějším i vnitřním obalu. Zboží s expirační dobou musí být opatřeno také údajem o expiraci.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2F473F">
      <w:pPr>
        <w:pStyle w:val="Odstavecseseznamem"/>
      </w:pPr>
    </w:p>
    <w:p w14:paraId="632DB114" w14:textId="7D80843E" w:rsidR="002F473F" w:rsidRPr="00512AB9" w:rsidRDefault="002F473F" w:rsidP="0079294C">
      <w:pPr>
        <w:pStyle w:val="Odstavecsmlouvy"/>
      </w:pPr>
      <w:r>
        <w:lastRenderedPageBreak/>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735D7D" w:rsidRDefault="00735D7D" w:rsidP="00735D7D">
      <w:pPr>
        <w:pStyle w:val="Odstavecseseznamem"/>
        <w:rPr>
          <w:rFonts w:ascii="Arial" w:hAnsi="Arial"/>
        </w:rPr>
      </w:pPr>
    </w:p>
    <w:p w14:paraId="29ED296D" w14:textId="07A5D064"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Pr="00735D7D"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2F78F86" w14:textId="77777777" w:rsidR="00557002" w:rsidRDefault="00557002" w:rsidP="00557002">
      <w:pPr>
        <w:pStyle w:val="Odstavecsmlouvy"/>
        <w:numPr>
          <w:ilvl w:val="0"/>
          <w:numId w:val="0"/>
        </w:numPr>
        <w:ind w:left="567"/>
      </w:pPr>
    </w:p>
    <w:p w14:paraId="62F78F87"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62F78F88" w14:textId="77777777" w:rsidR="00557002" w:rsidRPr="00557002" w:rsidRDefault="00557002" w:rsidP="00557002">
      <w:pPr>
        <w:pStyle w:val="Odstavecsmlouvy"/>
        <w:numPr>
          <w:ilvl w:val="0"/>
          <w:numId w:val="0"/>
        </w:numPr>
        <w:ind w:left="567"/>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 xml:space="preserve">částka smluvní </w:t>
      </w:r>
      <w:r w:rsidRPr="00C92C8B">
        <w:lastRenderedPageBreak/>
        <w:t>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2F78F8E" w14:textId="77777777" w:rsidR="00EE6269" w:rsidRPr="002B77A6" w:rsidRDefault="00EE6269"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36664B52"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na dobu </w:t>
      </w:r>
      <w:r w:rsidR="009029FF">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lastRenderedPageBreak/>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3" w14:textId="77777777" w:rsidR="001D71E3" w:rsidRPr="00717C3C" w:rsidRDefault="00726B26" w:rsidP="001D71E3">
      <w:pPr>
        <w:pStyle w:val="Odstavecsmlouvy"/>
      </w:pPr>
      <w:r w:rsidRPr="00717C3C">
        <w:rPr>
          <w:snapToGrid w:val="0"/>
        </w:rPr>
        <w:t xml:space="preserve">Tato </w:t>
      </w:r>
      <w:r w:rsidR="00825B3C" w:rsidRPr="00717C3C">
        <w:rPr>
          <w:snapToGrid w:val="0"/>
        </w:rPr>
        <w:t>smlouva</w:t>
      </w:r>
      <w:r w:rsidRPr="00717C3C">
        <w:rPr>
          <w:snapToGrid w:val="0"/>
        </w:rPr>
        <w:t xml:space="preserve"> je sepsána </w:t>
      </w:r>
      <w:r w:rsidR="00717C3C" w:rsidRPr="00717C3C">
        <w:rPr>
          <w:snapToGrid w:val="0"/>
        </w:rPr>
        <w:t xml:space="preserve">třech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42EB018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0B4CF1">
              <w:rPr>
                <w:sz w:val="22"/>
                <w:szCs w:val="22"/>
              </w:rPr>
              <w:t xml:space="preserve"> Praze </w:t>
            </w:r>
            <w:r w:rsidRPr="00D722DC">
              <w:rPr>
                <w:sz w:val="22"/>
                <w:szCs w:val="22"/>
              </w:rPr>
              <w:t>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249297D4" w14:textId="77777777" w:rsidR="004A45B0" w:rsidRDefault="000B4CF1" w:rsidP="005B49AA">
            <w:pPr>
              <w:pStyle w:val="slovn"/>
              <w:numPr>
                <w:ilvl w:val="0"/>
                <w:numId w:val="0"/>
              </w:numPr>
              <w:tabs>
                <w:tab w:val="num" w:pos="567"/>
              </w:tabs>
              <w:spacing w:after="0" w:line="280" w:lineRule="atLeast"/>
              <w:jc w:val="center"/>
              <w:rPr>
                <w:b/>
                <w:sz w:val="22"/>
                <w:szCs w:val="22"/>
              </w:rPr>
            </w:pPr>
            <w:proofErr w:type="spellStart"/>
            <w:r>
              <w:rPr>
                <w:b/>
                <w:sz w:val="22"/>
                <w:szCs w:val="22"/>
              </w:rPr>
              <w:t>Alliance</w:t>
            </w:r>
            <w:proofErr w:type="spellEnd"/>
            <w:r>
              <w:rPr>
                <w:b/>
                <w:sz w:val="22"/>
                <w:szCs w:val="22"/>
              </w:rPr>
              <w:t xml:space="preserve"> </w:t>
            </w:r>
            <w:proofErr w:type="spellStart"/>
            <w:r>
              <w:rPr>
                <w:b/>
                <w:sz w:val="22"/>
                <w:szCs w:val="22"/>
              </w:rPr>
              <w:t>Healthcare</w:t>
            </w:r>
            <w:proofErr w:type="spellEnd"/>
            <w:r>
              <w:rPr>
                <w:b/>
                <w:sz w:val="22"/>
                <w:szCs w:val="22"/>
              </w:rPr>
              <w:t>, s.r.o.</w:t>
            </w:r>
          </w:p>
          <w:p w14:paraId="4A22FD51" w14:textId="77777777" w:rsidR="00BA17A6" w:rsidRDefault="00BA17A6" w:rsidP="005B49AA">
            <w:pPr>
              <w:pStyle w:val="slovn"/>
              <w:numPr>
                <w:ilvl w:val="0"/>
                <w:numId w:val="0"/>
              </w:numPr>
              <w:tabs>
                <w:tab w:val="num" w:pos="567"/>
              </w:tabs>
              <w:spacing w:after="0" w:line="280" w:lineRule="atLeast"/>
              <w:jc w:val="center"/>
              <w:rPr>
                <w:sz w:val="22"/>
                <w:szCs w:val="22"/>
              </w:rPr>
            </w:pPr>
            <w:r>
              <w:rPr>
                <w:sz w:val="22"/>
                <w:szCs w:val="22"/>
              </w:rPr>
              <w:t xml:space="preserve">Ing. Jan </w:t>
            </w:r>
            <w:proofErr w:type="spellStart"/>
            <w:r>
              <w:rPr>
                <w:sz w:val="22"/>
                <w:szCs w:val="22"/>
              </w:rPr>
              <w:t>Rohrbacher</w:t>
            </w:r>
            <w:proofErr w:type="spellEnd"/>
            <w:r>
              <w:rPr>
                <w:sz w:val="22"/>
                <w:szCs w:val="22"/>
              </w:rPr>
              <w:t>, Ing. Jiří Vaněk</w:t>
            </w:r>
          </w:p>
          <w:p w14:paraId="62F78FB8" w14:textId="53A02CFE" w:rsidR="00BA17A6" w:rsidRPr="00D722DC" w:rsidRDefault="00BA17A6" w:rsidP="005B49AA">
            <w:pPr>
              <w:pStyle w:val="slovn"/>
              <w:numPr>
                <w:ilvl w:val="0"/>
                <w:numId w:val="0"/>
              </w:numPr>
              <w:tabs>
                <w:tab w:val="num" w:pos="567"/>
              </w:tabs>
              <w:spacing w:after="0" w:line="280" w:lineRule="atLeast"/>
              <w:jc w:val="center"/>
              <w:rPr>
                <w:sz w:val="22"/>
                <w:szCs w:val="22"/>
              </w:rPr>
            </w:pPr>
            <w:r>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61441D9C" w:rsidR="004A45B0" w:rsidRPr="00D722DC" w:rsidRDefault="001F7596" w:rsidP="001F7596">
            <w:pPr>
              <w:pStyle w:val="slovn"/>
              <w:numPr>
                <w:ilvl w:val="0"/>
                <w:numId w:val="0"/>
              </w:numPr>
              <w:tabs>
                <w:tab w:val="num" w:pos="567"/>
              </w:tabs>
              <w:spacing w:after="0" w:line="280" w:lineRule="atLeast"/>
              <w:jc w:val="center"/>
              <w:rPr>
                <w:sz w:val="22"/>
                <w:szCs w:val="22"/>
              </w:rPr>
            </w:pPr>
            <w:r w:rsidRPr="001F7596">
              <w:rPr>
                <w:sz w:val="22"/>
                <w:szCs w:val="22"/>
              </w:rPr>
              <w:t>prof. MUDr. Jaroslav Štěrba, Ph.D.</w:t>
            </w:r>
            <w:r w:rsidR="004A45B0" w:rsidRPr="00D722DC">
              <w:rPr>
                <w:sz w:val="22"/>
                <w:szCs w:val="22"/>
              </w:rPr>
              <w:t>, ředitel</w:t>
            </w:r>
          </w:p>
        </w:tc>
      </w:tr>
    </w:tbl>
    <w:p w14:paraId="62F78FBE" w14:textId="4CA6C8E0" w:rsidR="000729CF" w:rsidRDefault="000729CF" w:rsidP="000729CF"/>
    <w:p w14:paraId="357506A1" w14:textId="658C0C61" w:rsidR="00BA17A6" w:rsidRDefault="00BA17A6" w:rsidP="000729CF"/>
    <w:p w14:paraId="48C3C06D" w14:textId="18B9F19D" w:rsidR="00BA17A6" w:rsidRDefault="00BA17A6" w:rsidP="000729CF"/>
    <w:p w14:paraId="3076C99C" w14:textId="58213AA4" w:rsidR="00BA17A6" w:rsidRDefault="00BA17A6" w:rsidP="000729CF"/>
    <w:p w14:paraId="0DD37EAC" w14:textId="05AF3ED7" w:rsidR="00BA17A6" w:rsidRDefault="00BA17A6" w:rsidP="000729CF"/>
    <w:p w14:paraId="2F0A73FB" w14:textId="3F102EAA" w:rsidR="00BA17A6" w:rsidRDefault="00BA17A6" w:rsidP="000729CF"/>
    <w:p w14:paraId="6ADAF85C" w14:textId="6D76E1FF" w:rsidR="00BA17A6" w:rsidRDefault="00BA17A6" w:rsidP="000729CF"/>
    <w:p w14:paraId="04C8E827" w14:textId="2A7EE507" w:rsidR="00BA17A6" w:rsidRDefault="00BA17A6" w:rsidP="000729CF"/>
    <w:p w14:paraId="6125149C" w14:textId="6694810E" w:rsidR="00BA17A6" w:rsidRDefault="00BA17A6" w:rsidP="000729CF"/>
    <w:p w14:paraId="6A27F4DD" w14:textId="19E9A904" w:rsidR="00BA17A6" w:rsidRDefault="00BA17A6" w:rsidP="000729CF"/>
    <w:p w14:paraId="3405B30E" w14:textId="59B2E731" w:rsidR="00BA17A6" w:rsidRDefault="00BA17A6" w:rsidP="000729CF"/>
    <w:p w14:paraId="3F5C2B1A" w14:textId="4DEE584A" w:rsidR="00BA17A6" w:rsidRDefault="00BA17A6" w:rsidP="000729CF"/>
    <w:p w14:paraId="4BBDF289" w14:textId="510E61F0" w:rsidR="00BA17A6" w:rsidRDefault="00BA17A6" w:rsidP="000729CF"/>
    <w:p w14:paraId="2FD00ACE" w14:textId="5B3B59C6" w:rsidR="00BA17A6" w:rsidRDefault="00BA17A6" w:rsidP="000729CF"/>
    <w:p w14:paraId="0EEFF213" w14:textId="26268105" w:rsidR="00BA17A6" w:rsidRDefault="00BA17A6" w:rsidP="000729CF"/>
    <w:p w14:paraId="2E30668C" w14:textId="11DAD883" w:rsidR="00BA17A6" w:rsidRDefault="00BA17A6" w:rsidP="000729CF"/>
    <w:p w14:paraId="13B0D04A" w14:textId="0133714A" w:rsidR="00BA17A6" w:rsidRDefault="00BA17A6" w:rsidP="000729CF"/>
    <w:p w14:paraId="2D8DE585" w14:textId="37AAFDA7" w:rsidR="00BA17A6" w:rsidRDefault="00BA17A6" w:rsidP="000729CF"/>
    <w:p w14:paraId="35D1C8F2" w14:textId="4C16C2D5" w:rsidR="00BA17A6" w:rsidRDefault="00BA17A6" w:rsidP="000729CF"/>
    <w:p w14:paraId="203D33D5" w14:textId="66FA2CAC" w:rsidR="00BA17A6" w:rsidRDefault="00BA17A6" w:rsidP="000729CF"/>
    <w:p w14:paraId="2690A877" w14:textId="169B98E0" w:rsidR="00BA17A6" w:rsidRDefault="00BA17A6" w:rsidP="000729CF"/>
    <w:p w14:paraId="5CD9C78E" w14:textId="77777777" w:rsidR="00BA17A6" w:rsidRDefault="00BA17A6" w:rsidP="000729CF"/>
    <w:p w14:paraId="32E37A25" w14:textId="77777777" w:rsidR="00BA17A6" w:rsidRDefault="00BA17A6" w:rsidP="000729CF"/>
    <w:p w14:paraId="16742236" w14:textId="77777777" w:rsidR="00BA17A6" w:rsidRDefault="00BA17A6" w:rsidP="000729CF"/>
    <w:p w14:paraId="46927E2A" w14:textId="77777777" w:rsidR="00BA17A6" w:rsidRDefault="00BA17A6" w:rsidP="000729CF"/>
    <w:p w14:paraId="58E49147" w14:textId="77777777" w:rsidR="00BA17A6" w:rsidRDefault="00BA17A6" w:rsidP="000729CF"/>
    <w:p w14:paraId="2D2527D4" w14:textId="77777777" w:rsidR="00BA17A6" w:rsidRDefault="00BA17A6" w:rsidP="000729CF"/>
    <w:p w14:paraId="01745639" w14:textId="41AE139A" w:rsidR="00BA17A6" w:rsidRDefault="00BA17A6" w:rsidP="000729CF">
      <w:pPr>
        <w:sectPr w:rsidR="00BA17A6" w:rsidSect="00D930BD">
          <w:footerReference w:type="default" r:id="rId13"/>
          <w:footerReference w:type="first" r:id="rId14"/>
          <w:pgSz w:w="11906" w:h="16838"/>
          <w:pgMar w:top="1417" w:right="926" w:bottom="1417" w:left="900" w:header="709" w:footer="708" w:gutter="0"/>
          <w:cols w:space="708"/>
          <w:titlePg/>
          <w:docGrid w:linePitch="360"/>
        </w:sectPr>
      </w:pPr>
    </w:p>
    <w:p w14:paraId="62F78FBF" w14:textId="671C84DF" w:rsidR="007E416F" w:rsidRPr="000729CF" w:rsidRDefault="00575F84" w:rsidP="00BA17A6">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77777777" w:rsidR="007E416F" w:rsidRPr="000729CF" w:rsidRDefault="00074676" w:rsidP="007E416F">
      <w:pPr>
        <w:jc w:val="center"/>
        <w:rPr>
          <w:b/>
        </w:rPr>
      </w:pPr>
      <w:r w:rsidRPr="00074676">
        <w:rPr>
          <w:b/>
        </w:rPr>
        <w:t>Specifikace Zboží a jednotkové kupní ceny</w:t>
      </w:r>
    </w:p>
    <w:p w14:paraId="62F78FC2" w14:textId="77777777" w:rsidR="00896745" w:rsidRDefault="00896745" w:rsidP="00896745">
      <w:pPr>
        <w:rPr>
          <w:b/>
        </w:rPr>
      </w:pPr>
    </w:p>
    <w:tbl>
      <w:tblPr>
        <w:tblW w:w="14200" w:type="dxa"/>
        <w:tblCellMar>
          <w:left w:w="70" w:type="dxa"/>
          <w:right w:w="70" w:type="dxa"/>
        </w:tblCellMar>
        <w:tblLook w:val="04A0" w:firstRow="1" w:lastRow="0" w:firstColumn="1" w:lastColumn="0" w:noHBand="0" w:noVBand="1"/>
      </w:tblPr>
      <w:tblGrid>
        <w:gridCol w:w="960"/>
        <w:gridCol w:w="960"/>
        <w:gridCol w:w="960"/>
        <w:gridCol w:w="2380"/>
        <w:gridCol w:w="1900"/>
        <w:gridCol w:w="1700"/>
        <w:gridCol w:w="960"/>
        <w:gridCol w:w="960"/>
        <w:gridCol w:w="960"/>
        <w:gridCol w:w="960"/>
        <w:gridCol w:w="1500"/>
      </w:tblGrid>
      <w:tr w:rsidR="009B40D0" w:rsidRPr="009B40D0" w14:paraId="6AEF4CB6" w14:textId="77777777" w:rsidTr="009B40D0">
        <w:trPr>
          <w:trHeight w:val="1785"/>
        </w:trPr>
        <w:tc>
          <w:tcPr>
            <w:tcW w:w="960" w:type="dxa"/>
            <w:tcBorders>
              <w:top w:val="single" w:sz="4" w:space="0" w:color="auto"/>
              <w:left w:val="single" w:sz="4" w:space="0" w:color="auto"/>
              <w:bottom w:val="single" w:sz="4" w:space="0" w:color="auto"/>
              <w:right w:val="single" w:sz="4" w:space="0" w:color="auto"/>
            </w:tcBorders>
            <w:shd w:val="clear" w:color="000000" w:fill="F2F2F2"/>
            <w:noWrap/>
            <w:hideMark/>
          </w:tcPr>
          <w:p w14:paraId="28D87A5E"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ATC</w:t>
            </w:r>
          </w:p>
        </w:tc>
        <w:tc>
          <w:tcPr>
            <w:tcW w:w="960" w:type="dxa"/>
            <w:tcBorders>
              <w:top w:val="single" w:sz="4" w:space="0" w:color="auto"/>
              <w:left w:val="nil"/>
              <w:bottom w:val="single" w:sz="4" w:space="0" w:color="auto"/>
              <w:right w:val="single" w:sz="4" w:space="0" w:color="auto"/>
            </w:tcBorders>
            <w:shd w:val="clear" w:color="000000" w:fill="F2F2F2"/>
            <w:noWrap/>
            <w:hideMark/>
          </w:tcPr>
          <w:p w14:paraId="13DB2AB0"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Účinná látka</w:t>
            </w:r>
          </w:p>
        </w:tc>
        <w:tc>
          <w:tcPr>
            <w:tcW w:w="960" w:type="dxa"/>
            <w:tcBorders>
              <w:top w:val="single" w:sz="4" w:space="0" w:color="auto"/>
              <w:left w:val="nil"/>
              <w:bottom w:val="single" w:sz="4" w:space="0" w:color="auto"/>
              <w:right w:val="single" w:sz="4" w:space="0" w:color="auto"/>
            </w:tcBorders>
            <w:shd w:val="clear" w:color="000000" w:fill="F2F2F2"/>
            <w:noWrap/>
            <w:hideMark/>
          </w:tcPr>
          <w:p w14:paraId="5A0160CD"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Kód SÚKL</w:t>
            </w:r>
          </w:p>
        </w:tc>
        <w:tc>
          <w:tcPr>
            <w:tcW w:w="2380" w:type="dxa"/>
            <w:tcBorders>
              <w:top w:val="single" w:sz="4" w:space="0" w:color="auto"/>
              <w:left w:val="nil"/>
              <w:bottom w:val="single" w:sz="4" w:space="0" w:color="auto"/>
              <w:right w:val="single" w:sz="4" w:space="0" w:color="auto"/>
            </w:tcBorders>
            <w:shd w:val="clear" w:color="000000" w:fill="F2F2F2"/>
            <w:noWrap/>
            <w:hideMark/>
          </w:tcPr>
          <w:p w14:paraId="01EB8187"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Název</w:t>
            </w:r>
          </w:p>
        </w:tc>
        <w:tc>
          <w:tcPr>
            <w:tcW w:w="1900" w:type="dxa"/>
            <w:tcBorders>
              <w:top w:val="single" w:sz="4" w:space="0" w:color="auto"/>
              <w:left w:val="nil"/>
              <w:bottom w:val="single" w:sz="4" w:space="0" w:color="auto"/>
              <w:right w:val="single" w:sz="4" w:space="0" w:color="auto"/>
            </w:tcBorders>
            <w:shd w:val="clear" w:color="000000" w:fill="F2F2F2"/>
            <w:noWrap/>
            <w:hideMark/>
          </w:tcPr>
          <w:p w14:paraId="42D4BE7B"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Síla a léková forma</w:t>
            </w:r>
          </w:p>
        </w:tc>
        <w:tc>
          <w:tcPr>
            <w:tcW w:w="1700" w:type="dxa"/>
            <w:tcBorders>
              <w:top w:val="single" w:sz="4" w:space="0" w:color="auto"/>
              <w:left w:val="nil"/>
              <w:bottom w:val="single" w:sz="4" w:space="0" w:color="auto"/>
              <w:right w:val="single" w:sz="4" w:space="0" w:color="auto"/>
            </w:tcBorders>
            <w:shd w:val="clear" w:color="000000" w:fill="F2F2F2"/>
            <w:noWrap/>
            <w:hideMark/>
          </w:tcPr>
          <w:p w14:paraId="769C557E"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Velikost balení</w:t>
            </w:r>
          </w:p>
        </w:tc>
        <w:tc>
          <w:tcPr>
            <w:tcW w:w="960" w:type="dxa"/>
            <w:tcBorders>
              <w:top w:val="single" w:sz="4" w:space="0" w:color="auto"/>
              <w:left w:val="single" w:sz="4" w:space="0" w:color="auto"/>
              <w:bottom w:val="single" w:sz="4" w:space="0" w:color="auto"/>
              <w:right w:val="nil"/>
            </w:tcBorders>
            <w:shd w:val="clear" w:color="000000" w:fill="F2F2F2"/>
            <w:hideMark/>
          </w:tcPr>
          <w:p w14:paraId="6688A753"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Cena 1 balení (Kč bez DPH)</w:t>
            </w:r>
          </w:p>
        </w:tc>
        <w:tc>
          <w:tcPr>
            <w:tcW w:w="960" w:type="dxa"/>
            <w:tcBorders>
              <w:top w:val="single" w:sz="4" w:space="0" w:color="auto"/>
              <w:left w:val="single" w:sz="4" w:space="0" w:color="auto"/>
              <w:bottom w:val="single" w:sz="4" w:space="0" w:color="auto"/>
              <w:right w:val="single" w:sz="4" w:space="0" w:color="auto"/>
            </w:tcBorders>
            <w:shd w:val="clear" w:color="000000" w:fill="F2F2F2"/>
            <w:hideMark/>
          </w:tcPr>
          <w:p w14:paraId="2388125E"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10% DPH</w:t>
            </w:r>
          </w:p>
        </w:tc>
        <w:tc>
          <w:tcPr>
            <w:tcW w:w="960" w:type="dxa"/>
            <w:tcBorders>
              <w:top w:val="single" w:sz="4" w:space="0" w:color="auto"/>
              <w:left w:val="nil"/>
              <w:bottom w:val="single" w:sz="4" w:space="0" w:color="auto"/>
              <w:right w:val="single" w:sz="4" w:space="0" w:color="auto"/>
            </w:tcBorders>
            <w:shd w:val="clear" w:color="000000" w:fill="F2F2F2"/>
            <w:hideMark/>
          </w:tcPr>
          <w:p w14:paraId="36355340"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Cena 1 balení (Kč vč. DPH)</w:t>
            </w:r>
          </w:p>
        </w:tc>
        <w:tc>
          <w:tcPr>
            <w:tcW w:w="960" w:type="dxa"/>
            <w:tcBorders>
              <w:top w:val="single" w:sz="4" w:space="0" w:color="auto"/>
              <w:left w:val="single" w:sz="4" w:space="0" w:color="auto"/>
              <w:bottom w:val="single" w:sz="4" w:space="0" w:color="auto"/>
              <w:right w:val="nil"/>
            </w:tcBorders>
            <w:shd w:val="clear" w:color="000000" w:fill="F2F2F2"/>
            <w:hideMark/>
          </w:tcPr>
          <w:p w14:paraId="36C79372"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Počet balení</w:t>
            </w:r>
          </w:p>
        </w:tc>
        <w:tc>
          <w:tcPr>
            <w:tcW w:w="1500" w:type="dxa"/>
            <w:tcBorders>
              <w:top w:val="single" w:sz="4" w:space="0" w:color="auto"/>
              <w:left w:val="single" w:sz="4" w:space="0" w:color="auto"/>
              <w:bottom w:val="single" w:sz="4" w:space="0" w:color="auto"/>
              <w:right w:val="single" w:sz="4" w:space="0" w:color="auto"/>
            </w:tcBorders>
            <w:shd w:val="clear" w:color="000000" w:fill="F2F2F2"/>
            <w:hideMark/>
          </w:tcPr>
          <w:p w14:paraId="2170440C"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Nabídková cena za daný počet balení (Kč bez DPH)</w:t>
            </w:r>
          </w:p>
        </w:tc>
      </w:tr>
      <w:tr w:rsidR="009B40D0" w:rsidRPr="009B40D0" w14:paraId="73AA0928" w14:textId="77777777" w:rsidTr="009B40D0">
        <w:trPr>
          <w:trHeight w:val="300"/>
        </w:trPr>
        <w:tc>
          <w:tcPr>
            <w:tcW w:w="960" w:type="dxa"/>
            <w:vMerge w:val="restart"/>
            <w:tcBorders>
              <w:top w:val="nil"/>
              <w:left w:val="single" w:sz="4" w:space="0" w:color="auto"/>
              <w:bottom w:val="single" w:sz="4" w:space="0" w:color="000000"/>
              <w:right w:val="single" w:sz="4" w:space="0" w:color="auto"/>
            </w:tcBorders>
            <w:shd w:val="clear" w:color="000000" w:fill="F2F2F2"/>
            <w:noWrap/>
            <w:hideMark/>
          </w:tcPr>
          <w:p w14:paraId="795EBF7A" w14:textId="77777777" w:rsidR="009B40D0" w:rsidRPr="009B40D0" w:rsidRDefault="009B40D0" w:rsidP="009B40D0">
            <w:pPr>
              <w:spacing w:line="240" w:lineRule="auto"/>
              <w:jc w:val="center"/>
              <w:rPr>
                <w:rFonts w:ascii="Calibri Light" w:hAnsi="Calibri Light" w:cs="Calibri Light"/>
                <w:b/>
                <w:bCs/>
                <w:sz w:val="20"/>
                <w:szCs w:val="20"/>
              </w:rPr>
            </w:pPr>
            <w:r w:rsidRPr="009B40D0">
              <w:rPr>
                <w:rFonts w:ascii="Calibri Light" w:hAnsi="Calibri Light" w:cs="Calibri Light"/>
                <w:b/>
                <w:bCs/>
                <w:sz w:val="20"/>
                <w:szCs w:val="20"/>
              </w:rPr>
              <w:t>L04AA40</w:t>
            </w:r>
          </w:p>
        </w:tc>
        <w:tc>
          <w:tcPr>
            <w:tcW w:w="960" w:type="dxa"/>
            <w:vMerge w:val="restart"/>
            <w:tcBorders>
              <w:top w:val="nil"/>
              <w:left w:val="single" w:sz="4" w:space="0" w:color="auto"/>
              <w:bottom w:val="single" w:sz="4" w:space="0" w:color="000000"/>
              <w:right w:val="single" w:sz="4" w:space="0" w:color="auto"/>
            </w:tcBorders>
            <w:shd w:val="clear" w:color="000000" w:fill="F2F2F2"/>
            <w:noWrap/>
            <w:hideMark/>
          </w:tcPr>
          <w:p w14:paraId="42E491BF" w14:textId="77777777" w:rsidR="009B40D0" w:rsidRPr="009B40D0" w:rsidRDefault="009B40D0" w:rsidP="009B40D0">
            <w:pPr>
              <w:spacing w:line="240" w:lineRule="auto"/>
              <w:jc w:val="center"/>
              <w:rPr>
                <w:rFonts w:ascii="Calibri Light" w:hAnsi="Calibri Light" w:cs="Calibri Light"/>
                <w:b/>
                <w:bCs/>
                <w:sz w:val="20"/>
                <w:szCs w:val="20"/>
              </w:rPr>
            </w:pPr>
            <w:proofErr w:type="spellStart"/>
            <w:r w:rsidRPr="009B40D0">
              <w:rPr>
                <w:rFonts w:ascii="Calibri Light" w:hAnsi="Calibri Light" w:cs="Calibri Light"/>
                <w:b/>
                <w:bCs/>
                <w:sz w:val="20"/>
                <w:szCs w:val="20"/>
              </w:rPr>
              <w:t>Cladribin</w:t>
            </w:r>
            <w:proofErr w:type="spellEnd"/>
          </w:p>
        </w:tc>
        <w:tc>
          <w:tcPr>
            <w:tcW w:w="960" w:type="dxa"/>
            <w:tcBorders>
              <w:top w:val="nil"/>
              <w:left w:val="nil"/>
              <w:bottom w:val="single" w:sz="4" w:space="0" w:color="auto"/>
              <w:right w:val="single" w:sz="4" w:space="0" w:color="auto"/>
            </w:tcBorders>
            <w:shd w:val="clear" w:color="000000" w:fill="FFFFE1"/>
            <w:noWrap/>
            <w:vAlign w:val="bottom"/>
            <w:hideMark/>
          </w:tcPr>
          <w:p w14:paraId="55B831EA"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222414</w:t>
            </w:r>
          </w:p>
        </w:tc>
        <w:tc>
          <w:tcPr>
            <w:tcW w:w="2380" w:type="dxa"/>
            <w:tcBorders>
              <w:top w:val="nil"/>
              <w:left w:val="nil"/>
              <w:bottom w:val="single" w:sz="4" w:space="0" w:color="auto"/>
              <w:right w:val="single" w:sz="4" w:space="0" w:color="auto"/>
            </w:tcBorders>
            <w:shd w:val="clear" w:color="000000" w:fill="FFFFE1"/>
            <w:noWrap/>
            <w:vAlign w:val="bottom"/>
            <w:hideMark/>
          </w:tcPr>
          <w:p w14:paraId="165FBC92" w14:textId="77777777" w:rsidR="009B40D0" w:rsidRPr="009B40D0" w:rsidRDefault="009B40D0" w:rsidP="009B40D0">
            <w:pPr>
              <w:spacing w:line="240" w:lineRule="auto"/>
              <w:jc w:val="left"/>
              <w:rPr>
                <w:rFonts w:ascii="Calibri Light" w:hAnsi="Calibri Light" w:cs="Calibri Light"/>
                <w:sz w:val="20"/>
                <w:szCs w:val="20"/>
              </w:rPr>
            </w:pPr>
            <w:proofErr w:type="spellStart"/>
            <w:r w:rsidRPr="009B40D0">
              <w:rPr>
                <w:rFonts w:ascii="Calibri Light" w:hAnsi="Calibri Light" w:cs="Calibri Light"/>
                <w:sz w:val="20"/>
                <w:szCs w:val="20"/>
              </w:rPr>
              <w:t>Mavenclad</w:t>
            </w:r>
            <w:proofErr w:type="spellEnd"/>
            <w:r w:rsidRPr="009B40D0">
              <w:rPr>
                <w:rFonts w:ascii="Calibri Light" w:hAnsi="Calibri Light" w:cs="Calibri Light"/>
                <w:sz w:val="20"/>
                <w:szCs w:val="20"/>
              </w:rPr>
              <w:t xml:space="preserve"> 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xml:space="preserve">. 1 </w:t>
            </w:r>
          </w:p>
        </w:tc>
        <w:tc>
          <w:tcPr>
            <w:tcW w:w="1900" w:type="dxa"/>
            <w:tcBorders>
              <w:top w:val="nil"/>
              <w:left w:val="nil"/>
              <w:bottom w:val="single" w:sz="4" w:space="0" w:color="auto"/>
              <w:right w:val="single" w:sz="4" w:space="0" w:color="auto"/>
            </w:tcBorders>
            <w:shd w:val="clear" w:color="000000" w:fill="FFFFE1"/>
            <w:noWrap/>
            <w:vAlign w:val="bottom"/>
            <w:hideMark/>
          </w:tcPr>
          <w:p w14:paraId="71D1E95B" w14:textId="77777777" w:rsidR="009B40D0" w:rsidRPr="009B40D0" w:rsidRDefault="009B40D0" w:rsidP="009B40D0">
            <w:pPr>
              <w:spacing w:line="240" w:lineRule="auto"/>
              <w:jc w:val="left"/>
              <w:rPr>
                <w:rFonts w:ascii="Calibri Light" w:hAnsi="Calibri Light" w:cs="Calibri Light"/>
                <w:sz w:val="20"/>
                <w:szCs w:val="20"/>
              </w:rPr>
            </w:pPr>
            <w:r w:rsidRPr="009B40D0">
              <w:rPr>
                <w:rFonts w:ascii="Calibri Light" w:hAnsi="Calibri Light" w:cs="Calibri Light"/>
                <w:sz w:val="20"/>
                <w:szCs w:val="20"/>
              </w:rPr>
              <w:t xml:space="preserve">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xml:space="preserve">. 1 </w:t>
            </w:r>
          </w:p>
        </w:tc>
        <w:tc>
          <w:tcPr>
            <w:tcW w:w="1700" w:type="dxa"/>
            <w:tcBorders>
              <w:top w:val="nil"/>
              <w:left w:val="nil"/>
              <w:bottom w:val="single" w:sz="4" w:space="0" w:color="auto"/>
              <w:right w:val="single" w:sz="4" w:space="0" w:color="auto"/>
            </w:tcBorders>
            <w:shd w:val="clear" w:color="000000" w:fill="F2F2F2"/>
            <w:noWrap/>
            <w:hideMark/>
          </w:tcPr>
          <w:p w14:paraId="1CF22A5E"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10MG TBL NOB 1</w:t>
            </w:r>
          </w:p>
        </w:tc>
        <w:tc>
          <w:tcPr>
            <w:tcW w:w="960" w:type="dxa"/>
            <w:tcBorders>
              <w:top w:val="nil"/>
              <w:left w:val="single" w:sz="4" w:space="0" w:color="auto"/>
              <w:bottom w:val="single" w:sz="4" w:space="0" w:color="auto"/>
              <w:right w:val="nil"/>
            </w:tcBorders>
            <w:shd w:val="clear" w:color="000000" w:fill="FFFFE1"/>
            <w:noWrap/>
            <w:vAlign w:val="bottom"/>
            <w:hideMark/>
          </w:tcPr>
          <w:p w14:paraId="1150179E"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44938,46</w:t>
            </w:r>
          </w:p>
        </w:tc>
        <w:tc>
          <w:tcPr>
            <w:tcW w:w="960" w:type="dxa"/>
            <w:tcBorders>
              <w:top w:val="single" w:sz="4" w:space="0" w:color="auto"/>
              <w:left w:val="single" w:sz="4" w:space="0" w:color="auto"/>
              <w:bottom w:val="single" w:sz="4" w:space="0" w:color="auto"/>
              <w:right w:val="nil"/>
            </w:tcBorders>
            <w:shd w:val="clear" w:color="000000" w:fill="FFFFE1"/>
            <w:noWrap/>
            <w:vAlign w:val="bottom"/>
            <w:hideMark/>
          </w:tcPr>
          <w:p w14:paraId="48A6B61B"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4493,85</w:t>
            </w:r>
          </w:p>
        </w:tc>
        <w:tc>
          <w:tcPr>
            <w:tcW w:w="960" w:type="dxa"/>
            <w:tcBorders>
              <w:top w:val="single" w:sz="4" w:space="0" w:color="auto"/>
              <w:left w:val="single" w:sz="4" w:space="0" w:color="auto"/>
              <w:bottom w:val="single" w:sz="4" w:space="0" w:color="auto"/>
              <w:right w:val="nil"/>
            </w:tcBorders>
            <w:shd w:val="clear" w:color="000000" w:fill="FFFFE1"/>
            <w:noWrap/>
            <w:vAlign w:val="bottom"/>
            <w:hideMark/>
          </w:tcPr>
          <w:p w14:paraId="3EA4FC01"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49432,31</w:t>
            </w: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A64962B" w14:textId="77777777" w:rsidR="009B40D0" w:rsidRPr="009B40D0" w:rsidRDefault="009B40D0" w:rsidP="009B40D0">
            <w:pPr>
              <w:spacing w:line="240" w:lineRule="auto"/>
              <w:jc w:val="right"/>
              <w:rPr>
                <w:rFonts w:ascii="Calibri Light" w:hAnsi="Calibri Light" w:cs="Calibri Light"/>
                <w:color w:val="000000"/>
                <w:sz w:val="20"/>
                <w:szCs w:val="20"/>
              </w:rPr>
            </w:pPr>
            <w:r w:rsidRPr="009B40D0">
              <w:rPr>
                <w:rFonts w:ascii="Calibri Light" w:hAnsi="Calibri Light" w:cs="Calibri Light"/>
                <w:color w:val="000000"/>
                <w:sz w:val="20"/>
                <w:szCs w:val="20"/>
              </w:rPr>
              <w:t>100</w:t>
            </w:r>
          </w:p>
        </w:tc>
        <w:tc>
          <w:tcPr>
            <w:tcW w:w="1500" w:type="dxa"/>
            <w:tcBorders>
              <w:top w:val="nil"/>
              <w:left w:val="nil"/>
              <w:bottom w:val="single" w:sz="4" w:space="0" w:color="auto"/>
              <w:right w:val="single" w:sz="4" w:space="0" w:color="auto"/>
            </w:tcBorders>
            <w:shd w:val="clear" w:color="000000" w:fill="F2F2F2"/>
            <w:vAlign w:val="bottom"/>
            <w:hideMark/>
          </w:tcPr>
          <w:p w14:paraId="5FE1C75C"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4 493 846,00</w:t>
            </w:r>
          </w:p>
        </w:tc>
      </w:tr>
      <w:tr w:rsidR="009B40D0" w:rsidRPr="009B40D0" w14:paraId="3B35CBD2" w14:textId="77777777" w:rsidTr="009B40D0">
        <w:trPr>
          <w:trHeight w:val="300"/>
        </w:trPr>
        <w:tc>
          <w:tcPr>
            <w:tcW w:w="960" w:type="dxa"/>
            <w:vMerge/>
            <w:tcBorders>
              <w:top w:val="nil"/>
              <w:left w:val="single" w:sz="4" w:space="0" w:color="auto"/>
              <w:bottom w:val="single" w:sz="4" w:space="0" w:color="000000"/>
              <w:right w:val="single" w:sz="4" w:space="0" w:color="auto"/>
            </w:tcBorders>
            <w:vAlign w:val="center"/>
            <w:hideMark/>
          </w:tcPr>
          <w:p w14:paraId="5D2E4395" w14:textId="77777777" w:rsidR="009B40D0" w:rsidRPr="009B40D0" w:rsidRDefault="009B40D0" w:rsidP="009B40D0">
            <w:pPr>
              <w:spacing w:line="240" w:lineRule="auto"/>
              <w:jc w:val="left"/>
              <w:rPr>
                <w:rFonts w:ascii="Calibri Light" w:hAnsi="Calibri Light" w:cs="Calibri Light"/>
                <w:b/>
                <w:bCs/>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52E3954D" w14:textId="77777777" w:rsidR="009B40D0" w:rsidRPr="009B40D0" w:rsidRDefault="009B40D0" w:rsidP="009B40D0">
            <w:pPr>
              <w:spacing w:line="240" w:lineRule="auto"/>
              <w:jc w:val="left"/>
              <w:rPr>
                <w:rFonts w:ascii="Calibri Light" w:hAnsi="Calibri Light" w:cs="Calibri Light"/>
                <w:b/>
                <w:bCs/>
                <w:sz w:val="20"/>
                <w:szCs w:val="20"/>
              </w:rPr>
            </w:pPr>
          </w:p>
        </w:tc>
        <w:tc>
          <w:tcPr>
            <w:tcW w:w="960" w:type="dxa"/>
            <w:tcBorders>
              <w:top w:val="nil"/>
              <w:left w:val="nil"/>
              <w:bottom w:val="single" w:sz="4" w:space="0" w:color="auto"/>
              <w:right w:val="single" w:sz="4" w:space="0" w:color="auto"/>
            </w:tcBorders>
            <w:shd w:val="clear" w:color="000000" w:fill="FFFFE1"/>
            <w:noWrap/>
            <w:vAlign w:val="bottom"/>
            <w:hideMark/>
          </w:tcPr>
          <w:p w14:paraId="7FE39392"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222415</w:t>
            </w:r>
          </w:p>
        </w:tc>
        <w:tc>
          <w:tcPr>
            <w:tcW w:w="2380" w:type="dxa"/>
            <w:tcBorders>
              <w:top w:val="nil"/>
              <w:left w:val="nil"/>
              <w:bottom w:val="single" w:sz="4" w:space="0" w:color="auto"/>
              <w:right w:val="single" w:sz="4" w:space="0" w:color="auto"/>
            </w:tcBorders>
            <w:shd w:val="clear" w:color="000000" w:fill="FFFFE1"/>
            <w:noWrap/>
            <w:vAlign w:val="bottom"/>
            <w:hideMark/>
          </w:tcPr>
          <w:p w14:paraId="58A137C2" w14:textId="77777777" w:rsidR="009B40D0" w:rsidRPr="009B40D0" w:rsidRDefault="009B40D0" w:rsidP="009B40D0">
            <w:pPr>
              <w:spacing w:line="240" w:lineRule="auto"/>
              <w:jc w:val="left"/>
              <w:rPr>
                <w:rFonts w:ascii="Calibri Light" w:hAnsi="Calibri Light" w:cs="Calibri Light"/>
                <w:sz w:val="20"/>
                <w:szCs w:val="20"/>
              </w:rPr>
            </w:pPr>
            <w:proofErr w:type="spellStart"/>
            <w:r w:rsidRPr="009B40D0">
              <w:rPr>
                <w:rFonts w:ascii="Calibri Light" w:hAnsi="Calibri Light" w:cs="Calibri Light"/>
                <w:sz w:val="20"/>
                <w:szCs w:val="20"/>
              </w:rPr>
              <w:t>Mavenclad</w:t>
            </w:r>
            <w:proofErr w:type="spellEnd"/>
            <w:r w:rsidRPr="009B40D0">
              <w:rPr>
                <w:rFonts w:ascii="Calibri Light" w:hAnsi="Calibri Light" w:cs="Calibri Light"/>
                <w:sz w:val="20"/>
                <w:szCs w:val="20"/>
              </w:rPr>
              <w:t xml:space="preserve"> 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4</w:t>
            </w:r>
          </w:p>
        </w:tc>
        <w:tc>
          <w:tcPr>
            <w:tcW w:w="1900" w:type="dxa"/>
            <w:tcBorders>
              <w:top w:val="nil"/>
              <w:left w:val="nil"/>
              <w:bottom w:val="single" w:sz="4" w:space="0" w:color="auto"/>
              <w:right w:val="single" w:sz="4" w:space="0" w:color="auto"/>
            </w:tcBorders>
            <w:shd w:val="clear" w:color="000000" w:fill="FFFFE1"/>
            <w:noWrap/>
            <w:vAlign w:val="bottom"/>
            <w:hideMark/>
          </w:tcPr>
          <w:p w14:paraId="3BE4E0B9" w14:textId="77777777" w:rsidR="009B40D0" w:rsidRPr="009B40D0" w:rsidRDefault="009B40D0" w:rsidP="009B40D0">
            <w:pPr>
              <w:spacing w:line="240" w:lineRule="auto"/>
              <w:jc w:val="left"/>
              <w:rPr>
                <w:rFonts w:ascii="Calibri Light" w:hAnsi="Calibri Light" w:cs="Calibri Light"/>
                <w:sz w:val="20"/>
                <w:szCs w:val="20"/>
              </w:rPr>
            </w:pPr>
            <w:r w:rsidRPr="009B40D0">
              <w:rPr>
                <w:rFonts w:ascii="Calibri Light" w:hAnsi="Calibri Light" w:cs="Calibri Light"/>
                <w:sz w:val="20"/>
                <w:szCs w:val="20"/>
              </w:rPr>
              <w:t xml:space="preserve">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4</w:t>
            </w:r>
          </w:p>
        </w:tc>
        <w:tc>
          <w:tcPr>
            <w:tcW w:w="1700" w:type="dxa"/>
            <w:tcBorders>
              <w:top w:val="nil"/>
              <w:left w:val="nil"/>
              <w:bottom w:val="single" w:sz="4" w:space="0" w:color="auto"/>
              <w:right w:val="single" w:sz="4" w:space="0" w:color="auto"/>
            </w:tcBorders>
            <w:shd w:val="clear" w:color="000000" w:fill="F2F2F2"/>
            <w:noWrap/>
            <w:hideMark/>
          </w:tcPr>
          <w:p w14:paraId="568DEB7A"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10MG TBL NOB 4</w:t>
            </w:r>
          </w:p>
        </w:tc>
        <w:tc>
          <w:tcPr>
            <w:tcW w:w="960" w:type="dxa"/>
            <w:tcBorders>
              <w:top w:val="nil"/>
              <w:left w:val="single" w:sz="4" w:space="0" w:color="auto"/>
              <w:bottom w:val="single" w:sz="4" w:space="0" w:color="auto"/>
              <w:right w:val="nil"/>
            </w:tcBorders>
            <w:shd w:val="clear" w:color="000000" w:fill="FFFFE1"/>
            <w:noWrap/>
            <w:vAlign w:val="bottom"/>
            <w:hideMark/>
          </w:tcPr>
          <w:p w14:paraId="1D8F9218"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177178,3</w:t>
            </w:r>
          </w:p>
        </w:tc>
        <w:tc>
          <w:tcPr>
            <w:tcW w:w="960" w:type="dxa"/>
            <w:tcBorders>
              <w:top w:val="nil"/>
              <w:left w:val="single" w:sz="4" w:space="0" w:color="auto"/>
              <w:bottom w:val="single" w:sz="4" w:space="0" w:color="auto"/>
              <w:right w:val="nil"/>
            </w:tcBorders>
            <w:shd w:val="clear" w:color="000000" w:fill="FFFFE1"/>
            <w:noWrap/>
            <w:vAlign w:val="bottom"/>
            <w:hideMark/>
          </w:tcPr>
          <w:p w14:paraId="27E47657"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17717,83</w:t>
            </w:r>
          </w:p>
        </w:tc>
        <w:tc>
          <w:tcPr>
            <w:tcW w:w="960" w:type="dxa"/>
            <w:tcBorders>
              <w:top w:val="nil"/>
              <w:left w:val="single" w:sz="4" w:space="0" w:color="auto"/>
              <w:bottom w:val="single" w:sz="4" w:space="0" w:color="auto"/>
              <w:right w:val="nil"/>
            </w:tcBorders>
            <w:shd w:val="clear" w:color="000000" w:fill="FFFFE1"/>
            <w:noWrap/>
            <w:vAlign w:val="bottom"/>
            <w:hideMark/>
          </w:tcPr>
          <w:p w14:paraId="029CB65C"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194896,1</w:t>
            </w:r>
          </w:p>
        </w:tc>
        <w:tc>
          <w:tcPr>
            <w:tcW w:w="960" w:type="dxa"/>
            <w:tcBorders>
              <w:top w:val="nil"/>
              <w:left w:val="single" w:sz="4" w:space="0" w:color="auto"/>
              <w:bottom w:val="single" w:sz="4" w:space="0" w:color="auto"/>
              <w:right w:val="single" w:sz="4" w:space="0" w:color="auto"/>
            </w:tcBorders>
            <w:shd w:val="clear" w:color="000000" w:fill="F2F2F2"/>
            <w:noWrap/>
            <w:vAlign w:val="bottom"/>
            <w:hideMark/>
          </w:tcPr>
          <w:p w14:paraId="510C973A" w14:textId="77777777" w:rsidR="009B40D0" w:rsidRPr="009B40D0" w:rsidRDefault="009B40D0" w:rsidP="009B40D0">
            <w:pPr>
              <w:spacing w:line="240" w:lineRule="auto"/>
              <w:jc w:val="right"/>
              <w:rPr>
                <w:rFonts w:ascii="Calibri Light" w:hAnsi="Calibri Light" w:cs="Calibri Light"/>
                <w:color w:val="000000"/>
                <w:sz w:val="20"/>
                <w:szCs w:val="20"/>
              </w:rPr>
            </w:pPr>
            <w:r w:rsidRPr="009B40D0">
              <w:rPr>
                <w:rFonts w:ascii="Calibri Light" w:hAnsi="Calibri Light" w:cs="Calibri Light"/>
                <w:color w:val="000000"/>
                <w:sz w:val="20"/>
                <w:szCs w:val="20"/>
              </w:rPr>
              <w:t>150</w:t>
            </w:r>
          </w:p>
        </w:tc>
        <w:tc>
          <w:tcPr>
            <w:tcW w:w="1500" w:type="dxa"/>
            <w:tcBorders>
              <w:top w:val="nil"/>
              <w:left w:val="nil"/>
              <w:bottom w:val="single" w:sz="4" w:space="0" w:color="auto"/>
              <w:right w:val="single" w:sz="4" w:space="0" w:color="auto"/>
            </w:tcBorders>
            <w:shd w:val="clear" w:color="000000" w:fill="F2F2F2"/>
            <w:vAlign w:val="bottom"/>
            <w:hideMark/>
          </w:tcPr>
          <w:p w14:paraId="6B126190"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26 576 740,50</w:t>
            </w:r>
          </w:p>
        </w:tc>
      </w:tr>
      <w:tr w:rsidR="009B40D0" w:rsidRPr="009B40D0" w14:paraId="77699479" w14:textId="77777777" w:rsidTr="009B40D0">
        <w:trPr>
          <w:trHeight w:val="300"/>
        </w:trPr>
        <w:tc>
          <w:tcPr>
            <w:tcW w:w="960" w:type="dxa"/>
            <w:vMerge/>
            <w:tcBorders>
              <w:top w:val="nil"/>
              <w:left w:val="single" w:sz="4" w:space="0" w:color="auto"/>
              <w:bottom w:val="single" w:sz="4" w:space="0" w:color="000000"/>
              <w:right w:val="single" w:sz="4" w:space="0" w:color="auto"/>
            </w:tcBorders>
            <w:vAlign w:val="center"/>
            <w:hideMark/>
          </w:tcPr>
          <w:p w14:paraId="19D91088" w14:textId="77777777" w:rsidR="009B40D0" w:rsidRPr="009B40D0" w:rsidRDefault="009B40D0" w:rsidP="009B40D0">
            <w:pPr>
              <w:spacing w:line="240" w:lineRule="auto"/>
              <w:jc w:val="left"/>
              <w:rPr>
                <w:rFonts w:ascii="Calibri Light" w:hAnsi="Calibri Light" w:cs="Calibri Light"/>
                <w:b/>
                <w:bCs/>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375BF1B2" w14:textId="77777777" w:rsidR="009B40D0" w:rsidRPr="009B40D0" w:rsidRDefault="009B40D0" w:rsidP="009B40D0">
            <w:pPr>
              <w:spacing w:line="240" w:lineRule="auto"/>
              <w:jc w:val="left"/>
              <w:rPr>
                <w:rFonts w:ascii="Calibri Light" w:hAnsi="Calibri Light" w:cs="Calibri Light"/>
                <w:b/>
                <w:bCs/>
                <w:sz w:val="20"/>
                <w:szCs w:val="20"/>
              </w:rPr>
            </w:pPr>
          </w:p>
        </w:tc>
        <w:tc>
          <w:tcPr>
            <w:tcW w:w="960" w:type="dxa"/>
            <w:tcBorders>
              <w:top w:val="nil"/>
              <w:left w:val="nil"/>
              <w:bottom w:val="single" w:sz="4" w:space="0" w:color="auto"/>
              <w:right w:val="single" w:sz="4" w:space="0" w:color="auto"/>
            </w:tcBorders>
            <w:shd w:val="clear" w:color="000000" w:fill="FFFFE1"/>
            <w:noWrap/>
            <w:vAlign w:val="bottom"/>
            <w:hideMark/>
          </w:tcPr>
          <w:p w14:paraId="5D540DA8"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222417</w:t>
            </w:r>
          </w:p>
        </w:tc>
        <w:tc>
          <w:tcPr>
            <w:tcW w:w="2380" w:type="dxa"/>
            <w:tcBorders>
              <w:top w:val="nil"/>
              <w:left w:val="nil"/>
              <w:bottom w:val="single" w:sz="4" w:space="0" w:color="auto"/>
              <w:right w:val="single" w:sz="4" w:space="0" w:color="auto"/>
            </w:tcBorders>
            <w:shd w:val="clear" w:color="000000" w:fill="FFFFE1"/>
            <w:noWrap/>
            <w:vAlign w:val="bottom"/>
            <w:hideMark/>
          </w:tcPr>
          <w:p w14:paraId="7C9CD79F" w14:textId="77777777" w:rsidR="009B40D0" w:rsidRPr="009B40D0" w:rsidRDefault="009B40D0" w:rsidP="009B40D0">
            <w:pPr>
              <w:spacing w:line="240" w:lineRule="auto"/>
              <w:jc w:val="left"/>
              <w:rPr>
                <w:rFonts w:ascii="Calibri Light" w:hAnsi="Calibri Light" w:cs="Calibri Light"/>
                <w:sz w:val="20"/>
                <w:szCs w:val="20"/>
              </w:rPr>
            </w:pPr>
            <w:proofErr w:type="spellStart"/>
            <w:r w:rsidRPr="009B40D0">
              <w:rPr>
                <w:rFonts w:ascii="Calibri Light" w:hAnsi="Calibri Light" w:cs="Calibri Light"/>
                <w:sz w:val="20"/>
                <w:szCs w:val="20"/>
              </w:rPr>
              <w:t>Mavenclad</w:t>
            </w:r>
            <w:proofErr w:type="spellEnd"/>
            <w:r w:rsidRPr="009B40D0">
              <w:rPr>
                <w:rFonts w:ascii="Calibri Light" w:hAnsi="Calibri Light" w:cs="Calibri Light"/>
                <w:sz w:val="20"/>
                <w:szCs w:val="20"/>
              </w:rPr>
              <w:t xml:space="preserve"> 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xml:space="preserve">. 6 </w:t>
            </w:r>
          </w:p>
        </w:tc>
        <w:tc>
          <w:tcPr>
            <w:tcW w:w="1900" w:type="dxa"/>
            <w:tcBorders>
              <w:top w:val="nil"/>
              <w:left w:val="nil"/>
              <w:bottom w:val="single" w:sz="4" w:space="0" w:color="auto"/>
              <w:right w:val="single" w:sz="4" w:space="0" w:color="auto"/>
            </w:tcBorders>
            <w:shd w:val="clear" w:color="000000" w:fill="FFFFE1"/>
            <w:noWrap/>
            <w:vAlign w:val="bottom"/>
            <w:hideMark/>
          </w:tcPr>
          <w:p w14:paraId="2808D6B0" w14:textId="77777777" w:rsidR="009B40D0" w:rsidRPr="009B40D0" w:rsidRDefault="009B40D0" w:rsidP="009B40D0">
            <w:pPr>
              <w:spacing w:line="240" w:lineRule="auto"/>
              <w:jc w:val="left"/>
              <w:rPr>
                <w:rFonts w:ascii="Calibri Light" w:hAnsi="Calibri Light" w:cs="Calibri Light"/>
                <w:sz w:val="20"/>
                <w:szCs w:val="20"/>
              </w:rPr>
            </w:pPr>
            <w:r w:rsidRPr="009B40D0">
              <w:rPr>
                <w:rFonts w:ascii="Calibri Light" w:hAnsi="Calibri Light" w:cs="Calibri Light"/>
                <w:sz w:val="20"/>
                <w:szCs w:val="20"/>
              </w:rPr>
              <w:t xml:space="preserve">10mg </w:t>
            </w:r>
            <w:proofErr w:type="spellStart"/>
            <w:r w:rsidRPr="009B40D0">
              <w:rPr>
                <w:rFonts w:ascii="Calibri Light" w:hAnsi="Calibri Light" w:cs="Calibri Light"/>
                <w:sz w:val="20"/>
                <w:szCs w:val="20"/>
              </w:rPr>
              <w:t>tbl.nob</w:t>
            </w:r>
            <w:proofErr w:type="spellEnd"/>
            <w:r w:rsidRPr="009B40D0">
              <w:rPr>
                <w:rFonts w:ascii="Calibri Light" w:hAnsi="Calibri Light" w:cs="Calibri Light"/>
                <w:sz w:val="20"/>
                <w:szCs w:val="20"/>
              </w:rPr>
              <w:t xml:space="preserve">. 6 </w:t>
            </w:r>
          </w:p>
        </w:tc>
        <w:tc>
          <w:tcPr>
            <w:tcW w:w="1700" w:type="dxa"/>
            <w:tcBorders>
              <w:top w:val="nil"/>
              <w:left w:val="nil"/>
              <w:bottom w:val="single" w:sz="4" w:space="0" w:color="auto"/>
              <w:right w:val="single" w:sz="4" w:space="0" w:color="auto"/>
            </w:tcBorders>
            <w:shd w:val="clear" w:color="000000" w:fill="F2F2F2"/>
            <w:noWrap/>
            <w:hideMark/>
          </w:tcPr>
          <w:p w14:paraId="7620F560"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10MG TBL NOB 6</w:t>
            </w:r>
          </w:p>
        </w:tc>
        <w:tc>
          <w:tcPr>
            <w:tcW w:w="960" w:type="dxa"/>
            <w:tcBorders>
              <w:top w:val="nil"/>
              <w:left w:val="single" w:sz="4" w:space="0" w:color="auto"/>
              <w:bottom w:val="single" w:sz="4" w:space="0" w:color="auto"/>
              <w:right w:val="nil"/>
            </w:tcBorders>
            <w:shd w:val="clear" w:color="000000" w:fill="FFFFE1"/>
            <w:noWrap/>
            <w:vAlign w:val="bottom"/>
            <w:hideMark/>
          </w:tcPr>
          <w:p w14:paraId="6972631A"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265326,6</w:t>
            </w:r>
          </w:p>
        </w:tc>
        <w:tc>
          <w:tcPr>
            <w:tcW w:w="960" w:type="dxa"/>
            <w:tcBorders>
              <w:top w:val="nil"/>
              <w:left w:val="single" w:sz="4" w:space="0" w:color="auto"/>
              <w:bottom w:val="single" w:sz="4" w:space="0" w:color="auto"/>
              <w:right w:val="nil"/>
            </w:tcBorders>
            <w:shd w:val="clear" w:color="000000" w:fill="FFFFE1"/>
            <w:noWrap/>
            <w:vAlign w:val="bottom"/>
            <w:hideMark/>
          </w:tcPr>
          <w:p w14:paraId="6450C6C4"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26532,67</w:t>
            </w:r>
          </w:p>
        </w:tc>
        <w:tc>
          <w:tcPr>
            <w:tcW w:w="960" w:type="dxa"/>
            <w:tcBorders>
              <w:top w:val="nil"/>
              <w:left w:val="single" w:sz="4" w:space="0" w:color="auto"/>
              <w:bottom w:val="single" w:sz="4" w:space="0" w:color="auto"/>
              <w:right w:val="nil"/>
            </w:tcBorders>
            <w:shd w:val="clear" w:color="000000" w:fill="FFFFE1"/>
            <w:noWrap/>
            <w:vAlign w:val="bottom"/>
            <w:hideMark/>
          </w:tcPr>
          <w:p w14:paraId="09E643BE"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291859,3</w:t>
            </w:r>
          </w:p>
        </w:tc>
        <w:tc>
          <w:tcPr>
            <w:tcW w:w="960" w:type="dxa"/>
            <w:tcBorders>
              <w:top w:val="nil"/>
              <w:left w:val="single" w:sz="4" w:space="0" w:color="auto"/>
              <w:bottom w:val="single" w:sz="4" w:space="0" w:color="auto"/>
              <w:right w:val="single" w:sz="4" w:space="0" w:color="auto"/>
            </w:tcBorders>
            <w:shd w:val="clear" w:color="000000" w:fill="F2F2F2"/>
            <w:noWrap/>
            <w:vAlign w:val="bottom"/>
            <w:hideMark/>
          </w:tcPr>
          <w:p w14:paraId="61C19122" w14:textId="77777777" w:rsidR="009B40D0" w:rsidRPr="009B40D0" w:rsidRDefault="009B40D0" w:rsidP="009B40D0">
            <w:pPr>
              <w:spacing w:line="240" w:lineRule="auto"/>
              <w:jc w:val="right"/>
              <w:rPr>
                <w:rFonts w:ascii="Calibri Light" w:hAnsi="Calibri Light" w:cs="Calibri Light"/>
                <w:color w:val="000000"/>
                <w:sz w:val="20"/>
                <w:szCs w:val="20"/>
              </w:rPr>
            </w:pPr>
            <w:r w:rsidRPr="009B40D0">
              <w:rPr>
                <w:rFonts w:ascii="Calibri Light" w:hAnsi="Calibri Light" w:cs="Calibri Light"/>
                <w:color w:val="000000"/>
                <w:sz w:val="20"/>
                <w:szCs w:val="20"/>
              </w:rPr>
              <w:t>110</w:t>
            </w:r>
          </w:p>
        </w:tc>
        <w:tc>
          <w:tcPr>
            <w:tcW w:w="1500" w:type="dxa"/>
            <w:tcBorders>
              <w:top w:val="nil"/>
              <w:left w:val="nil"/>
              <w:bottom w:val="single" w:sz="4" w:space="0" w:color="auto"/>
              <w:right w:val="single" w:sz="4" w:space="0" w:color="auto"/>
            </w:tcBorders>
            <w:shd w:val="clear" w:color="000000" w:fill="F2F2F2"/>
            <w:vAlign w:val="bottom"/>
            <w:hideMark/>
          </w:tcPr>
          <w:p w14:paraId="59E9BFA2" w14:textId="77777777" w:rsidR="009B40D0" w:rsidRPr="009B40D0" w:rsidRDefault="009B40D0" w:rsidP="009B40D0">
            <w:pPr>
              <w:spacing w:line="240" w:lineRule="auto"/>
              <w:jc w:val="right"/>
              <w:rPr>
                <w:rFonts w:ascii="Calibri Light" w:hAnsi="Calibri Light" w:cs="Calibri Light"/>
                <w:sz w:val="20"/>
                <w:szCs w:val="20"/>
              </w:rPr>
            </w:pPr>
            <w:r w:rsidRPr="009B40D0">
              <w:rPr>
                <w:rFonts w:ascii="Calibri Light" w:hAnsi="Calibri Light" w:cs="Calibri Light"/>
                <w:sz w:val="20"/>
                <w:szCs w:val="20"/>
              </w:rPr>
              <w:t>29 185 929,30</w:t>
            </w:r>
          </w:p>
        </w:tc>
      </w:tr>
      <w:tr w:rsidR="009B40D0" w:rsidRPr="009B40D0" w14:paraId="45BD71D0" w14:textId="77777777" w:rsidTr="009B40D0">
        <w:trPr>
          <w:trHeight w:val="300"/>
        </w:trPr>
        <w:tc>
          <w:tcPr>
            <w:tcW w:w="960" w:type="dxa"/>
            <w:tcBorders>
              <w:top w:val="nil"/>
              <w:left w:val="single" w:sz="4" w:space="0" w:color="FFFFFF"/>
              <w:bottom w:val="nil"/>
              <w:right w:val="single" w:sz="4" w:space="0" w:color="FFFFFF"/>
            </w:tcBorders>
            <w:shd w:val="clear" w:color="auto" w:fill="auto"/>
            <w:noWrap/>
            <w:vAlign w:val="bottom"/>
            <w:hideMark/>
          </w:tcPr>
          <w:p w14:paraId="2871D201"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31924782"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53CE0338"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2380" w:type="dxa"/>
            <w:tcBorders>
              <w:top w:val="nil"/>
              <w:left w:val="nil"/>
              <w:bottom w:val="nil"/>
              <w:right w:val="single" w:sz="4" w:space="0" w:color="FFFFFF"/>
            </w:tcBorders>
            <w:shd w:val="clear" w:color="auto" w:fill="auto"/>
            <w:noWrap/>
            <w:vAlign w:val="bottom"/>
            <w:hideMark/>
          </w:tcPr>
          <w:p w14:paraId="215E4FA4"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1900" w:type="dxa"/>
            <w:tcBorders>
              <w:top w:val="nil"/>
              <w:left w:val="nil"/>
              <w:bottom w:val="nil"/>
              <w:right w:val="single" w:sz="4" w:space="0" w:color="FFFFFF"/>
            </w:tcBorders>
            <w:shd w:val="clear" w:color="auto" w:fill="auto"/>
            <w:noWrap/>
            <w:vAlign w:val="bottom"/>
            <w:hideMark/>
          </w:tcPr>
          <w:p w14:paraId="3A220751"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1700" w:type="dxa"/>
            <w:tcBorders>
              <w:top w:val="nil"/>
              <w:left w:val="nil"/>
              <w:bottom w:val="nil"/>
              <w:right w:val="single" w:sz="4" w:space="0" w:color="FFFFFF"/>
            </w:tcBorders>
            <w:shd w:val="clear" w:color="auto" w:fill="auto"/>
            <w:noWrap/>
            <w:vAlign w:val="bottom"/>
            <w:hideMark/>
          </w:tcPr>
          <w:p w14:paraId="467F85DE"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253F6E84"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0D7F81C4"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6FA1FE70"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960" w:type="dxa"/>
            <w:tcBorders>
              <w:top w:val="nil"/>
              <w:left w:val="nil"/>
              <w:bottom w:val="nil"/>
              <w:right w:val="single" w:sz="4" w:space="0" w:color="FFFFFF"/>
            </w:tcBorders>
            <w:shd w:val="clear" w:color="auto" w:fill="auto"/>
            <w:noWrap/>
            <w:vAlign w:val="bottom"/>
            <w:hideMark/>
          </w:tcPr>
          <w:p w14:paraId="34AAFE68"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c>
          <w:tcPr>
            <w:tcW w:w="1500" w:type="dxa"/>
            <w:tcBorders>
              <w:top w:val="nil"/>
              <w:left w:val="nil"/>
              <w:bottom w:val="nil"/>
              <w:right w:val="single" w:sz="4" w:space="0" w:color="FFFFFF"/>
            </w:tcBorders>
            <w:shd w:val="clear" w:color="auto" w:fill="auto"/>
            <w:noWrap/>
            <w:vAlign w:val="bottom"/>
            <w:hideMark/>
          </w:tcPr>
          <w:p w14:paraId="1EEEAF07" w14:textId="77777777" w:rsidR="009B40D0" w:rsidRPr="009B40D0" w:rsidRDefault="009B40D0" w:rsidP="009B40D0">
            <w:pPr>
              <w:spacing w:line="240" w:lineRule="auto"/>
              <w:jc w:val="left"/>
              <w:rPr>
                <w:rFonts w:ascii="Calibri Light" w:hAnsi="Calibri Light" w:cs="Calibri Light"/>
                <w:color w:val="000000"/>
                <w:sz w:val="20"/>
                <w:szCs w:val="20"/>
              </w:rPr>
            </w:pPr>
            <w:r w:rsidRPr="009B40D0">
              <w:rPr>
                <w:rFonts w:ascii="Calibri Light" w:hAnsi="Calibri Light" w:cs="Calibri Light"/>
                <w:color w:val="000000"/>
                <w:sz w:val="20"/>
                <w:szCs w:val="20"/>
              </w:rPr>
              <w:t> </w:t>
            </w:r>
          </w:p>
        </w:tc>
      </w:tr>
      <w:tr w:rsidR="009B40D0" w:rsidRPr="009B40D0" w14:paraId="105F860A" w14:textId="77777777" w:rsidTr="009B40D0">
        <w:trPr>
          <w:trHeight w:val="300"/>
        </w:trPr>
        <w:tc>
          <w:tcPr>
            <w:tcW w:w="12700" w:type="dxa"/>
            <w:gridSpan w:val="10"/>
            <w:tcBorders>
              <w:top w:val="single" w:sz="4" w:space="0" w:color="auto"/>
              <w:left w:val="single" w:sz="4" w:space="0" w:color="auto"/>
              <w:bottom w:val="single" w:sz="4" w:space="0" w:color="auto"/>
              <w:right w:val="nil"/>
            </w:tcBorders>
            <w:shd w:val="clear" w:color="000000" w:fill="F2F2F2"/>
            <w:noWrap/>
            <w:vAlign w:val="bottom"/>
            <w:hideMark/>
          </w:tcPr>
          <w:p w14:paraId="0FC42357" w14:textId="77777777" w:rsidR="009B40D0" w:rsidRPr="009B40D0" w:rsidRDefault="009B40D0" w:rsidP="009B40D0">
            <w:pPr>
              <w:spacing w:line="240" w:lineRule="auto"/>
              <w:jc w:val="left"/>
              <w:rPr>
                <w:rFonts w:ascii="Calibri Light" w:hAnsi="Calibri Light" w:cs="Calibri Light"/>
                <w:b/>
                <w:bCs/>
                <w:sz w:val="20"/>
                <w:szCs w:val="20"/>
              </w:rPr>
            </w:pPr>
            <w:r w:rsidRPr="009B40D0">
              <w:rPr>
                <w:rFonts w:ascii="Calibri Light" w:hAnsi="Calibri Light" w:cs="Calibri Light"/>
                <w:b/>
                <w:bCs/>
                <w:sz w:val="20"/>
                <w:szCs w:val="20"/>
              </w:rPr>
              <w:t>Celková nabídková cena (Kč bez DPH)</w:t>
            </w:r>
          </w:p>
        </w:tc>
        <w:tc>
          <w:tcPr>
            <w:tcW w:w="1500" w:type="dxa"/>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728C6DDC" w14:textId="77777777" w:rsidR="009B40D0" w:rsidRPr="009B40D0" w:rsidRDefault="009B40D0" w:rsidP="009B40D0">
            <w:pPr>
              <w:spacing w:line="240" w:lineRule="auto"/>
              <w:jc w:val="right"/>
              <w:rPr>
                <w:rFonts w:ascii="Calibri Light" w:hAnsi="Calibri Light" w:cs="Calibri Light"/>
                <w:b/>
                <w:bCs/>
                <w:sz w:val="20"/>
                <w:szCs w:val="20"/>
              </w:rPr>
            </w:pPr>
            <w:r w:rsidRPr="009B40D0">
              <w:rPr>
                <w:rFonts w:ascii="Calibri Light" w:hAnsi="Calibri Light" w:cs="Calibri Light"/>
                <w:b/>
                <w:bCs/>
                <w:sz w:val="20"/>
                <w:szCs w:val="20"/>
              </w:rPr>
              <w:t>60 256 515,80</w:t>
            </w:r>
          </w:p>
        </w:tc>
      </w:tr>
    </w:tbl>
    <w:p w14:paraId="62F78FC4" w14:textId="77777777" w:rsidR="00AA34DF" w:rsidRDefault="00AA34DF" w:rsidP="00023008"/>
    <w:sectPr w:rsidR="00AA34DF" w:rsidSect="00BA17A6">
      <w:pgSz w:w="16838" w:h="11906" w:orient="landscape"/>
      <w:pgMar w:top="902" w:right="1418" w:bottom="92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78FC8" w14:textId="77777777" w:rsidR="00EE44D9" w:rsidRDefault="00EE44D9" w:rsidP="006337DC">
      <w:r>
        <w:separator/>
      </w:r>
    </w:p>
  </w:endnote>
  <w:endnote w:type="continuationSeparator" w:id="0">
    <w:p w14:paraId="62F78FC9"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2EDFC38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A62AE">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6ABDB7E9" w:rsidR="001B5F9C" w:rsidRDefault="001B5F9C">
    <w:pPr>
      <w:pStyle w:val="Zpat"/>
      <w:jc w:val="center"/>
    </w:pPr>
    <w:r>
      <w:fldChar w:fldCharType="begin"/>
    </w:r>
    <w:r>
      <w:instrText>PAGE   \* MERGEFORMAT</w:instrText>
    </w:r>
    <w:r>
      <w:fldChar w:fldCharType="separate"/>
    </w:r>
    <w:r w:rsidR="009A62AE">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8FC6" w14:textId="77777777" w:rsidR="00EE44D9" w:rsidRDefault="00EE44D9" w:rsidP="006337DC">
      <w:r>
        <w:separator/>
      </w:r>
    </w:p>
  </w:footnote>
  <w:footnote w:type="continuationSeparator" w:id="0">
    <w:p w14:paraId="62F78FC7" w14:textId="77777777" w:rsidR="00EE44D9" w:rsidRDefault="00EE44D9" w:rsidP="006337DC">
      <w:r>
        <w:continuationSeparator/>
      </w:r>
    </w:p>
  </w:footnote>
  <w:footnote w:id="1">
    <w:p w14:paraId="7EDC1448" w14:textId="77777777" w:rsidR="002F473F" w:rsidRPr="002F473F" w:rsidRDefault="002F473F" w:rsidP="002F473F">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155AE013" w14:textId="3DD80DA8" w:rsidR="002F473F" w:rsidRDefault="002F473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7DF0"/>
    <w:rsid w:val="00061455"/>
    <w:rsid w:val="00064A2C"/>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B4CF1"/>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22710"/>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86EBA"/>
    <w:rsid w:val="00286F30"/>
    <w:rsid w:val="00290F5B"/>
    <w:rsid w:val="0029236A"/>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23B9E"/>
    <w:rsid w:val="00430BDA"/>
    <w:rsid w:val="00432606"/>
    <w:rsid w:val="00434D5D"/>
    <w:rsid w:val="00437306"/>
    <w:rsid w:val="00443F12"/>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06430"/>
    <w:rsid w:val="006130D0"/>
    <w:rsid w:val="0062650E"/>
    <w:rsid w:val="0062677D"/>
    <w:rsid w:val="006337DC"/>
    <w:rsid w:val="006401C9"/>
    <w:rsid w:val="00641195"/>
    <w:rsid w:val="00646E8E"/>
    <w:rsid w:val="00653730"/>
    <w:rsid w:val="00657357"/>
    <w:rsid w:val="006714E5"/>
    <w:rsid w:val="00674566"/>
    <w:rsid w:val="006778A2"/>
    <w:rsid w:val="00682B01"/>
    <w:rsid w:val="00684BFA"/>
    <w:rsid w:val="006913C4"/>
    <w:rsid w:val="006925A2"/>
    <w:rsid w:val="00692870"/>
    <w:rsid w:val="0069784C"/>
    <w:rsid w:val="006A0496"/>
    <w:rsid w:val="006A590E"/>
    <w:rsid w:val="006B0630"/>
    <w:rsid w:val="006B56E5"/>
    <w:rsid w:val="006B5C04"/>
    <w:rsid w:val="006B6FB6"/>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29FF"/>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773"/>
    <w:rsid w:val="009A4267"/>
    <w:rsid w:val="009A62AE"/>
    <w:rsid w:val="009B0178"/>
    <w:rsid w:val="009B40D0"/>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17A6"/>
    <w:rsid w:val="00BA20F2"/>
    <w:rsid w:val="00BA7DC7"/>
    <w:rsid w:val="00BB5167"/>
    <w:rsid w:val="00BB53C3"/>
    <w:rsid w:val="00BB6590"/>
    <w:rsid w:val="00BC1018"/>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060"/>
    <w:rsid w:val="00D56CD6"/>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429E"/>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1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3.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7e37686-00e6-405d-9032-d05dd3ba55a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6.xml><?xml version="1.0" encoding="utf-8"?>
<ds:datastoreItem xmlns:ds="http://schemas.openxmlformats.org/officeDocument/2006/customXml" ds:itemID="{57A27216-B230-488F-9FB5-90D8B6C5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3921</Words>
  <Characters>22233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Havelková Veronika</cp:lastModifiedBy>
  <cp:revision>12</cp:revision>
  <cp:lastPrinted>2018-11-27T10:11:00Z</cp:lastPrinted>
  <dcterms:created xsi:type="dcterms:W3CDTF">2020-08-10T07:55:00Z</dcterms:created>
  <dcterms:modified xsi:type="dcterms:W3CDTF">2021-03-22T14:20:00Z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