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66" w:rsidRPr="00F71A66" w:rsidRDefault="00F71A66" w:rsidP="00F71A66">
      <w:pPr>
        <w:pStyle w:val="Bodytext20"/>
        <w:spacing w:before="0" w:after="120" w:line="264" w:lineRule="exact"/>
        <w:ind w:right="561"/>
        <w:jc w:val="center"/>
        <w:rPr>
          <w:rFonts w:ascii="Open Sans" w:hAnsi="Open Sans" w:cs="Open Sans"/>
          <w:b/>
          <w:bCs/>
          <w:sz w:val="16"/>
          <w:szCs w:val="16"/>
        </w:rPr>
      </w:pPr>
      <w:r w:rsidRPr="00F71A66">
        <w:rPr>
          <w:rFonts w:ascii="Open Sans" w:hAnsi="Open Sans" w:cs="Open Sans"/>
          <w:b/>
          <w:bCs/>
          <w:szCs w:val="16"/>
        </w:rPr>
        <w:t>Příloha č. 1</w:t>
      </w:r>
    </w:p>
    <w:p w:rsidR="00F71A66" w:rsidRDefault="00F71A66" w:rsidP="00F71A66">
      <w:pPr>
        <w:pStyle w:val="Bodytext20"/>
        <w:shd w:val="clear" w:color="auto" w:fill="auto"/>
        <w:spacing w:before="0" w:after="240" w:line="264" w:lineRule="exact"/>
        <w:ind w:right="561"/>
        <w:jc w:val="center"/>
        <w:rPr>
          <w:rFonts w:ascii="Open Sans" w:hAnsi="Open Sans" w:cs="Open Sans"/>
          <w:b/>
          <w:bCs/>
          <w:sz w:val="16"/>
          <w:szCs w:val="16"/>
        </w:rPr>
      </w:pPr>
      <w:r w:rsidRPr="00F71A66">
        <w:rPr>
          <w:rFonts w:ascii="Open Sans" w:hAnsi="Open Sans" w:cs="Open Sans"/>
          <w:b/>
          <w:bCs/>
          <w:sz w:val="16"/>
          <w:szCs w:val="16"/>
        </w:rPr>
        <w:t>ke Smlouvě o akceptaci platebních karet č.</w:t>
      </w:r>
    </w:p>
    <w:p w:rsidR="00610861" w:rsidRPr="00495EDC" w:rsidRDefault="00610861" w:rsidP="00610861">
      <w:pPr>
        <w:pStyle w:val="Bodytext20"/>
        <w:shd w:val="clear" w:color="auto" w:fill="auto"/>
        <w:spacing w:before="0" w:line="264" w:lineRule="exact"/>
        <w:ind w:right="560"/>
        <w:jc w:val="both"/>
        <w:rPr>
          <w:rFonts w:ascii="Open Sans" w:hAnsi="Open Sans" w:cs="Open Sans"/>
          <w:b/>
          <w:sz w:val="16"/>
          <w:szCs w:val="16"/>
        </w:rPr>
      </w:pPr>
      <w:r w:rsidRPr="00495EDC">
        <w:rPr>
          <w:rFonts w:ascii="Open Sans" w:hAnsi="Open Sans" w:cs="Open Sans"/>
          <w:b/>
          <w:bCs/>
          <w:sz w:val="16"/>
          <w:szCs w:val="16"/>
        </w:rPr>
        <w:t>(B)</w:t>
      </w:r>
      <w:r w:rsidRPr="00495EDC">
        <w:rPr>
          <w:rFonts w:ascii="Open Sans" w:hAnsi="Open Sans" w:cs="Open Sans"/>
          <w:b/>
          <w:bCs/>
          <w:sz w:val="16"/>
          <w:szCs w:val="16"/>
        </w:rPr>
        <w:tab/>
        <w:t>Akceptace Karet u Transakcí uskutečněných prostřednictvím internetového obchodování</w:t>
      </w:r>
    </w:p>
    <w:p w:rsidR="00610861" w:rsidRPr="00495EDC" w:rsidRDefault="00610861" w:rsidP="00610861">
      <w:pPr>
        <w:pStyle w:val="Bodytext20"/>
        <w:shd w:val="clear" w:color="auto" w:fill="auto"/>
        <w:spacing w:before="0" w:line="264" w:lineRule="exact"/>
        <w:ind w:right="560"/>
        <w:jc w:val="both"/>
        <w:rPr>
          <w:rFonts w:ascii="Open Sans" w:hAnsi="Open Sans" w:cs="Open Sans"/>
          <w:sz w:val="16"/>
          <w:szCs w:val="16"/>
          <w:highlight w:val="yellow"/>
        </w:rPr>
      </w:pPr>
    </w:p>
    <w:p w:rsidR="00610861" w:rsidRPr="00495EDC" w:rsidRDefault="00610861" w:rsidP="00610861">
      <w:pPr>
        <w:pStyle w:val="Bodytext20"/>
        <w:shd w:val="clear" w:color="auto" w:fill="auto"/>
        <w:spacing w:before="0" w:line="264" w:lineRule="exact"/>
        <w:ind w:right="560"/>
        <w:jc w:val="both"/>
        <w:rPr>
          <w:rFonts w:ascii="Open Sans" w:hAnsi="Open Sans" w:cs="Open Sans"/>
          <w:sz w:val="16"/>
          <w:szCs w:val="16"/>
        </w:rPr>
      </w:pPr>
      <w:r w:rsidRPr="00495EDC">
        <w:rPr>
          <w:rFonts w:ascii="Open Sans" w:hAnsi="Open Sans" w:cs="Open Sans"/>
          <w:sz w:val="16"/>
          <w:szCs w:val="16"/>
        </w:rPr>
        <w:t>Výrazy s velkými počátečními písmeny, jež nejsou v této Příloze č. 1 definovány, mají stejný význam jako ve Smlouvě nebo ve VOP.</w:t>
      </w:r>
    </w:p>
    <w:p w:rsidR="00610861" w:rsidRPr="00495EDC" w:rsidRDefault="00610861" w:rsidP="00610861">
      <w:pPr>
        <w:pStyle w:val="Bodytext20"/>
        <w:shd w:val="clear" w:color="auto" w:fill="auto"/>
        <w:spacing w:before="0" w:line="264" w:lineRule="exact"/>
        <w:ind w:right="560"/>
        <w:jc w:val="both"/>
        <w:rPr>
          <w:rFonts w:ascii="Open Sans" w:hAnsi="Open Sans" w:cs="Open Sans"/>
          <w:sz w:val="16"/>
          <w:szCs w:val="16"/>
        </w:rPr>
      </w:pPr>
    </w:p>
    <w:p w:rsidR="00610861" w:rsidRPr="00495EDC" w:rsidRDefault="00610861" w:rsidP="00610861">
      <w:pPr>
        <w:pStyle w:val="Bodytext20"/>
        <w:numPr>
          <w:ilvl w:val="1"/>
          <w:numId w:val="26"/>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 xml:space="preserve">Poskytovatelé služeb budou Smluvnímu partnerovi poskytovat Služby v jeho obchodních provozovnách (internetových prodejnách) uvedených </w:t>
      </w:r>
      <w:r w:rsidRPr="008118A8">
        <w:rPr>
          <w:rFonts w:ascii="Open Sans" w:hAnsi="Open Sans" w:cs="Open Sans"/>
          <w:sz w:val="16"/>
          <w:szCs w:val="16"/>
        </w:rPr>
        <w:t>v Přehledu obchodních míst (dále jen „</w:t>
      </w:r>
      <w:r w:rsidRPr="008118A8">
        <w:rPr>
          <w:rFonts w:ascii="Open Sans" w:hAnsi="Open Sans" w:cs="Open Sans"/>
          <w:b/>
          <w:bCs/>
          <w:sz w:val="16"/>
          <w:szCs w:val="16"/>
        </w:rPr>
        <w:t>Přehled</w:t>
      </w:r>
      <w:r w:rsidRPr="008118A8">
        <w:rPr>
          <w:rFonts w:ascii="Open Sans" w:hAnsi="Open Sans" w:cs="Open Sans"/>
          <w:sz w:val="16"/>
          <w:szCs w:val="16"/>
        </w:rPr>
        <w:t>“), který tvoří Přílohu č. 4 Smlouvy.</w:t>
      </w:r>
      <w:r w:rsidRPr="008118A8">
        <w:rPr>
          <w:rFonts w:ascii="Open Sans" w:hAnsi="Open Sans" w:cs="Open Sans"/>
          <w:i/>
          <w:sz w:val="16"/>
          <w:szCs w:val="16"/>
        </w:rPr>
        <w:t xml:space="preserve"> </w:t>
      </w:r>
    </w:p>
    <w:p w:rsidR="00610861" w:rsidRPr="00495EDC" w:rsidRDefault="00610861" w:rsidP="00610861">
      <w:pPr>
        <w:pStyle w:val="Bodytext20"/>
        <w:numPr>
          <w:ilvl w:val="1"/>
          <w:numId w:val="26"/>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 xml:space="preserve">Pro účely vypořádání Transakcí uskutečněných pomocí Platebních karet vypočtou Poskytovatelé služeb poplatky za Služby dle níže uvedené tabulky dle hodnoty jednotlivých Transakcí uskutečněných v obchodních provozovnách (internetových prodejnách) uvedených v Přehledu pomocí akceptovaných Platebních karet. </w:t>
      </w:r>
    </w:p>
    <w:p w:rsidR="00610861" w:rsidRPr="00A5191D" w:rsidRDefault="00610861" w:rsidP="00A5191D">
      <w:pPr>
        <w:pStyle w:val="Bodytext20"/>
        <w:numPr>
          <w:ilvl w:val="1"/>
          <w:numId w:val="26"/>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Poplatky za Služby poskytované Poskytovateli služeb Smluvnímu partnerovi na základě Smlouvy tvoří následující položky:</w:t>
      </w:r>
    </w:p>
    <w:p w:rsidR="00610861" w:rsidRPr="00495EDC" w:rsidRDefault="00610861" w:rsidP="00A5191D">
      <w:pPr>
        <w:pStyle w:val="Bodytext20"/>
        <w:numPr>
          <w:ilvl w:val="3"/>
          <w:numId w:val="26"/>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Mezibankovní poplatek (</w:t>
      </w:r>
      <w:proofErr w:type="spellStart"/>
      <w:r w:rsidRPr="00495EDC">
        <w:rPr>
          <w:rFonts w:ascii="Open Sans" w:hAnsi="Open Sans" w:cs="Open Sans"/>
          <w:sz w:val="16"/>
          <w:szCs w:val="16"/>
        </w:rPr>
        <w:t>multilateral</w:t>
      </w:r>
      <w:proofErr w:type="spellEnd"/>
      <w:r w:rsidRPr="00495EDC">
        <w:rPr>
          <w:rFonts w:ascii="Open Sans" w:hAnsi="Open Sans" w:cs="Open Sans"/>
          <w:sz w:val="16"/>
          <w:szCs w:val="16"/>
        </w:rPr>
        <w:t xml:space="preserve"> </w:t>
      </w:r>
      <w:proofErr w:type="spellStart"/>
      <w:r w:rsidRPr="00495EDC">
        <w:rPr>
          <w:rFonts w:ascii="Open Sans" w:hAnsi="Open Sans" w:cs="Open Sans"/>
          <w:sz w:val="16"/>
          <w:szCs w:val="16"/>
        </w:rPr>
        <w:t>interchange</w:t>
      </w:r>
      <w:proofErr w:type="spellEnd"/>
      <w:r w:rsidRPr="00495EDC">
        <w:rPr>
          <w:rFonts w:ascii="Open Sans" w:hAnsi="Open Sans" w:cs="Open Sans"/>
          <w:sz w:val="16"/>
          <w:szCs w:val="16"/>
        </w:rPr>
        <w:t xml:space="preserve"> </w:t>
      </w:r>
      <w:proofErr w:type="spellStart"/>
      <w:r w:rsidRPr="00495EDC">
        <w:rPr>
          <w:rFonts w:ascii="Open Sans" w:hAnsi="Open Sans" w:cs="Open Sans"/>
          <w:sz w:val="16"/>
          <w:szCs w:val="16"/>
        </w:rPr>
        <w:t>fee</w:t>
      </w:r>
      <w:proofErr w:type="spellEnd"/>
      <w:r w:rsidRPr="00495EDC">
        <w:rPr>
          <w:rFonts w:ascii="Open Sans" w:hAnsi="Open Sans" w:cs="Open Sans"/>
          <w:sz w:val="16"/>
          <w:szCs w:val="16"/>
        </w:rPr>
        <w:t xml:space="preserve"> - MIF) účtovaný Poskytovatelům služeb jednotlivými Programy platebních karet ve prospěch vydavatelů Platebních karet; tento poplatek není předmětem smlouvy mezi Poskytovateli služeb a Smluvním partnerem a u nejrozšířenějších typů platebních karet, tj. osobních karet a debetních karet vydaných v členských státech EU, jsou sazby tohoto poplatku regulovány Nařízením EU č. 2015/751. Poplatek se stanoví následovně:</w:t>
      </w:r>
    </w:p>
    <w:p w:rsidR="00610861" w:rsidRPr="00495EDC" w:rsidRDefault="00610861" w:rsidP="00610861">
      <w:pPr>
        <w:pStyle w:val="Bodytext20"/>
        <w:spacing w:before="0" w:line="264" w:lineRule="exact"/>
        <w:ind w:left="1560" w:right="560" w:hanging="284"/>
        <w:jc w:val="both"/>
        <w:rPr>
          <w:rFonts w:ascii="Open Sans" w:hAnsi="Open Sans" w:cs="Open Sans"/>
          <w:i/>
          <w:sz w:val="16"/>
          <w:szCs w:val="16"/>
        </w:rPr>
      </w:pPr>
    </w:p>
    <w:p w:rsidR="00610861" w:rsidRPr="00495EDC" w:rsidRDefault="00610861" w:rsidP="00610861">
      <w:pPr>
        <w:pStyle w:val="Bodytext20"/>
        <w:numPr>
          <w:ilvl w:val="0"/>
          <w:numId w:val="27"/>
        </w:numPr>
        <w:spacing w:before="0" w:line="264" w:lineRule="exact"/>
        <w:ind w:left="1985" w:right="560" w:hanging="425"/>
        <w:jc w:val="both"/>
        <w:rPr>
          <w:rFonts w:ascii="Open Sans" w:hAnsi="Open Sans" w:cs="Open Sans"/>
          <w:sz w:val="16"/>
          <w:szCs w:val="16"/>
        </w:rPr>
      </w:pPr>
      <w:r w:rsidRPr="00495EDC">
        <w:rPr>
          <w:rFonts w:ascii="Open Sans" w:hAnsi="Open Sans" w:cs="Open Sans"/>
          <w:sz w:val="16"/>
          <w:szCs w:val="16"/>
        </w:rPr>
        <w:t>u debetních Platebních karet vydaných v Evropské unii: v současné době 0,2 % z hodnoty Transakce;</w:t>
      </w:r>
    </w:p>
    <w:p w:rsidR="00610861" w:rsidRPr="00495EDC" w:rsidRDefault="00610861" w:rsidP="00610861">
      <w:pPr>
        <w:pStyle w:val="Bodytext20"/>
        <w:numPr>
          <w:ilvl w:val="0"/>
          <w:numId w:val="27"/>
        </w:numPr>
        <w:spacing w:before="0" w:line="264" w:lineRule="exact"/>
        <w:ind w:left="1985" w:right="560" w:hanging="425"/>
        <w:jc w:val="both"/>
        <w:rPr>
          <w:rFonts w:ascii="Open Sans" w:hAnsi="Open Sans" w:cs="Open Sans"/>
          <w:sz w:val="16"/>
          <w:szCs w:val="16"/>
        </w:rPr>
      </w:pPr>
      <w:r w:rsidRPr="00495EDC">
        <w:rPr>
          <w:rFonts w:ascii="Open Sans" w:hAnsi="Open Sans" w:cs="Open Sans"/>
          <w:sz w:val="16"/>
          <w:szCs w:val="16"/>
        </w:rPr>
        <w:t>u kreditních Platebních karet vydaných v Evropské unii: v současné době 0,3 % z hodnoty Transakce;</w:t>
      </w:r>
    </w:p>
    <w:p w:rsidR="00610861" w:rsidRPr="00495EDC" w:rsidRDefault="00610861" w:rsidP="00610861">
      <w:pPr>
        <w:pStyle w:val="Bodytext20"/>
        <w:numPr>
          <w:ilvl w:val="0"/>
          <w:numId w:val="27"/>
        </w:numPr>
        <w:spacing w:before="0" w:line="264" w:lineRule="exact"/>
        <w:ind w:left="1985" w:right="560" w:hanging="425"/>
        <w:jc w:val="both"/>
        <w:rPr>
          <w:rFonts w:ascii="Open Sans" w:hAnsi="Open Sans" w:cs="Open Sans"/>
          <w:sz w:val="16"/>
          <w:szCs w:val="16"/>
        </w:rPr>
      </w:pPr>
      <w:r w:rsidRPr="00495EDC">
        <w:rPr>
          <w:rFonts w:ascii="Open Sans" w:hAnsi="Open Sans" w:cs="Open Sans"/>
          <w:sz w:val="16"/>
          <w:szCs w:val="16"/>
        </w:rPr>
        <w:t xml:space="preserve">u dalších typů Platebních karet - dle Pravidel Programu platebních karet uveřejněných na webových stránkách příslušného Programu platebních karet (např. </w:t>
      </w:r>
      <w:proofErr w:type="gramStart"/>
      <w:r w:rsidRPr="00495EDC">
        <w:rPr>
          <w:rFonts w:ascii="Open Sans" w:hAnsi="Open Sans" w:cs="Open Sans"/>
          <w:sz w:val="16"/>
          <w:szCs w:val="16"/>
        </w:rPr>
        <w:t>www</w:t>
      </w:r>
      <w:proofErr w:type="gramEnd"/>
      <w:r w:rsidRPr="00495EDC">
        <w:rPr>
          <w:rFonts w:ascii="Open Sans" w:hAnsi="Open Sans" w:cs="Open Sans"/>
          <w:sz w:val="16"/>
          <w:szCs w:val="16"/>
        </w:rPr>
        <w:t>.</w:t>
      </w:r>
      <w:proofErr w:type="gramStart"/>
      <w:r w:rsidRPr="00495EDC">
        <w:rPr>
          <w:rFonts w:ascii="Open Sans" w:hAnsi="Open Sans" w:cs="Open Sans"/>
          <w:sz w:val="16"/>
          <w:szCs w:val="16"/>
        </w:rPr>
        <w:t>visa</w:t>
      </w:r>
      <w:proofErr w:type="gramEnd"/>
      <w:r w:rsidRPr="00495EDC">
        <w:rPr>
          <w:rFonts w:ascii="Open Sans" w:hAnsi="Open Sans" w:cs="Open Sans"/>
          <w:sz w:val="16"/>
          <w:szCs w:val="16"/>
        </w:rPr>
        <w:t>.com nebo www.mastercard.com).</w:t>
      </w:r>
    </w:p>
    <w:p w:rsidR="00610861" w:rsidRPr="00495EDC" w:rsidRDefault="00610861" w:rsidP="00A5191D">
      <w:pPr>
        <w:pStyle w:val="Bodytext20"/>
        <w:numPr>
          <w:ilvl w:val="2"/>
          <w:numId w:val="26"/>
        </w:numPr>
        <w:shd w:val="clear" w:color="auto" w:fill="auto"/>
        <w:spacing w:before="120" w:line="264" w:lineRule="exact"/>
        <w:ind w:left="1560" w:right="560" w:hanging="851"/>
        <w:jc w:val="both"/>
        <w:rPr>
          <w:rFonts w:ascii="Open Sans" w:hAnsi="Open Sans" w:cs="Open Sans"/>
          <w:sz w:val="16"/>
          <w:szCs w:val="16"/>
        </w:rPr>
      </w:pPr>
      <w:r w:rsidRPr="00495EDC">
        <w:rPr>
          <w:rFonts w:ascii="Open Sans" w:hAnsi="Open Sans" w:cs="Open Sans"/>
          <w:sz w:val="16"/>
          <w:szCs w:val="16"/>
        </w:rPr>
        <w:t>Poplatek Programů platebních karet účtovaný Poskytovatelům služeb příslušnými Programy platebních karet v jejich prospěch; tento poplatek není předmětem smlouvy mezi Poskytovateli služeb a Smluvním partnerem a liší se u každé Transakce v závislosti na druhu použité Platební karty, systému platby, hodnotě Transakce a aktuálním směnném kurzu. U většiny Transakcí se výše Poplatku Programu platebních karet pohybuje od 0,1 % do 0,5 % z hodnoty Transakce.</w:t>
      </w:r>
    </w:p>
    <w:p w:rsidR="00610861" w:rsidRPr="00495EDC" w:rsidRDefault="00610861" w:rsidP="00A5191D">
      <w:pPr>
        <w:pStyle w:val="Bodytext20"/>
        <w:numPr>
          <w:ilvl w:val="2"/>
          <w:numId w:val="26"/>
        </w:numPr>
        <w:shd w:val="clear" w:color="auto" w:fill="auto"/>
        <w:spacing w:before="120" w:line="264" w:lineRule="exact"/>
        <w:ind w:left="1560" w:right="560" w:hanging="851"/>
        <w:jc w:val="both"/>
        <w:rPr>
          <w:rFonts w:ascii="Open Sans" w:hAnsi="Open Sans" w:cs="Open Sans"/>
          <w:sz w:val="16"/>
          <w:szCs w:val="16"/>
        </w:rPr>
      </w:pPr>
      <w:r w:rsidRPr="00495EDC">
        <w:rPr>
          <w:rFonts w:ascii="Open Sans" w:hAnsi="Open Sans" w:cs="Open Sans"/>
          <w:sz w:val="16"/>
          <w:szCs w:val="16"/>
        </w:rPr>
        <w:t>Marže Poskytovatele služeb představuje příjem Poskytovatele služeb ze Služeb poskytovaných Smluvnímu partnerovi na základě Smlouvy, zahrnující mimo jiné službu vypořádání transakcí, servis nebo technickou podporu.</w:t>
      </w:r>
    </w:p>
    <w:p w:rsidR="00610861" w:rsidRPr="00495EDC" w:rsidRDefault="00610861" w:rsidP="00610861">
      <w:pPr>
        <w:pStyle w:val="Bodytext20"/>
        <w:shd w:val="clear" w:color="auto" w:fill="auto"/>
        <w:spacing w:before="120" w:line="264" w:lineRule="exact"/>
        <w:ind w:left="1560" w:right="560"/>
        <w:jc w:val="both"/>
        <w:rPr>
          <w:rFonts w:ascii="Open Sans" w:hAnsi="Open Sans" w:cs="Open Sans"/>
          <w:sz w:val="16"/>
          <w:szCs w:val="16"/>
        </w:rPr>
      </w:pPr>
      <w:r w:rsidRPr="00495EDC">
        <w:rPr>
          <w:rFonts w:ascii="Open Sans" w:hAnsi="Open Sans" w:cs="Open Sans"/>
          <w:sz w:val="16"/>
          <w:szCs w:val="16"/>
        </w:rPr>
        <w:t>Marže Poskytovatele služeb je proměnlivá částka, která se vypočte jako rozdíl mezi celkovou cenou (odměna plus poplatky) za Služby poskytované Poskytovateli služeb Smluvnímu partnerovi na základě Smlouvy a částkou Mezibankovního poplatku a Poplatku Programů platebních karet.</w:t>
      </w:r>
    </w:p>
    <w:p w:rsidR="00610861" w:rsidRPr="00610861" w:rsidRDefault="00610861" w:rsidP="00A5191D">
      <w:pPr>
        <w:pStyle w:val="Bodytext20"/>
        <w:numPr>
          <w:ilvl w:val="1"/>
          <w:numId w:val="26"/>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 xml:space="preserve">Kompletní a aktuální informace ohledně Mezibankovních poplatků a Poplatků Programů platebních karet pro dané typy Platebních karet a systémů plateb je uveřejněn na webových stránkách příslušných Programů platebních karet (např. </w:t>
      </w:r>
      <w:proofErr w:type="gramStart"/>
      <w:r w:rsidRPr="00495EDC">
        <w:rPr>
          <w:rFonts w:ascii="Open Sans" w:hAnsi="Open Sans" w:cs="Open Sans"/>
          <w:sz w:val="16"/>
          <w:szCs w:val="16"/>
        </w:rPr>
        <w:t>www</w:t>
      </w:r>
      <w:proofErr w:type="gramEnd"/>
      <w:r w:rsidRPr="00495EDC">
        <w:rPr>
          <w:rFonts w:ascii="Open Sans" w:hAnsi="Open Sans" w:cs="Open Sans"/>
          <w:sz w:val="16"/>
          <w:szCs w:val="16"/>
        </w:rPr>
        <w:t>.</w:t>
      </w:r>
      <w:proofErr w:type="gramStart"/>
      <w:r w:rsidRPr="00495EDC">
        <w:rPr>
          <w:rFonts w:ascii="Open Sans" w:hAnsi="Open Sans" w:cs="Open Sans"/>
          <w:sz w:val="16"/>
          <w:szCs w:val="16"/>
        </w:rPr>
        <w:t>vi</w:t>
      </w:r>
      <w:r>
        <w:rPr>
          <w:rFonts w:ascii="Open Sans" w:hAnsi="Open Sans" w:cs="Open Sans"/>
          <w:sz w:val="16"/>
          <w:szCs w:val="16"/>
        </w:rPr>
        <w:t>sa</w:t>
      </w:r>
      <w:proofErr w:type="gramEnd"/>
      <w:r>
        <w:rPr>
          <w:rFonts w:ascii="Open Sans" w:hAnsi="Open Sans" w:cs="Open Sans"/>
          <w:sz w:val="16"/>
          <w:szCs w:val="16"/>
        </w:rPr>
        <w:t>.com nebo www.mastercard.com)</w:t>
      </w:r>
    </w:p>
    <w:p w:rsidR="00610861" w:rsidRPr="00495EDC" w:rsidRDefault="00610861" w:rsidP="00610861">
      <w:pPr>
        <w:pStyle w:val="Bodytext20"/>
        <w:keepNext/>
        <w:keepLines/>
        <w:shd w:val="clear" w:color="auto" w:fill="auto"/>
        <w:spacing w:before="0" w:line="264" w:lineRule="exact"/>
        <w:ind w:left="360" w:right="560"/>
        <w:jc w:val="both"/>
        <w:rPr>
          <w:rFonts w:ascii="Open Sans" w:hAnsi="Open Sans" w:cs="Open Sans"/>
          <w:sz w:val="16"/>
          <w:szCs w:val="16"/>
        </w:rPr>
      </w:pPr>
    </w:p>
    <w:tbl>
      <w:tblPr>
        <w:tblW w:w="9528" w:type="dxa"/>
        <w:tblInd w:w="93" w:type="dxa"/>
        <w:tblLook w:val="04A0" w:firstRow="1" w:lastRow="0" w:firstColumn="1" w:lastColumn="0" w:noHBand="0" w:noVBand="1"/>
      </w:tblPr>
      <w:tblGrid>
        <w:gridCol w:w="2124"/>
        <w:gridCol w:w="1167"/>
        <w:gridCol w:w="1276"/>
        <w:gridCol w:w="280"/>
        <w:gridCol w:w="2130"/>
        <w:gridCol w:w="1238"/>
        <w:gridCol w:w="1313"/>
      </w:tblGrid>
      <w:tr w:rsidR="00610861" w:rsidRPr="00B65A78" w:rsidTr="00F94BA5">
        <w:trPr>
          <w:trHeight w:val="315"/>
        </w:trPr>
        <w:tc>
          <w:tcPr>
            <w:tcW w:w="2124" w:type="dxa"/>
            <w:vMerge w:val="restart"/>
            <w:tcBorders>
              <w:top w:val="single" w:sz="12" w:space="0" w:color="auto"/>
              <w:left w:val="single" w:sz="12" w:space="0" w:color="auto"/>
              <w:bottom w:val="single" w:sz="8" w:space="0" w:color="000000"/>
              <w:right w:val="single" w:sz="8" w:space="0" w:color="auto"/>
            </w:tcBorders>
            <w:shd w:val="clear" w:color="000000" w:fill="0D0D0D"/>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r w:rsidRPr="00B65A78">
              <w:rPr>
                <w:rFonts w:ascii="Open Sans" w:hAnsi="Open Sans" w:cs="Open Sans"/>
                <w:b/>
                <w:bCs/>
                <w:color w:val="FFFFFF"/>
                <w:sz w:val="14"/>
                <w:szCs w:val="14"/>
              </w:rPr>
              <w:t>A. Platební karty</w:t>
            </w:r>
          </w:p>
        </w:tc>
        <w:tc>
          <w:tcPr>
            <w:tcW w:w="2443" w:type="dxa"/>
            <w:gridSpan w:val="2"/>
            <w:vMerge w:val="restart"/>
            <w:tcBorders>
              <w:top w:val="single" w:sz="12" w:space="0" w:color="auto"/>
              <w:left w:val="single" w:sz="8" w:space="0" w:color="auto"/>
              <w:bottom w:val="single" w:sz="8" w:space="0" w:color="000000"/>
              <w:right w:val="single" w:sz="12" w:space="0" w:color="000000"/>
            </w:tcBorders>
            <w:shd w:val="clear" w:color="000000" w:fill="0D0D0D"/>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r w:rsidRPr="00B65A78">
              <w:rPr>
                <w:rFonts w:ascii="Open Sans" w:hAnsi="Open Sans" w:cs="Open Sans"/>
                <w:b/>
                <w:bCs/>
                <w:color w:val="FFFFFF"/>
                <w:sz w:val="14"/>
                <w:szCs w:val="14"/>
              </w:rPr>
              <w:t>Servisní poplatek prodejce</w:t>
            </w:r>
          </w:p>
        </w:tc>
        <w:tc>
          <w:tcPr>
            <w:tcW w:w="280" w:type="dxa"/>
            <w:tcBorders>
              <w:top w:val="nil"/>
              <w:left w:val="nil"/>
              <w:bottom w:val="nil"/>
              <w:right w:val="nil"/>
            </w:tcBorders>
            <w:shd w:val="clear" w:color="auto" w:fill="auto"/>
            <w:vAlign w:val="bottom"/>
            <w:hideMark/>
          </w:tcPr>
          <w:p w:rsidR="00610861" w:rsidRPr="00B65A78" w:rsidRDefault="00610861" w:rsidP="00610861">
            <w:pPr>
              <w:keepNext/>
              <w:keepLines/>
              <w:widowControl/>
              <w:rPr>
                <w:rFonts w:ascii="Open Sans" w:hAnsi="Open Sans" w:cs="Open Sans"/>
                <w:sz w:val="14"/>
                <w:szCs w:val="14"/>
              </w:rPr>
            </w:pPr>
          </w:p>
        </w:tc>
        <w:tc>
          <w:tcPr>
            <w:tcW w:w="2130" w:type="dxa"/>
            <w:vMerge w:val="restart"/>
            <w:tcBorders>
              <w:top w:val="single" w:sz="12" w:space="0" w:color="auto"/>
              <w:left w:val="single" w:sz="12" w:space="0" w:color="auto"/>
              <w:bottom w:val="single" w:sz="8" w:space="0" w:color="000000"/>
              <w:right w:val="single" w:sz="8" w:space="0" w:color="auto"/>
            </w:tcBorders>
            <w:shd w:val="clear" w:color="000000" w:fill="0D0D0D"/>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r w:rsidRPr="00B65A78">
              <w:rPr>
                <w:rFonts w:ascii="Open Sans" w:hAnsi="Open Sans" w:cs="Open Sans"/>
                <w:b/>
                <w:bCs/>
                <w:color w:val="FFFFFF"/>
                <w:sz w:val="14"/>
                <w:szCs w:val="14"/>
              </w:rPr>
              <w:t>A. Platební karty</w:t>
            </w:r>
          </w:p>
        </w:tc>
        <w:tc>
          <w:tcPr>
            <w:tcW w:w="2551" w:type="dxa"/>
            <w:gridSpan w:val="2"/>
            <w:vMerge w:val="restart"/>
            <w:tcBorders>
              <w:top w:val="single" w:sz="12" w:space="0" w:color="auto"/>
              <w:left w:val="single" w:sz="8" w:space="0" w:color="auto"/>
              <w:bottom w:val="single" w:sz="8" w:space="0" w:color="000000"/>
              <w:right w:val="single" w:sz="12" w:space="0" w:color="000000"/>
            </w:tcBorders>
            <w:shd w:val="clear" w:color="000000" w:fill="0D0D0D"/>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r w:rsidRPr="00B65A78">
              <w:rPr>
                <w:rFonts w:ascii="Open Sans" w:hAnsi="Open Sans" w:cs="Open Sans"/>
                <w:b/>
                <w:bCs/>
                <w:color w:val="FFFFFF"/>
                <w:sz w:val="14"/>
                <w:szCs w:val="14"/>
              </w:rPr>
              <w:t>Servisní poplatek prodejce</w:t>
            </w:r>
          </w:p>
        </w:tc>
      </w:tr>
      <w:tr w:rsidR="00610861" w:rsidRPr="00B65A78" w:rsidTr="00F94BA5">
        <w:trPr>
          <w:trHeight w:val="315"/>
        </w:trPr>
        <w:tc>
          <w:tcPr>
            <w:tcW w:w="2124" w:type="dxa"/>
            <w:vMerge/>
            <w:tcBorders>
              <w:top w:val="single" w:sz="12" w:space="0" w:color="auto"/>
              <w:left w:val="single" w:sz="12" w:space="0" w:color="auto"/>
              <w:bottom w:val="single" w:sz="8" w:space="0" w:color="000000"/>
              <w:right w:val="single" w:sz="8" w:space="0" w:color="auto"/>
            </w:tcBorders>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p>
        </w:tc>
        <w:tc>
          <w:tcPr>
            <w:tcW w:w="2443" w:type="dxa"/>
            <w:gridSpan w:val="2"/>
            <w:vMerge/>
            <w:tcBorders>
              <w:top w:val="single" w:sz="12" w:space="0" w:color="auto"/>
              <w:left w:val="single" w:sz="8" w:space="0" w:color="auto"/>
              <w:bottom w:val="single" w:sz="8" w:space="0" w:color="000000"/>
              <w:right w:val="single" w:sz="12" w:space="0" w:color="000000"/>
            </w:tcBorders>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p>
        </w:tc>
        <w:tc>
          <w:tcPr>
            <w:tcW w:w="280" w:type="dxa"/>
            <w:tcBorders>
              <w:top w:val="nil"/>
              <w:left w:val="nil"/>
              <w:bottom w:val="nil"/>
              <w:right w:val="nil"/>
            </w:tcBorders>
            <w:shd w:val="clear" w:color="auto" w:fill="auto"/>
            <w:vAlign w:val="bottom"/>
            <w:hideMark/>
          </w:tcPr>
          <w:p w:rsidR="00610861" w:rsidRPr="00B65A78" w:rsidRDefault="00610861" w:rsidP="00610861">
            <w:pPr>
              <w:keepNext/>
              <w:keepLines/>
              <w:widowControl/>
              <w:rPr>
                <w:rFonts w:ascii="Open Sans" w:hAnsi="Open Sans" w:cs="Open Sans"/>
                <w:sz w:val="14"/>
                <w:szCs w:val="14"/>
              </w:rPr>
            </w:pPr>
          </w:p>
        </w:tc>
        <w:tc>
          <w:tcPr>
            <w:tcW w:w="2130" w:type="dxa"/>
            <w:vMerge/>
            <w:tcBorders>
              <w:top w:val="single" w:sz="12" w:space="0" w:color="auto"/>
              <w:left w:val="single" w:sz="12" w:space="0" w:color="auto"/>
              <w:bottom w:val="single" w:sz="8" w:space="0" w:color="000000"/>
              <w:right w:val="single" w:sz="8" w:space="0" w:color="auto"/>
            </w:tcBorders>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p>
        </w:tc>
        <w:tc>
          <w:tcPr>
            <w:tcW w:w="2551" w:type="dxa"/>
            <w:gridSpan w:val="2"/>
            <w:vMerge/>
            <w:tcBorders>
              <w:top w:val="single" w:sz="12" w:space="0" w:color="auto"/>
              <w:left w:val="single" w:sz="8" w:space="0" w:color="auto"/>
              <w:bottom w:val="single" w:sz="8" w:space="0" w:color="000000"/>
              <w:right w:val="single" w:sz="12" w:space="0" w:color="000000"/>
            </w:tcBorders>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p>
        </w:tc>
      </w:tr>
      <w:tr w:rsidR="00610861" w:rsidRPr="00B65A78" w:rsidTr="00F94BA5">
        <w:trPr>
          <w:trHeight w:val="412"/>
        </w:trPr>
        <w:tc>
          <w:tcPr>
            <w:tcW w:w="2124" w:type="dxa"/>
            <w:vMerge/>
            <w:tcBorders>
              <w:top w:val="single" w:sz="12" w:space="0" w:color="auto"/>
              <w:left w:val="single" w:sz="12" w:space="0" w:color="auto"/>
              <w:bottom w:val="single" w:sz="8" w:space="0" w:color="000000"/>
              <w:right w:val="single" w:sz="8" w:space="0" w:color="auto"/>
            </w:tcBorders>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p>
        </w:tc>
        <w:tc>
          <w:tcPr>
            <w:tcW w:w="1167" w:type="dxa"/>
            <w:tcBorders>
              <w:top w:val="nil"/>
              <w:left w:val="nil"/>
              <w:bottom w:val="single" w:sz="8" w:space="0" w:color="auto"/>
              <w:right w:val="single" w:sz="8" w:space="0" w:color="auto"/>
            </w:tcBorders>
            <w:shd w:val="clear" w:color="000000" w:fill="0D0D0D"/>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r w:rsidRPr="00B65A78">
              <w:rPr>
                <w:rFonts w:ascii="Open Sans" w:hAnsi="Open Sans" w:cs="Open Sans"/>
                <w:b/>
                <w:bCs/>
                <w:color w:val="FFFFFF"/>
                <w:sz w:val="14"/>
                <w:szCs w:val="14"/>
              </w:rPr>
              <w:t>Provize</w:t>
            </w:r>
            <w:r w:rsidR="00F94BA5">
              <w:rPr>
                <w:rFonts w:ascii="Open Sans" w:hAnsi="Open Sans" w:cs="Open Sans"/>
                <w:b/>
                <w:bCs/>
                <w:color w:val="FFFFFF"/>
                <w:sz w:val="14"/>
                <w:szCs w:val="14"/>
              </w:rPr>
              <w:t xml:space="preserve"> v</w:t>
            </w:r>
            <w:r w:rsidRPr="00B65A78">
              <w:rPr>
                <w:rFonts w:ascii="Open Sans" w:hAnsi="Open Sans" w:cs="Open Sans"/>
                <w:b/>
                <w:bCs/>
                <w:color w:val="FFFFFF"/>
                <w:sz w:val="14"/>
                <w:szCs w:val="14"/>
              </w:rPr>
              <w:t xml:space="preserve"> %</w:t>
            </w:r>
          </w:p>
        </w:tc>
        <w:tc>
          <w:tcPr>
            <w:tcW w:w="1276" w:type="dxa"/>
            <w:tcBorders>
              <w:top w:val="nil"/>
              <w:left w:val="nil"/>
              <w:bottom w:val="single" w:sz="8" w:space="0" w:color="auto"/>
              <w:right w:val="single" w:sz="12" w:space="0" w:color="auto"/>
            </w:tcBorders>
            <w:shd w:val="clear" w:color="000000" w:fill="0D0D0D"/>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r w:rsidRPr="00B65A78">
              <w:rPr>
                <w:rFonts w:ascii="Open Sans" w:hAnsi="Open Sans" w:cs="Open Sans"/>
                <w:b/>
                <w:bCs/>
                <w:color w:val="FFFFFF"/>
                <w:sz w:val="14"/>
                <w:szCs w:val="14"/>
              </w:rPr>
              <w:t>Paušální poplatek v Kč</w:t>
            </w:r>
          </w:p>
        </w:tc>
        <w:tc>
          <w:tcPr>
            <w:tcW w:w="280" w:type="dxa"/>
            <w:tcBorders>
              <w:top w:val="nil"/>
              <w:left w:val="nil"/>
              <w:bottom w:val="nil"/>
              <w:right w:val="nil"/>
            </w:tcBorders>
            <w:shd w:val="clear" w:color="auto" w:fill="auto"/>
            <w:vAlign w:val="bottom"/>
            <w:hideMark/>
          </w:tcPr>
          <w:p w:rsidR="00610861" w:rsidRPr="00B65A78" w:rsidRDefault="00610861" w:rsidP="00610861">
            <w:pPr>
              <w:keepNext/>
              <w:keepLines/>
              <w:widowControl/>
              <w:rPr>
                <w:rFonts w:ascii="Open Sans" w:hAnsi="Open Sans" w:cs="Open Sans"/>
                <w:sz w:val="14"/>
                <w:szCs w:val="14"/>
              </w:rPr>
            </w:pPr>
          </w:p>
        </w:tc>
        <w:tc>
          <w:tcPr>
            <w:tcW w:w="2130" w:type="dxa"/>
            <w:vMerge/>
            <w:tcBorders>
              <w:top w:val="single" w:sz="12" w:space="0" w:color="auto"/>
              <w:left w:val="single" w:sz="12" w:space="0" w:color="auto"/>
              <w:bottom w:val="single" w:sz="8" w:space="0" w:color="000000"/>
              <w:right w:val="single" w:sz="8" w:space="0" w:color="auto"/>
            </w:tcBorders>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p>
        </w:tc>
        <w:tc>
          <w:tcPr>
            <w:tcW w:w="1238" w:type="dxa"/>
            <w:tcBorders>
              <w:top w:val="nil"/>
              <w:left w:val="nil"/>
              <w:bottom w:val="single" w:sz="8" w:space="0" w:color="auto"/>
              <w:right w:val="single" w:sz="8" w:space="0" w:color="auto"/>
            </w:tcBorders>
            <w:shd w:val="clear" w:color="000000" w:fill="0D0D0D"/>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r w:rsidRPr="00B65A78">
              <w:rPr>
                <w:rFonts w:ascii="Open Sans" w:hAnsi="Open Sans" w:cs="Open Sans"/>
                <w:b/>
                <w:bCs/>
                <w:color w:val="FFFFFF"/>
                <w:sz w:val="14"/>
                <w:szCs w:val="14"/>
              </w:rPr>
              <w:t>Provize</w:t>
            </w:r>
            <w:r w:rsidR="00F94BA5">
              <w:rPr>
                <w:rFonts w:ascii="Open Sans" w:hAnsi="Open Sans" w:cs="Open Sans"/>
                <w:b/>
                <w:bCs/>
                <w:color w:val="FFFFFF"/>
                <w:sz w:val="14"/>
                <w:szCs w:val="14"/>
              </w:rPr>
              <w:t xml:space="preserve"> v</w:t>
            </w:r>
            <w:r w:rsidRPr="00B65A78">
              <w:rPr>
                <w:rFonts w:ascii="Open Sans" w:hAnsi="Open Sans" w:cs="Open Sans"/>
                <w:b/>
                <w:bCs/>
                <w:color w:val="FFFFFF"/>
                <w:sz w:val="14"/>
                <w:szCs w:val="14"/>
              </w:rPr>
              <w:t xml:space="preserve"> %</w:t>
            </w:r>
          </w:p>
        </w:tc>
        <w:tc>
          <w:tcPr>
            <w:tcW w:w="1313" w:type="dxa"/>
            <w:tcBorders>
              <w:top w:val="nil"/>
              <w:left w:val="nil"/>
              <w:bottom w:val="single" w:sz="8" w:space="0" w:color="auto"/>
              <w:right w:val="single" w:sz="12" w:space="0" w:color="auto"/>
            </w:tcBorders>
            <w:shd w:val="clear" w:color="000000" w:fill="0D0D0D"/>
            <w:vAlign w:val="center"/>
            <w:hideMark/>
          </w:tcPr>
          <w:p w:rsidR="00610861" w:rsidRPr="00B65A78" w:rsidRDefault="00610861" w:rsidP="00F94BA5">
            <w:pPr>
              <w:keepNext/>
              <w:keepLines/>
              <w:widowControl/>
              <w:jc w:val="center"/>
              <w:rPr>
                <w:rFonts w:ascii="Open Sans" w:hAnsi="Open Sans" w:cs="Open Sans"/>
                <w:b/>
                <w:bCs/>
                <w:color w:val="FFFFFF"/>
                <w:sz w:val="14"/>
                <w:szCs w:val="14"/>
              </w:rPr>
            </w:pPr>
            <w:r w:rsidRPr="00B65A78">
              <w:rPr>
                <w:rFonts w:ascii="Open Sans" w:hAnsi="Open Sans" w:cs="Open Sans"/>
                <w:b/>
                <w:bCs/>
                <w:color w:val="FFFFFF"/>
                <w:sz w:val="14"/>
                <w:szCs w:val="14"/>
              </w:rPr>
              <w:t>Paušální poplatek v Kč</w:t>
            </w:r>
          </w:p>
        </w:tc>
      </w:tr>
      <w:tr w:rsidR="00610861" w:rsidRPr="00B65A78" w:rsidTr="00F94BA5">
        <w:trPr>
          <w:trHeight w:val="435"/>
        </w:trPr>
        <w:tc>
          <w:tcPr>
            <w:tcW w:w="2124" w:type="dxa"/>
            <w:tcBorders>
              <w:top w:val="nil"/>
              <w:left w:val="single" w:sz="12" w:space="0" w:color="auto"/>
              <w:bottom w:val="single" w:sz="8" w:space="0" w:color="auto"/>
              <w:right w:val="single" w:sz="8" w:space="0" w:color="auto"/>
            </w:tcBorders>
            <w:shd w:val="clear" w:color="000000" w:fill="BFBFBF"/>
            <w:vAlign w:val="center"/>
            <w:hideMark/>
          </w:tcPr>
          <w:p w:rsidR="00610861" w:rsidRPr="00B65A78" w:rsidRDefault="00610861" w:rsidP="00610861">
            <w:pPr>
              <w:keepNext/>
              <w:keepLines/>
              <w:widowControl/>
              <w:rPr>
                <w:rFonts w:ascii="Open Sans" w:hAnsi="Open Sans" w:cs="Open Sans"/>
                <w:sz w:val="14"/>
                <w:szCs w:val="14"/>
              </w:rPr>
            </w:pPr>
            <w:r w:rsidRPr="00B65A78">
              <w:rPr>
                <w:rFonts w:ascii="Open Sans" w:hAnsi="Open Sans" w:cs="Open Sans"/>
                <w:sz w:val="14"/>
                <w:szCs w:val="14"/>
              </w:rPr>
              <w:t>1. Katy VISA vydané v EU</w:t>
            </w:r>
          </w:p>
        </w:tc>
        <w:tc>
          <w:tcPr>
            <w:tcW w:w="1167" w:type="dxa"/>
            <w:tcBorders>
              <w:top w:val="nil"/>
              <w:left w:val="nil"/>
              <w:bottom w:val="single" w:sz="8" w:space="0" w:color="auto"/>
              <w:right w:val="single" w:sz="8" w:space="0" w:color="auto"/>
            </w:tcBorders>
            <w:shd w:val="clear" w:color="000000" w:fill="BFBFBF"/>
            <w:vAlign w:val="center"/>
            <w:hideMark/>
          </w:tcPr>
          <w:p w:rsidR="00610861" w:rsidRPr="00B65A78" w:rsidRDefault="00610861" w:rsidP="002437DB">
            <w:pPr>
              <w:keepNext/>
              <w:keepLines/>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c>
          <w:tcPr>
            <w:tcW w:w="1276" w:type="dxa"/>
            <w:tcBorders>
              <w:top w:val="nil"/>
              <w:left w:val="nil"/>
              <w:bottom w:val="single" w:sz="8" w:space="0" w:color="auto"/>
              <w:right w:val="single" w:sz="12" w:space="0" w:color="auto"/>
            </w:tcBorders>
            <w:shd w:val="clear" w:color="000000" w:fill="BFBFBF"/>
            <w:vAlign w:val="center"/>
            <w:hideMark/>
          </w:tcPr>
          <w:p w:rsidR="00610861" w:rsidRPr="00B65A78" w:rsidRDefault="00610861" w:rsidP="002437DB">
            <w:pPr>
              <w:keepNext/>
              <w:keepLines/>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c>
          <w:tcPr>
            <w:tcW w:w="280" w:type="dxa"/>
            <w:tcBorders>
              <w:top w:val="nil"/>
              <w:left w:val="nil"/>
              <w:bottom w:val="nil"/>
              <w:right w:val="nil"/>
            </w:tcBorders>
            <w:shd w:val="clear" w:color="auto" w:fill="auto"/>
            <w:vAlign w:val="bottom"/>
            <w:hideMark/>
          </w:tcPr>
          <w:p w:rsidR="00610861" w:rsidRPr="00B65A78" w:rsidRDefault="00610861" w:rsidP="00610861">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000000" w:fill="BFBFBF"/>
            <w:vAlign w:val="center"/>
            <w:hideMark/>
          </w:tcPr>
          <w:p w:rsidR="00610861" w:rsidRPr="00B65A78" w:rsidRDefault="00610861" w:rsidP="00610861">
            <w:pPr>
              <w:keepNext/>
              <w:keepLines/>
              <w:widowControl/>
              <w:rPr>
                <w:rFonts w:ascii="Open Sans" w:hAnsi="Open Sans" w:cs="Open Sans"/>
                <w:sz w:val="14"/>
                <w:szCs w:val="14"/>
              </w:rPr>
            </w:pPr>
            <w:r w:rsidRPr="00B65A78">
              <w:rPr>
                <w:rFonts w:ascii="Open Sans" w:hAnsi="Open Sans" w:cs="Open Sans"/>
                <w:sz w:val="14"/>
                <w:szCs w:val="14"/>
              </w:rPr>
              <w:t xml:space="preserve">5. Karty MASTERCARD vydané mimo území EU </w:t>
            </w:r>
          </w:p>
        </w:tc>
        <w:tc>
          <w:tcPr>
            <w:tcW w:w="1238" w:type="dxa"/>
            <w:tcBorders>
              <w:top w:val="nil"/>
              <w:left w:val="nil"/>
              <w:bottom w:val="single" w:sz="8" w:space="0" w:color="auto"/>
              <w:right w:val="single" w:sz="8" w:space="0" w:color="auto"/>
            </w:tcBorders>
            <w:shd w:val="clear" w:color="000000" w:fill="BFBFBF"/>
            <w:vAlign w:val="center"/>
            <w:hideMark/>
          </w:tcPr>
          <w:p w:rsidR="00610861" w:rsidRPr="00B65A78" w:rsidRDefault="00610861" w:rsidP="002437DB">
            <w:pPr>
              <w:keepNext/>
              <w:keepLines/>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c>
          <w:tcPr>
            <w:tcW w:w="1313" w:type="dxa"/>
            <w:tcBorders>
              <w:top w:val="nil"/>
              <w:left w:val="nil"/>
              <w:bottom w:val="single" w:sz="8" w:space="0" w:color="auto"/>
              <w:right w:val="single" w:sz="12" w:space="0" w:color="auto"/>
            </w:tcBorders>
            <w:shd w:val="clear" w:color="000000" w:fill="BFBFBF"/>
            <w:vAlign w:val="center"/>
            <w:hideMark/>
          </w:tcPr>
          <w:p w:rsidR="00610861" w:rsidRPr="00B65A78" w:rsidRDefault="00610861" w:rsidP="002437DB">
            <w:pPr>
              <w:keepNext/>
              <w:keepLines/>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r>
      <w:tr w:rsidR="00D23B7C" w:rsidRPr="00B65A78" w:rsidTr="00082100">
        <w:trPr>
          <w:trHeight w:val="410"/>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1.1 Spotřebitelské kreditní karty </w:t>
            </w:r>
          </w:p>
        </w:tc>
        <w:tc>
          <w:tcPr>
            <w:tcW w:w="1167" w:type="dxa"/>
            <w:tcBorders>
              <w:top w:val="nil"/>
              <w:left w:val="nil"/>
              <w:bottom w:val="single" w:sz="8" w:space="0" w:color="auto"/>
              <w:right w:val="single" w:sz="8" w:space="0" w:color="auto"/>
            </w:tcBorders>
            <w:shd w:val="clear" w:color="auto" w:fill="auto"/>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5.1 Spotřebitelské kreditní karty</w:t>
            </w:r>
          </w:p>
        </w:tc>
        <w:tc>
          <w:tcPr>
            <w:tcW w:w="1238" w:type="dxa"/>
            <w:tcBorders>
              <w:top w:val="nil"/>
              <w:left w:val="nil"/>
              <w:bottom w:val="single" w:sz="8" w:space="0" w:color="auto"/>
              <w:right w:val="single" w:sz="8" w:space="0" w:color="auto"/>
            </w:tcBorders>
            <w:shd w:val="clear" w:color="auto" w:fill="auto"/>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313"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r>
      <w:tr w:rsidR="00D23B7C" w:rsidRPr="00B65A78" w:rsidTr="00A5191D">
        <w:trPr>
          <w:trHeight w:val="389"/>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1.2 Spotřebitelské debetní karty </w:t>
            </w:r>
          </w:p>
        </w:tc>
        <w:tc>
          <w:tcPr>
            <w:tcW w:w="1167"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5.2 Spotřebitelské debetní karty</w:t>
            </w:r>
          </w:p>
        </w:tc>
        <w:tc>
          <w:tcPr>
            <w:tcW w:w="1238"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313"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r>
      <w:tr w:rsidR="00D23B7C" w:rsidRPr="00B65A78" w:rsidTr="00A5191D">
        <w:trPr>
          <w:trHeight w:val="352"/>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1.3. Komerční (obchodní) karty</w:t>
            </w:r>
          </w:p>
        </w:tc>
        <w:tc>
          <w:tcPr>
            <w:tcW w:w="1167"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5.3. Komerční (obchodní) karty</w:t>
            </w:r>
          </w:p>
        </w:tc>
        <w:tc>
          <w:tcPr>
            <w:tcW w:w="1238"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313"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r>
      <w:tr w:rsidR="00D23B7C" w:rsidRPr="00B65A78" w:rsidTr="00082100">
        <w:trPr>
          <w:trHeight w:val="435"/>
        </w:trPr>
        <w:tc>
          <w:tcPr>
            <w:tcW w:w="2124" w:type="dxa"/>
            <w:tcBorders>
              <w:top w:val="nil"/>
              <w:left w:val="single" w:sz="12" w:space="0" w:color="auto"/>
              <w:bottom w:val="single" w:sz="8" w:space="0" w:color="auto"/>
              <w:right w:val="single" w:sz="8" w:space="0" w:color="auto"/>
            </w:tcBorders>
            <w:shd w:val="clear" w:color="000000" w:fill="BFBFBF"/>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2. Karty VISA vydané mimo území EU </w:t>
            </w:r>
          </w:p>
        </w:tc>
        <w:tc>
          <w:tcPr>
            <w:tcW w:w="1167" w:type="dxa"/>
            <w:tcBorders>
              <w:top w:val="nil"/>
              <w:left w:val="nil"/>
              <w:bottom w:val="single" w:sz="8" w:space="0" w:color="auto"/>
              <w:right w:val="single" w:sz="8" w:space="0" w:color="auto"/>
            </w:tcBorders>
            <w:shd w:val="clear" w:color="000000" w:fill="BFBFBF"/>
            <w:vAlign w:val="center"/>
          </w:tcPr>
          <w:p w:rsidR="00D23B7C" w:rsidRPr="00B65A78" w:rsidRDefault="00D23B7C" w:rsidP="00D23B7C">
            <w:pPr>
              <w:keepNext/>
              <w:keepLines/>
              <w:jc w:val="center"/>
              <w:rPr>
                <w:rFonts w:ascii="Open Sans" w:hAnsi="Open Sans" w:cs="Open Sans"/>
                <w:sz w:val="14"/>
                <w:szCs w:val="14"/>
              </w:rPr>
            </w:pPr>
          </w:p>
        </w:tc>
        <w:tc>
          <w:tcPr>
            <w:tcW w:w="1276" w:type="dxa"/>
            <w:tcBorders>
              <w:top w:val="nil"/>
              <w:left w:val="nil"/>
              <w:bottom w:val="single" w:sz="8" w:space="0" w:color="auto"/>
              <w:right w:val="single" w:sz="12" w:space="0" w:color="auto"/>
            </w:tcBorders>
            <w:shd w:val="clear" w:color="000000" w:fill="BFBFBF"/>
            <w:vAlign w:val="center"/>
            <w:hideMark/>
          </w:tcPr>
          <w:p w:rsidR="00D23B7C" w:rsidRPr="00B65A78" w:rsidRDefault="00D23B7C" w:rsidP="00D23B7C">
            <w:pPr>
              <w:keepNext/>
              <w:keepLines/>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12"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5.4 Maestro</w:t>
            </w:r>
          </w:p>
        </w:tc>
        <w:tc>
          <w:tcPr>
            <w:tcW w:w="1238" w:type="dxa"/>
            <w:tcBorders>
              <w:top w:val="nil"/>
              <w:left w:val="nil"/>
              <w:bottom w:val="single" w:sz="12" w:space="0" w:color="auto"/>
              <w:right w:val="single" w:sz="8" w:space="0" w:color="auto"/>
            </w:tcBorders>
            <w:shd w:val="clear" w:color="auto" w:fill="auto"/>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313" w:type="dxa"/>
            <w:tcBorders>
              <w:top w:val="nil"/>
              <w:left w:val="nil"/>
              <w:bottom w:val="single" w:sz="12"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r>
      <w:tr w:rsidR="00D23B7C" w:rsidRPr="00B65A78" w:rsidTr="00407661">
        <w:trPr>
          <w:trHeight w:val="312"/>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2.1 Spotřebitelské kreditní karty</w:t>
            </w:r>
          </w:p>
        </w:tc>
        <w:tc>
          <w:tcPr>
            <w:tcW w:w="1167" w:type="dxa"/>
            <w:tcBorders>
              <w:top w:val="nil"/>
              <w:left w:val="nil"/>
              <w:bottom w:val="single" w:sz="8" w:space="0" w:color="auto"/>
              <w:right w:val="single" w:sz="8" w:space="0" w:color="auto"/>
            </w:tcBorders>
            <w:shd w:val="clear" w:color="auto" w:fill="auto"/>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FFFFFF" w:themeFill="background1"/>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5.5 </w:t>
            </w:r>
            <w:proofErr w:type="spellStart"/>
            <w:r w:rsidRPr="00B65A78">
              <w:rPr>
                <w:rFonts w:ascii="Open Sans" w:hAnsi="Open Sans" w:cs="Open Sans"/>
                <w:sz w:val="14"/>
                <w:szCs w:val="14"/>
              </w:rPr>
              <w:t>Mastercard</w:t>
            </w:r>
            <w:proofErr w:type="spellEnd"/>
            <w:r w:rsidRPr="00B65A78">
              <w:rPr>
                <w:rFonts w:ascii="Open Sans" w:hAnsi="Open Sans" w:cs="Open Sans"/>
                <w:sz w:val="14"/>
                <w:szCs w:val="14"/>
              </w:rPr>
              <w:t xml:space="preserve"> </w:t>
            </w:r>
            <w:proofErr w:type="spellStart"/>
            <w:r w:rsidRPr="00B65A78">
              <w:rPr>
                <w:rFonts w:ascii="Open Sans" w:hAnsi="Open Sans" w:cs="Open Sans"/>
                <w:sz w:val="14"/>
                <w:szCs w:val="14"/>
              </w:rPr>
              <w:t>Global</w:t>
            </w:r>
            <w:proofErr w:type="spellEnd"/>
            <w:r w:rsidRPr="00B65A78">
              <w:rPr>
                <w:rFonts w:ascii="Open Sans" w:hAnsi="Open Sans" w:cs="Open Sans"/>
                <w:sz w:val="14"/>
                <w:szCs w:val="14"/>
              </w:rPr>
              <w:t xml:space="preserve"> Wholesale </w:t>
            </w:r>
            <w:proofErr w:type="spellStart"/>
            <w:r w:rsidRPr="00B65A78">
              <w:rPr>
                <w:rFonts w:ascii="Open Sans" w:hAnsi="Open Sans" w:cs="Open Sans"/>
                <w:sz w:val="14"/>
                <w:szCs w:val="14"/>
              </w:rPr>
              <w:t>Travel</w:t>
            </w:r>
            <w:proofErr w:type="spellEnd"/>
            <w:r w:rsidRPr="00B65A78">
              <w:rPr>
                <w:rFonts w:ascii="Open Sans" w:hAnsi="Open Sans" w:cs="Open Sans"/>
                <w:sz w:val="14"/>
                <w:szCs w:val="14"/>
              </w:rPr>
              <w:t xml:space="preserve"> Program</w:t>
            </w:r>
          </w:p>
        </w:tc>
        <w:tc>
          <w:tcPr>
            <w:tcW w:w="1238" w:type="dxa"/>
            <w:tcBorders>
              <w:top w:val="nil"/>
              <w:left w:val="nil"/>
              <w:bottom w:val="single" w:sz="8" w:space="0" w:color="auto"/>
              <w:right w:val="single" w:sz="8" w:space="0" w:color="auto"/>
            </w:tcBorders>
            <w:shd w:val="clear" w:color="auto" w:fill="FFFFFF" w:themeFill="background1"/>
            <w:vAlign w:val="center"/>
          </w:tcPr>
          <w:p w:rsidR="00D23B7C" w:rsidRPr="00E76F9C" w:rsidRDefault="00D23B7C" w:rsidP="00D23B7C">
            <w:pPr>
              <w:keepNext/>
              <w:keepLines/>
              <w:jc w:val="center"/>
              <w:rPr>
                <w:rFonts w:ascii="Open Sans" w:hAnsi="Open Sans" w:cs="Open Sans"/>
                <w:b/>
                <w:bCs/>
                <w:sz w:val="16"/>
                <w:szCs w:val="16"/>
              </w:rPr>
            </w:pPr>
          </w:p>
        </w:tc>
        <w:tc>
          <w:tcPr>
            <w:tcW w:w="1313" w:type="dxa"/>
            <w:tcBorders>
              <w:top w:val="nil"/>
              <w:left w:val="nil"/>
              <w:bottom w:val="single" w:sz="8" w:space="0" w:color="auto"/>
              <w:right w:val="single" w:sz="12" w:space="0" w:color="auto"/>
            </w:tcBorders>
            <w:shd w:val="clear" w:color="auto" w:fill="FFFFFF" w:themeFill="background1"/>
            <w:vAlign w:val="center"/>
            <w:hideMark/>
          </w:tcPr>
          <w:p w:rsidR="00D23B7C" w:rsidRPr="00B53909" w:rsidRDefault="00D23B7C" w:rsidP="00D23B7C">
            <w:pPr>
              <w:keepNext/>
              <w:keepLines/>
              <w:jc w:val="center"/>
              <w:rPr>
                <w:rFonts w:ascii="Open Sans" w:hAnsi="Open Sans" w:cs="Open Sans"/>
                <w:sz w:val="16"/>
                <w:szCs w:val="16"/>
              </w:rPr>
            </w:pPr>
            <w:r w:rsidRPr="00E76F9C">
              <w:rPr>
                <w:rFonts w:ascii="Open Sans" w:hAnsi="Open Sans" w:cs="Open Sans"/>
                <w:b/>
                <w:bCs/>
                <w:szCs w:val="16"/>
              </w:rPr>
              <w:t>-</w:t>
            </w:r>
          </w:p>
        </w:tc>
      </w:tr>
      <w:tr w:rsidR="00D23B7C" w:rsidRPr="00B65A78" w:rsidTr="00A5191D">
        <w:trPr>
          <w:trHeight w:val="435"/>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2.2 Spotřebitelské debetní karty</w:t>
            </w:r>
          </w:p>
        </w:tc>
        <w:tc>
          <w:tcPr>
            <w:tcW w:w="1167"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BFBFBF" w:themeFill="background1" w:themeFillShade="BF"/>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6. Karty MASTERCARD vydané v České republice </w:t>
            </w:r>
          </w:p>
        </w:tc>
        <w:tc>
          <w:tcPr>
            <w:tcW w:w="1238" w:type="dxa"/>
            <w:tcBorders>
              <w:top w:val="nil"/>
              <w:left w:val="nil"/>
              <w:bottom w:val="single" w:sz="8" w:space="0" w:color="auto"/>
              <w:right w:val="single" w:sz="8" w:space="0" w:color="auto"/>
            </w:tcBorders>
            <w:shd w:val="clear" w:color="auto" w:fill="BFBFBF" w:themeFill="background1" w:themeFillShade="BF"/>
            <w:vAlign w:val="center"/>
          </w:tcPr>
          <w:p w:rsidR="00D23B7C" w:rsidRPr="00B65A78" w:rsidRDefault="00D23B7C" w:rsidP="00D23B7C">
            <w:pPr>
              <w:keepNext/>
              <w:keepLines/>
              <w:widowControl/>
              <w:jc w:val="center"/>
              <w:rPr>
                <w:rFonts w:ascii="Open Sans" w:hAnsi="Open Sans" w:cs="Open Sans"/>
                <w:sz w:val="14"/>
                <w:szCs w:val="14"/>
              </w:rPr>
            </w:pPr>
          </w:p>
        </w:tc>
        <w:tc>
          <w:tcPr>
            <w:tcW w:w="1313" w:type="dxa"/>
            <w:tcBorders>
              <w:top w:val="nil"/>
              <w:left w:val="nil"/>
              <w:bottom w:val="single" w:sz="8" w:space="0" w:color="auto"/>
              <w:right w:val="single" w:sz="12" w:space="0" w:color="auto"/>
            </w:tcBorders>
            <w:shd w:val="clear" w:color="auto" w:fill="BFBFBF" w:themeFill="background1" w:themeFillShade="BF"/>
            <w:vAlign w:val="center"/>
            <w:hideMark/>
          </w:tcPr>
          <w:p w:rsidR="00D23B7C" w:rsidRPr="00B65A78" w:rsidRDefault="00D23B7C" w:rsidP="00D23B7C">
            <w:pPr>
              <w:keepNext/>
              <w:keepLines/>
              <w:widowControl/>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r>
      <w:tr w:rsidR="00D23B7C" w:rsidRPr="00B65A78" w:rsidTr="00240C73">
        <w:trPr>
          <w:trHeight w:val="435"/>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2.3. Komerční (obchodní) karty</w:t>
            </w:r>
          </w:p>
        </w:tc>
        <w:tc>
          <w:tcPr>
            <w:tcW w:w="1167"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FFFFFF" w:themeFill="background1"/>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6.1 Spotřebitelské kreditní karty </w:t>
            </w:r>
          </w:p>
        </w:tc>
        <w:tc>
          <w:tcPr>
            <w:tcW w:w="1238" w:type="dxa"/>
            <w:tcBorders>
              <w:top w:val="nil"/>
              <w:left w:val="nil"/>
              <w:bottom w:val="single" w:sz="8" w:space="0" w:color="auto"/>
              <w:right w:val="single" w:sz="8" w:space="0" w:color="auto"/>
            </w:tcBorders>
            <w:shd w:val="clear" w:color="auto" w:fill="FFFFFF" w:themeFill="background1"/>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313" w:type="dxa"/>
            <w:tcBorders>
              <w:top w:val="nil"/>
              <w:left w:val="nil"/>
              <w:bottom w:val="single" w:sz="8" w:space="0" w:color="auto"/>
              <w:right w:val="single" w:sz="12" w:space="0" w:color="auto"/>
            </w:tcBorders>
            <w:shd w:val="clear" w:color="auto" w:fill="FFFFFF" w:themeFill="background1"/>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r>
      <w:tr w:rsidR="00D23B7C" w:rsidRPr="00B65A78" w:rsidTr="00A5191D">
        <w:trPr>
          <w:trHeight w:val="435"/>
        </w:trPr>
        <w:tc>
          <w:tcPr>
            <w:tcW w:w="2124" w:type="dxa"/>
            <w:tcBorders>
              <w:top w:val="nil"/>
              <w:left w:val="single" w:sz="12" w:space="0" w:color="auto"/>
              <w:bottom w:val="single" w:sz="8" w:space="0" w:color="auto"/>
              <w:right w:val="single" w:sz="8" w:space="0" w:color="auto"/>
            </w:tcBorders>
            <w:shd w:val="clear" w:color="000000" w:fill="BFBFBF"/>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3. Karty VISA vydané v České republice </w:t>
            </w:r>
          </w:p>
        </w:tc>
        <w:tc>
          <w:tcPr>
            <w:tcW w:w="1167" w:type="dxa"/>
            <w:tcBorders>
              <w:top w:val="nil"/>
              <w:left w:val="nil"/>
              <w:bottom w:val="single" w:sz="8" w:space="0" w:color="auto"/>
              <w:right w:val="single" w:sz="8" w:space="0" w:color="auto"/>
            </w:tcBorders>
            <w:shd w:val="clear" w:color="000000" w:fill="BFBFBF"/>
            <w:vAlign w:val="center"/>
          </w:tcPr>
          <w:p w:rsidR="00D23B7C" w:rsidRPr="00B65A78" w:rsidRDefault="00D23B7C" w:rsidP="00D23B7C">
            <w:pPr>
              <w:keepNext/>
              <w:keepLines/>
              <w:jc w:val="center"/>
              <w:rPr>
                <w:rFonts w:ascii="Open Sans" w:hAnsi="Open Sans" w:cs="Open Sans"/>
                <w:sz w:val="14"/>
                <w:szCs w:val="14"/>
              </w:rPr>
            </w:pPr>
          </w:p>
        </w:tc>
        <w:tc>
          <w:tcPr>
            <w:tcW w:w="1276" w:type="dxa"/>
            <w:tcBorders>
              <w:top w:val="nil"/>
              <w:left w:val="nil"/>
              <w:bottom w:val="single" w:sz="8" w:space="0" w:color="auto"/>
              <w:right w:val="single" w:sz="12" w:space="0" w:color="auto"/>
            </w:tcBorders>
            <w:shd w:val="clear" w:color="000000" w:fill="BFBFBF"/>
            <w:vAlign w:val="center"/>
            <w:hideMark/>
          </w:tcPr>
          <w:p w:rsidR="00D23B7C" w:rsidRPr="00B65A78" w:rsidRDefault="00D23B7C" w:rsidP="00D23B7C">
            <w:pPr>
              <w:keepNext/>
              <w:keepLines/>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6.2 Spotřebitelské debetní karty </w:t>
            </w:r>
          </w:p>
        </w:tc>
        <w:tc>
          <w:tcPr>
            <w:tcW w:w="1238"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313"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r>
      <w:tr w:rsidR="00D23B7C" w:rsidRPr="00B65A78" w:rsidTr="00CA5B87">
        <w:trPr>
          <w:trHeight w:val="390"/>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3.1 Spotřebitelské kreditní karty</w:t>
            </w:r>
          </w:p>
        </w:tc>
        <w:tc>
          <w:tcPr>
            <w:tcW w:w="1167" w:type="dxa"/>
            <w:tcBorders>
              <w:top w:val="nil"/>
              <w:left w:val="nil"/>
              <w:bottom w:val="single" w:sz="8" w:space="0" w:color="auto"/>
              <w:right w:val="single" w:sz="8" w:space="0" w:color="auto"/>
            </w:tcBorders>
            <w:shd w:val="clear" w:color="auto" w:fill="auto"/>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6.3. Komerční (obchodní) karty </w:t>
            </w:r>
          </w:p>
        </w:tc>
        <w:tc>
          <w:tcPr>
            <w:tcW w:w="1238"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313"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r>
      <w:tr w:rsidR="00D23B7C" w:rsidRPr="00B65A78" w:rsidTr="00240C73">
        <w:trPr>
          <w:trHeight w:val="435"/>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3.2 Spotřebitelské debetní karty</w:t>
            </w:r>
          </w:p>
        </w:tc>
        <w:tc>
          <w:tcPr>
            <w:tcW w:w="1167"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FFFFFF" w:themeFill="background1"/>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6.4 Maestro </w:t>
            </w:r>
          </w:p>
        </w:tc>
        <w:tc>
          <w:tcPr>
            <w:tcW w:w="1238" w:type="dxa"/>
            <w:tcBorders>
              <w:top w:val="nil"/>
              <w:left w:val="nil"/>
              <w:bottom w:val="single" w:sz="8" w:space="0" w:color="auto"/>
              <w:right w:val="single" w:sz="8" w:space="0" w:color="auto"/>
            </w:tcBorders>
            <w:shd w:val="clear" w:color="auto" w:fill="FFFFFF" w:themeFill="background1"/>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313" w:type="dxa"/>
            <w:tcBorders>
              <w:top w:val="nil"/>
              <w:left w:val="nil"/>
              <w:bottom w:val="single" w:sz="8" w:space="0" w:color="auto"/>
              <w:right w:val="single" w:sz="12" w:space="0" w:color="auto"/>
            </w:tcBorders>
            <w:shd w:val="clear" w:color="auto" w:fill="FFFFFF" w:themeFill="background1"/>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r>
      <w:tr w:rsidR="00D23B7C" w:rsidRPr="00B65A78" w:rsidTr="00240C73">
        <w:trPr>
          <w:trHeight w:val="374"/>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3.3. Komerční (obchodní) karty</w:t>
            </w:r>
          </w:p>
        </w:tc>
        <w:tc>
          <w:tcPr>
            <w:tcW w:w="1167"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FFFFFF" w:themeFill="background1"/>
            <w:vAlign w:val="center"/>
            <w:hideMark/>
          </w:tcPr>
          <w:p w:rsidR="00D23B7C" w:rsidRPr="00B65A78" w:rsidRDefault="00D23B7C" w:rsidP="00D23B7C">
            <w:pPr>
              <w:keepNext/>
              <w:keepLines/>
              <w:widowControl/>
              <w:rPr>
                <w:rFonts w:ascii="Open Sans" w:hAnsi="Open Sans" w:cs="Open Sans"/>
                <w:sz w:val="14"/>
                <w:szCs w:val="14"/>
              </w:rPr>
            </w:pPr>
            <w:r>
              <w:rPr>
                <w:rFonts w:ascii="Open Sans" w:hAnsi="Open Sans" w:cs="Open Sans"/>
                <w:sz w:val="14"/>
                <w:szCs w:val="14"/>
              </w:rPr>
              <w:t xml:space="preserve">6.5. </w:t>
            </w:r>
            <w:proofErr w:type="spellStart"/>
            <w:r w:rsidRPr="00B65A78">
              <w:rPr>
                <w:rFonts w:ascii="Open Sans" w:hAnsi="Open Sans" w:cs="Open Sans"/>
                <w:sz w:val="14"/>
                <w:szCs w:val="14"/>
              </w:rPr>
              <w:t>Mastercard</w:t>
            </w:r>
            <w:proofErr w:type="spellEnd"/>
            <w:r w:rsidRPr="00B65A78">
              <w:rPr>
                <w:rFonts w:ascii="Open Sans" w:hAnsi="Open Sans" w:cs="Open Sans"/>
                <w:sz w:val="14"/>
                <w:szCs w:val="14"/>
              </w:rPr>
              <w:t xml:space="preserve"> </w:t>
            </w:r>
            <w:proofErr w:type="spellStart"/>
            <w:r w:rsidRPr="00B65A78">
              <w:rPr>
                <w:rFonts w:ascii="Open Sans" w:hAnsi="Open Sans" w:cs="Open Sans"/>
                <w:sz w:val="14"/>
                <w:szCs w:val="14"/>
              </w:rPr>
              <w:t>Global</w:t>
            </w:r>
            <w:proofErr w:type="spellEnd"/>
            <w:r w:rsidRPr="00B65A78">
              <w:rPr>
                <w:rFonts w:ascii="Open Sans" w:hAnsi="Open Sans" w:cs="Open Sans"/>
                <w:sz w:val="14"/>
                <w:szCs w:val="14"/>
              </w:rPr>
              <w:t xml:space="preserve"> Wholesale </w:t>
            </w:r>
            <w:proofErr w:type="spellStart"/>
            <w:r w:rsidRPr="00B65A78">
              <w:rPr>
                <w:rFonts w:ascii="Open Sans" w:hAnsi="Open Sans" w:cs="Open Sans"/>
                <w:sz w:val="14"/>
                <w:szCs w:val="14"/>
              </w:rPr>
              <w:t>Travel</w:t>
            </w:r>
            <w:proofErr w:type="spellEnd"/>
            <w:r w:rsidRPr="00B65A78">
              <w:rPr>
                <w:rFonts w:ascii="Open Sans" w:hAnsi="Open Sans" w:cs="Open Sans"/>
                <w:sz w:val="14"/>
                <w:szCs w:val="14"/>
              </w:rPr>
              <w:t xml:space="preserve"> Program</w:t>
            </w:r>
          </w:p>
        </w:tc>
        <w:tc>
          <w:tcPr>
            <w:tcW w:w="1238" w:type="dxa"/>
            <w:tcBorders>
              <w:top w:val="nil"/>
              <w:left w:val="nil"/>
              <w:bottom w:val="single" w:sz="8" w:space="0" w:color="auto"/>
              <w:right w:val="single" w:sz="8" w:space="0" w:color="auto"/>
            </w:tcBorders>
            <w:shd w:val="clear" w:color="auto" w:fill="FFFFFF" w:themeFill="background1"/>
          </w:tcPr>
          <w:p w:rsidR="00D23B7C" w:rsidRDefault="00D23B7C" w:rsidP="00D23B7C">
            <w:pPr>
              <w:jc w:val="center"/>
            </w:pPr>
            <w:r>
              <w:rPr>
                <w:rFonts w:ascii="Open Sans" w:hAnsi="Open Sans" w:cs="Open Sans"/>
                <w:sz w:val="14"/>
                <w:szCs w:val="14"/>
              </w:rPr>
              <w:t>1,15</w:t>
            </w:r>
          </w:p>
        </w:tc>
        <w:tc>
          <w:tcPr>
            <w:tcW w:w="1313" w:type="dxa"/>
            <w:tcBorders>
              <w:top w:val="nil"/>
              <w:left w:val="nil"/>
              <w:bottom w:val="single" w:sz="8" w:space="0" w:color="auto"/>
              <w:right w:val="single" w:sz="12" w:space="0" w:color="auto"/>
            </w:tcBorders>
            <w:shd w:val="clear" w:color="auto" w:fill="FFFFFF" w:themeFill="background1"/>
            <w:vAlign w:val="center"/>
            <w:hideMark/>
          </w:tcPr>
          <w:p w:rsidR="00D23B7C" w:rsidRPr="00B53909" w:rsidRDefault="00D23B7C" w:rsidP="00D23B7C">
            <w:pPr>
              <w:keepNext/>
              <w:keepLines/>
              <w:jc w:val="center"/>
              <w:rPr>
                <w:rFonts w:ascii="Open Sans" w:hAnsi="Open Sans" w:cs="Open Sans"/>
                <w:sz w:val="16"/>
                <w:szCs w:val="16"/>
              </w:rPr>
            </w:pPr>
            <w:r w:rsidRPr="00E76F9C">
              <w:rPr>
                <w:rFonts w:ascii="Open Sans" w:hAnsi="Open Sans" w:cs="Open Sans"/>
                <w:b/>
                <w:bCs/>
                <w:szCs w:val="16"/>
              </w:rPr>
              <w:t>-</w:t>
            </w:r>
          </w:p>
        </w:tc>
      </w:tr>
      <w:tr w:rsidR="00D23B7C" w:rsidRPr="00B65A78" w:rsidTr="00A5191D">
        <w:trPr>
          <w:trHeight w:val="435"/>
        </w:trPr>
        <w:tc>
          <w:tcPr>
            <w:tcW w:w="2124" w:type="dxa"/>
            <w:tcBorders>
              <w:top w:val="nil"/>
              <w:left w:val="single" w:sz="12" w:space="0" w:color="auto"/>
              <w:bottom w:val="single" w:sz="8" w:space="0" w:color="auto"/>
              <w:right w:val="single" w:sz="8" w:space="0" w:color="auto"/>
            </w:tcBorders>
            <w:shd w:val="clear" w:color="000000" w:fill="BFBFBF"/>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 xml:space="preserve">4. Katy MASTERCARD vydané v EU </w:t>
            </w:r>
          </w:p>
        </w:tc>
        <w:tc>
          <w:tcPr>
            <w:tcW w:w="1167" w:type="dxa"/>
            <w:tcBorders>
              <w:top w:val="nil"/>
              <w:left w:val="nil"/>
              <w:bottom w:val="single" w:sz="8" w:space="0" w:color="auto"/>
              <w:right w:val="single" w:sz="8" w:space="0" w:color="auto"/>
            </w:tcBorders>
            <w:shd w:val="clear" w:color="000000" w:fill="BFBFBF"/>
            <w:vAlign w:val="center"/>
          </w:tcPr>
          <w:p w:rsidR="00D23B7C" w:rsidRPr="00B65A78" w:rsidRDefault="00D23B7C" w:rsidP="00D23B7C">
            <w:pPr>
              <w:keepNext/>
              <w:keepLines/>
              <w:widowControl/>
              <w:jc w:val="center"/>
              <w:rPr>
                <w:rFonts w:ascii="Open Sans" w:hAnsi="Open Sans" w:cs="Open Sans"/>
                <w:sz w:val="14"/>
                <w:szCs w:val="14"/>
              </w:rPr>
            </w:pPr>
          </w:p>
        </w:tc>
        <w:tc>
          <w:tcPr>
            <w:tcW w:w="1276" w:type="dxa"/>
            <w:tcBorders>
              <w:top w:val="nil"/>
              <w:left w:val="nil"/>
              <w:bottom w:val="single" w:sz="8" w:space="0" w:color="auto"/>
              <w:right w:val="single" w:sz="12" w:space="0" w:color="auto"/>
            </w:tcBorders>
            <w:shd w:val="clear" w:color="000000" w:fill="BFBFBF"/>
            <w:vAlign w:val="center"/>
            <w:hideMark/>
          </w:tcPr>
          <w:p w:rsidR="00D23B7C" w:rsidRPr="00B65A78" w:rsidRDefault="00D23B7C" w:rsidP="00D23B7C">
            <w:pPr>
              <w:keepNext/>
              <w:keepLines/>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BFBFBF" w:themeFill="background1" w:themeFillShade="BF"/>
            <w:vAlign w:val="center"/>
            <w:hideMark/>
          </w:tcPr>
          <w:p w:rsidR="00D23B7C" w:rsidRPr="00B53909" w:rsidRDefault="00D23B7C" w:rsidP="00D23B7C">
            <w:pPr>
              <w:keepNext/>
              <w:keepLines/>
              <w:rPr>
                <w:rFonts w:ascii="Open Sans" w:hAnsi="Open Sans" w:cs="Open Sans"/>
                <w:sz w:val="16"/>
                <w:szCs w:val="16"/>
              </w:rPr>
            </w:pPr>
            <w:r>
              <w:rPr>
                <w:rFonts w:ascii="Open Sans" w:hAnsi="Open Sans" w:cs="Open Sans"/>
                <w:sz w:val="16"/>
                <w:szCs w:val="16"/>
              </w:rPr>
              <w:t>7</w:t>
            </w:r>
            <w:r w:rsidRPr="00791BA3">
              <w:rPr>
                <w:rFonts w:ascii="Open Sans" w:hAnsi="Open Sans" w:cs="Open Sans"/>
                <w:sz w:val="14"/>
                <w:szCs w:val="14"/>
              </w:rPr>
              <w:t>. Katy DINERS CLUB</w:t>
            </w:r>
            <w:r w:rsidRPr="00B53909">
              <w:rPr>
                <w:rFonts w:ascii="Open Sans" w:hAnsi="Open Sans" w:cs="Open Sans"/>
                <w:sz w:val="16"/>
                <w:szCs w:val="16"/>
              </w:rPr>
              <w:t xml:space="preserve"> </w:t>
            </w:r>
          </w:p>
        </w:tc>
        <w:tc>
          <w:tcPr>
            <w:tcW w:w="1238" w:type="dxa"/>
            <w:tcBorders>
              <w:top w:val="nil"/>
              <w:left w:val="nil"/>
              <w:bottom w:val="single" w:sz="8" w:space="0" w:color="auto"/>
              <w:right w:val="single" w:sz="8" w:space="0" w:color="auto"/>
            </w:tcBorders>
            <w:shd w:val="clear" w:color="auto" w:fill="BFBFBF" w:themeFill="background1" w:themeFillShade="BF"/>
            <w:vAlign w:val="center"/>
            <w:hideMark/>
          </w:tcPr>
          <w:p w:rsidR="00D23B7C" w:rsidRPr="00B53909" w:rsidRDefault="00D23B7C" w:rsidP="00D23B7C">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1313" w:type="dxa"/>
            <w:tcBorders>
              <w:top w:val="nil"/>
              <w:left w:val="nil"/>
              <w:bottom w:val="single" w:sz="8" w:space="0" w:color="auto"/>
              <w:right w:val="single" w:sz="12" w:space="0" w:color="auto"/>
            </w:tcBorders>
            <w:shd w:val="clear" w:color="auto" w:fill="BFBFBF" w:themeFill="background1" w:themeFillShade="BF"/>
            <w:vAlign w:val="center"/>
            <w:hideMark/>
          </w:tcPr>
          <w:p w:rsidR="00D23B7C" w:rsidRPr="00B65A78" w:rsidRDefault="00D23B7C" w:rsidP="00D23B7C">
            <w:pPr>
              <w:keepNext/>
              <w:keepLines/>
              <w:widowControl/>
              <w:jc w:val="center"/>
              <w:rPr>
                <w:rFonts w:ascii="Open Sans" w:hAnsi="Open Sans" w:cs="Open Sans"/>
                <w:sz w:val="14"/>
                <w:szCs w:val="14"/>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r>
      <w:tr w:rsidR="00D23B7C" w:rsidRPr="00B65A78" w:rsidTr="001774AD">
        <w:trPr>
          <w:trHeight w:val="435"/>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4.1 Spotřebitelské kreditní karty</w:t>
            </w:r>
          </w:p>
        </w:tc>
        <w:tc>
          <w:tcPr>
            <w:tcW w:w="1167" w:type="dxa"/>
            <w:tcBorders>
              <w:top w:val="nil"/>
              <w:left w:val="nil"/>
              <w:bottom w:val="single" w:sz="8" w:space="0" w:color="auto"/>
              <w:right w:val="single" w:sz="8" w:space="0" w:color="auto"/>
            </w:tcBorders>
            <w:shd w:val="clear" w:color="auto" w:fill="auto"/>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nil"/>
              <w:left w:val="single" w:sz="12" w:space="0" w:color="auto"/>
              <w:bottom w:val="single" w:sz="8" w:space="0" w:color="auto"/>
              <w:right w:val="single" w:sz="8" w:space="0" w:color="auto"/>
            </w:tcBorders>
            <w:shd w:val="clear" w:color="auto" w:fill="auto"/>
            <w:vAlign w:val="center"/>
            <w:hideMark/>
          </w:tcPr>
          <w:p w:rsidR="00D23B7C" w:rsidRPr="00791BA3" w:rsidRDefault="00D23B7C" w:rsidP="00D23B7C">
            <w:pPr>
              <w:keepNext/>
              <w:keepLines/>
              <w:widowControl/>
              <w:rPr>
                <w:rFonts w:ascii="Open Sans" w:hAnsi="Open Sans" w:cs="Open Sans"/>
                <w:sz w:val="14"/>
                <w:szCs w:val="14"/>
              </w:rPr>
            </w:pPr>
            <w:r>
              <w:rPr>
                <w:rFonts w:ascii="Open Sans" w:hAnsi="Open Sans" w:cs="Open Sans"/>
                <w:sz w:val="14"/>
                <w:szCs w:val="14"/>
              </w:rPr>
              <w:t xml:space="preserve">7.1 </w:t>
            </w:r>
            <w:r w:rsidRPr="00791BA3">
              <w:rPr>
                <w:rFonts w:ascii="Open Sans" w:hAnsi="Open Sans" w:cs="Open Sans"/>
                <w:sz w:val="14"/>
                <w:szCs w:val="14"/>
              </w:rPr>
              <w:t>U všech variant</w:t>
            </w:r>
          </w:p>
        </w:tc>
        <w:tc>
          <w:tcPr>
            <w:tcW w:w="1238" w:type="dxa"/>
            <w:tcBorders>
              <w:top w:val="nil"/>
              <w:left w:val="nil"/>
              <w:bottom w:val="single" w:sz="8" w:space="0" w:color="auto"/>
              <w:right w:val="single" w:sz="8" w:space="0" w:color="auto"/>
            </w:tcBorders>
            <w:shd w:val="clear" w:color="auto" w:fill="auto"/>
            <w:vAlign w:val="center"/>
            <w:hideMark/>
          </w:tcPr>
          <w:p w:rsidR="00D23B7C" w:rsidRPr="00456AF0" w:rsidRDefault="00875A42" w:rsidP="00D23B7C">
            <w:pPr>
              <w:keepNext/>
              <w:keepLines/>
              <w:jc w:val="center"/>
              <w:rPr>
                <w:rFonts w:ascii="Open Sans" w:hAnsi="Open Sans" w:cs="Open Sans"/>
                <w:sz w:val="16"/>
                <w:szCs w:val="16"/>
              </w:rPr>
            </w:pPr>
            <w:r>
              <w:rPr>
                <w:rFonts w:ascii="Open Sans" w:hAnsi="Open Sans" w:cs="Open Sans"/>
                <w:sz w:val="16"/>
                <w:szCs w:val="16"/>
              </w:rPr>
              <w:t>1,99</w:t>
            </w:r>
          </w:p>
        </w:tc>
        <w:tc>
          <w:tcPr>
            <w:tcW w:w="1313" w:type="dxa"/>
            <w:tcBorders>
              <w:top w:val="nil"/>
              <w:left w:val="nil"/>
              <w:bottom w:val="single" w:sz="8" w:space="0" w:color="auto"/>
              <w:right w:val="single" w:sz="12" w:space="0" w:color="auto"/>
            </w:tcBorders>
            <w:shd w:val="clear" w:color="auto" w:fill="auto"/>
            <w:vAlign w:val="center"/>
            <w:hideMark/>
          </w:tcPr>
          <w:p w:rsidR="00D23B7C" w:rsidRPr="00B84AE7" w:rsidRDefault="00D23B7C" w:rsidP="00D23B7C">
            <w:pPr>
              <w:keepNext/>
              <w:keepLines/>
              <w:jc w:val="center"/>
              <w:rPr>
                <w:rFonts w:ascii="Open Sans" w:hAnsi="Open Sans" w:cs="Open Sans"/>
                <w:bCs/>
                <w:sz w:val="16"/>
                <w:szCs w:val="16"/>
                <w:highlight w:val="yellow"/>
              </w:rPr>
            </w:pPr>
            <w:r w:rsidRPr="00E76F9C">
              <w:rPr>
                <w:rFonts w:ascii="Open Sans" w:hAnsi="Open Sans" w:cs="Open Sans"/>
                <w:b/>
                <w:bCs/>
                <w:szCs w:val="16"/>
              </w:rPr>
              <w:t>-</w:t>
            </w:r>
          </w:p>
        </w:tc>
      </w:tr>
      <w:tr w:rsidR="00D23B7C" w:rsidRPr="00B65A78" w:rsidTr="008156D7">
        <w:trPr>
          <w:trHeight w:val="350"/>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4.2 Spotřebitelské debetní karty</w:t>
            </w:r>
          </w:p>
        </w:tc>
        <w:tc>
          <w:tcPr>
            <w:tcW w:w="1167"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single" w:sz="8" w:space="0" w:color="auto"/>
              <w:left w:val="single" w:sz="12" w:space="0" w:color="auto"/>
              <w:bottom w:val="single" w:sz="8" w:space="0" w:color="auto"/>
              <w:right w:val="single" w:sz="8" w:space="0" w:color="auto"/>
            </w:tcBorders>
            <w:shd w:val="clear" w:color="auto" w:fill="BFBFBF" w:themeFill="background1" w:themeFillShade="BF"/>
            <w:vAlign w:val="center"/>
            <w:hideMark/>
          </w:tcPr>
          <w:p w:rsidR="00D23B7C" w:rsidRPr="00791BA3" w:rsidRDefault="00D23B7C" w:rsidP="00D23B7C">
            <w:pPr>
              <w:keepNext/>
              <w:keepLines/>
              <w:widowControl/>
              <w:rPr>
                <w:rFonts w:ascii="Open Sans" w:hAnsi="Open Sans" w:cs="Open Sans"/>
                <w:sz w:val="14"/>
                <w:szCs w:val="14"/>
              </w:rPr>
            </w:pPr>
            <w:r w:rsidRPr="00791BA3">
              <w:rPr>
                <w:rFonts w:ascii="Open Sans" w:hAnsi="Open Sans" w:cs="Open Sans"/>
                <w:sz w:val="14"/>
                <w:szCs w:val="14"/>
              </w:rPr>
              <w:t>8. Karty JCB</w:t>
            </w:r>
            <w:r>
              <w:rPr>
                <w:rFonts w:ascii="Open Sans" w:hAnsi="Open Sans" w:cs="Open Sans"/>
                <w:sz w:val="14"/>
                <w:szCs w:val="14"/>
              </w:rPr>
              <w:t xml:space="preserve"> /</w:t>
            </w:r>
            <w:r>
              <w:t xml:space="preserve"> </w:t>
            </w:r>
            <w:proofErr w:type="spellStart"/>
            <w:r w:rsidRPr="009323CD">
              <w:rPr>
                <w:rFonts w:ascii="Open Sans" w:hAnsi="Open Sans" w:cs="Open Sans"/>
                <w:sz w:val="14"/>
                <w:szCs w:val="14"/>
              </w:rPr>
              <w:t>UnionPay</w:t>
            </w:r>
            <w:proofErr w:type="spellEnd"/>
          </w:p>
        </w:tc>
        <w:tc>
          <w:tcPr>
            <w:tcW w:w="123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D23B7C" w:rsidRPr="00456AF0" w:rsidRDefault="00D23B7C" w:rsidP="00D23B7C">
            <w:pPr>
              <w:keepNext/>
              <w:keepLines/>
              <w:jc w:val="center"/>
              <w:rPr>
                <w:rFonts w:ascii="Open Sans" w:hAnsi="Open Sans" w:cs="Open Sans"/>
                <w:sz w:val="16"/>
                <w:szCs w:val="16"/>
              </w:rPr>
            </w:pPr>
            <w:r w:rsidRPr="00456AF0">
              <w:rPr>
                <w:rFonts w:ascii="Open Sans" w:hAnsi="Open Sans" w:cs="Open Sans"/>
                <w:sz w:val="16"/>
                <w:szCs w:val="16"/>
              </w:rPr>
              <w:sym w:font="Symbol" w:char="F0BE"/>
            </w:r>
            <w:r w:rsidRPr="00456AF0">
              <w:rPr>
                <w:rFonts w:ascii="Open Sans" w:hAnsi="Open Sans" w:cs="Open Sans"/>
                <w:sz w:val="16"/>
                <w:szCs w:val="16"/>
              </w:rPr>
              <w:sym w:font="Symbol" w:char="F0BE"/>
            </w:r>
            <w:r w:rsidRPr="00456AF0">
              <w:rPr>
                <w:rFonts w:ascii="Open Sans" w:hAnsi="Open Sans" w:cs="Open Sans"/>
                <w:sz w:val="16"/>
                <w:szCs w:val="16"/>
              </w:rPr>
              <w:sym w:font="Symbol" w:char="F0BE"/>
            </w:r>
          </w:p>
        </w:tc>
        <w:tc>
          <w:tcPr>
            <w:tcW w:w="1313" w:type="dxa"/>
            <w:tcBorders>
              <w:top w:val="single" w:sz="8" w:space="0" w:color="auto"/>
              <w:left w:val="nil"/>
              <w:bottom w:val="single" w:sz="8" w:space="0" w:color="auto"/>
              <w:right w:val="single" w:sz="12" w:space="0" w:color="auto"/>
            </w:tcBorders>
            <w:shd w:val="clear" w:color="auto" w:fill="BFBFBF" w:themeFill="background1" w:themeFillShade="BF"/>
            <w:vAlign w:val="center"/>
            <w:hideMark/>
          </w:tcPr>
          <w:p w:rsidR="00D23B7C" w:rsidRPr="00B84AE7" w:rsidRDefault="00D23B7C" w:rsidP="00D23B7C">
            <w:pPr>
              <w:keepNext/>
              <w:keepLines/>
              <w:jc w:val="center"/>
              <w:rPr>
                <w:rFonts w:ascii="Open Sans" w:hAnsi="Open Sans" w:cs="Open Sans"/>
                <w:bCs/>
                <w:sz w:val="16"/>
                <w:szCs w:val="16"/>
                <w:highlight w:val="yellow"/>
              </w:rPr>
            </w:pPr>
            <w:r w:rsidRPr="00B65A78">
              <w:rPr>
                <w:rFonts w:ascii="Open Sans" w:hAnsi="Open Sans" w:cs="Open Sans"/>
                <w:sz w:val="14"/>
                <w:szCs w:val="14"/>
              </w:rPr>
              <w:sym w:font="Symbol" w:char="F0BE"/>
            </w:r>
            <w:r w:rsidRPr="00B65A78">
              <w:rPr>
                <w:rFonts w:ascii="Open Sans" w:hAnsi="Open Sans" w:cs="Open Sans"/>
                <w:sz w:val="14"/>
                <w:szCs w:val="14"/>
              </w:rPr>
              <w:sym w:font="Symbol" w:char="F0BE"/>
            </w:r>
            <w:r w:rsidRPr="00B65A78">
              <w:rPr>
                <w:rFonts w:ascii="Open Sans" w:hAnsi="Open Sans" w:cs="Open Sans"/>
                <w:sz w:val="14"/>
                <w:szCs w:val="14"/>
              </w:rPr>
              <w:sym w:font="Symbol" w:char="F0BE"/>
            </w:r>
          </w:p>
        </w:tc>
      </w:tr>
      <w:tr w:rsidR="00D23B7C" w:rsidRPr="00B65A78" w:rsidTr="00A5191D">
        <w:trPr>
          <w:trHeight w:val="435"/>
        </w:trPr>
        <w:tc>
          <w:tcPr>
            <w:tcW w:w="2124" w:type="dxa"/>
            <w:tcBorders>
              <w:top w:val="nil"/>
              <w:left w:val="single" w:sz="12" w:space="0" w:color="auto"/>
              <w:bottom w:val="single" w:sz="8" w:space="0" w:color="auto"/>
              <w:right w:val="single" w:sz="8" w:space="0" w:color="auto"/>
            </w:tcBorders>
            <w:shd w:val="clear" w:color="auto" w:fill="auto"/>
            <w:vAlign w:val="center"/>
            <w:hideMark/>
          </w:tcPr>
          <w:p w:rsidR="00D23B7C" w:rsidRPr="00B65A78" w:rsidRDefault="00D23B7C" w:rsidP="00D23B7C">
            <w:pPr>
              <w:keepNext/>
              <w:keepLines/>
              <w:widowControl/>
              <w:rPr>
                <w:rFonts w:ascii="Open Sans" w:hAnsi="Open Sans" w:cs="Open Sans"/>
                <w:sz w:val="14"/>
                <w:szCs w:val="14"/>
              </w:rPr>
            </w:pPr>
            <w:r w:rsidRPr="00B65A78">
              <w:rPr>
                <w:rFonts w:ascii="Open Sans" w:hAnsi="Open Sans" w:cs="Open Sans"/>
                <w:sz w:val="14"/>
                <w:szCs w:val="14"/>
              </w:rPr>
              <w:t>4.3. Komerční (obchodní) karty</w:t>
            </w:r>
          </w:p>
        </w:tc>
        <w:tc>
          <w:tcPr>
            <w:tcW w:w="1167" w:type="dxa"/>
            <w:tcBorders>
              <w:top w:val="nil"/>
              <w:left w:val="nil"/>
              <w:bottom w:val="single" w:sz="8" w:space="0" w:color="auto"/>
              <w:right w:val="single" w:sz="8" w:space="0" w:color="auto"/>
            </w:tcBorders>
            <w:shd w:val="clear" w:color="auto" w:fill="auto"/>
          </w:tcPr>
          <w:p w:rsidR="00D23B7C" w:rsidRDefault="00D23B7C" w:rsidP="00D23B7C">
            <w:pPr>
              <w:jc w:val="cente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hideMark/>
          </w:tcPr>
          <w:p w:rsidR="00D23B7C" w:rsidRPr="00B65A78" w:rsidRDefault="00D23B7C" w:rsidP="00D23B7C">
            <w:pPr>
              <w:keepNext/>
              <w:keepLines/>
              <w:widowControl/>
              <w:rPr>
                <w:rFonts w:ascii="Open Sans" w:hAnsi="Open Sans" w:cs="Open Sans"/>
                <w:sz w:val="14"/>
                <w:szCs w:val="14"/>
              </w:rPr>
            </w:pPr>
          </w:p>
        </w:tc>
        <w:tc>
          <w:tcPr>
            <w:tcW w:w="2130"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23B7C" w:rsidRPr="00791BA3" w:rsidRDefault="00D23B7C" w:rsidP="00D23B7C">
            <w:pPr>
              <w:keepNext/>
              <w:keepLines/>
              <w:widowControl/>
              <w:rPr>
                <w:rFonts w:ascii="Open Sans" w:hAnsi="Open Sans" w:cs="Open Sans"/>
                <w:sz w:val="14"/>
                <w:szCs w:val="14"/>
              </w:rPr>
            </w:pPr>
            <w:r>
              <w:rPr>
                <w:rFonts w:ascii="Open Sans" w:hAnsi="Open Sans" w:cs="Open Sans"/>
                <w:sz w:val="14"/>
                <w:szCs w:val="14"/>
              </w:rPr>
              <w:t xml:space="preserve">8.1 </w:t>
            </w:r>
            <w:r w:rsidRPr="00791BA3">
              <w:rPr>
                <w:rFonts w:ascii="Open Sans" w:hAnsi="Open Sans" w:cs="Open Sans"/>
                <w:sz w:val="14"/>
                <w:szCs w:val="14"/>
              </w:rPr>
              <w:t>U všech variant</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D23B7C" w:rsidRPr="00456AF0" w:rsidRDefault="00875A42" w:rsidP="00875A42">
            <w:pPr>
              <w:keepNext/>
              <w:keepLines/>
              <w:jc w:val="center"/>
              <w:rPr>
                <w:rFonts w:ascii="Open Sans" w:hAnsi="Open Sans" w:cs="Open Sans"/>
                <w:bCs/>
                <w:sz w:val="16"/>
                <w:szCs w:val="16"/>
              </w:rPr>
            </w:pPr>
            <w:r>
              <w:rPr>
                <w:rFonts w:ascii="Open Sans" w:hAnsi="Open Sans" w:cs="Open Sans"/>
                <w:bCs/>
                <w:sz w:val="16"/>
                <w:szCs w:val="16"/>
              </w:rPr>
              <w:t>1,99</w:t>
            </w:r>
          </w:p>
        </w:tc>
        <w:tc>
          <w:tcPr>
            <w:tcW w:w="1313" w:type="dxa"/>
            <w:tcBorders>
              <w:top w:val="single" w:sz="8" w:space="0" w:color="auto"/>
              <w:left w:val="nil"/>
              <w:bottom w:val="single" w:sz="8" w:space="0" w:color="auto"/>
              <w:right w:val="single" w:sz="12" w:space="0" w:color="auto"/>
            </w:tcBorders>
            <w:shd w:val="clear" w:color="auto" w:fill="auto"/>
            <w:vAlign w:val="center"/>
            <w:hideMark/>
          </w:tcPr>
          <w:p w:rsidR="00D23B7C" w:rsidRPr="00B65A78" w:rsidRDefault="00D23B7C" w:rsidP="00D23B7C">
            <w:pPr>
              <w:keepNext/>
              <w:keepLines/>
              <w:widowControl/>
              <w:jc w:val="center"/>
              <w:rPr>
                <w:rFonts w:ascii="Open Sans" w:hAnsi="Open Sans" w:cs="Open Sans"/>
                <w:sz w:val="14"/>
                <w:szCs w:val="14"/>
              </w:rPr>
            </w:pPr>
            <w:r w:rsidRPr="00E76F9C">
              <w:rPr>
                <w:rFonts w:ascii="Open Sans" w:hAnsi="Open Sans" w:cs="Open Sans"/>
                <w:b/>
                <w:bCs/>
                <w:szCs w:val="16"/>
              </w:rPr>
              <w:t>-</w:t>
            </w:r>
          </w:p>
        </w:tc>
      </w:tr>
      <w:tr w:rsidR="00D23B7C" w:rsidRPr="00B65A78" w:rsidTr="001774AD">
        <w:trPr>
          <w:trHeight w:val="335"/>
        </w:trPr>
        <w:tc>
          <w:tcPr>
            <w:tcW w:w="2124" w:type="dxa"/>
            <w:tcBorders>
              <w:top w:val="nil"/>
              <w:left w:val="single" w:sz="12" w:space="0" w:color="auto"/>
              <w:bottom w:val="single" w:sz="8" w:space="0" w:color="auto"/>
              <w:right w:val="single" w:sz="8" w:space="0" w:color="auto"/>
            </w:tcBorders>
            <w:shd w:val="clear" w:color="auto" w:fill="auto"/>
            <w:vAlign w:val="center"/>
          </w:tcPr>
          <w:p w:rsidR="00D23B7C" w:rsidRPr="00B65A78" w:rsidRDefault="00D23B7C" w:rsidP="00D23B7C">
            <w:pPr>
              <w:keepNext/>
              <w:keepLines/>
              <w:widowControl/>
              <w:rPr>
                <w:rFonts w:ascii="Open Sans" w:hAnsi="Open Sans" w:cs="Open Sans"/>
                <w:sz w:val="14"/>
                <w:szCs w:val="14"/>
              </w:rPr>
            </w:pPr>
            <w:r>
              <w:rPr>
                <w:rFonts w:ascii="Open Sans" w:hAnsi="Open Sans" w:cs="Open Sans"/>
                <w:sz w:val="14"/>
                <w:szCs w:val="14"/>
              </w:rPr>
              <w:t>4.4</w:t>
            </w:r>
            <w:r w:rsidRPr="00D56DC7">
              <w:rPr>
                <w:rFonts w:ascii="Open Sans" w:hAnsi="Open Sans" w:cs="Open Sans"/>
                <w:sz w:val="14"/>
                <w:szCs w:val="14"/>
              </w:rPr>
              <w:t xml:space="preserve">. </w:t>
            </w:r>
            <w:r>
              <w:rPr>
                <w:rFonts w:ascii="Open Sans" w:hAnsi="Open Sans" w:cs="Open Sans"/>
                <w:sz w:val="14"/>
                <w:szCs w:val="14"/>
              </w:rPr>
              <w:t>Maestro</w:t>
            </w:r>
          </w:p>
        </w:tc>
        <w:tc>
          <w:tcPr>
            <w:tcW w:w="1167" w:type="dxa"/>
            <w:tcBorders>
              <w:top w:val="nil"/>
              <w:left w:val="nil"/>
              <w:bottom w:val="single" w:sz="8" w:space="0" w:color="auto"/>
              <w:right w:val="single" w:sz="8" w:space="0" w:color="auto"/>
            </w:tcBorders>
            <w:shd w:val="clear" w:color="auto" w:fill="auto"/>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1,15</w:t>
            </w:r>
          </w:p>
        </w:tc>
        <w:tc>
          <w:tcPr>
            <w:tcW w:w="1276" w:type="dxa"/>
            <w:tcBorders>
              <w:top w:val="nil"/>
              <w:left w:val="nil"/>
              <w:bottom w:val="single" w:sz="8" w:space="0" w:color="auto"/>
              <w:right w:val="single" w:sz="12" w:space="0" w:color="auto"/>
            </w:tcBorders>
            <w:shd w:val="clear" w:color="auto" w:fill="auto"/>
            <w:vAlign w:val="center"/>
          </w:tcPr>
          <w:p w:rsidR="00D23B7C" w:rsidRPr="00B65A78" w:rsidRDefault="00D23B7C" w:rsidP="00D23B7C">
            <w:pPr>
              <w:keepNext/>
              <w:keepLines/>
              <w:widowControl/>
              <w:jc w:val="center"/>
              <w:rPr>
                <w:rFonts w:ascii="Open Sans" w:hAnsi="Open Sans" w:cs="Open Sans"/>
                <w:sz w:val="14"/>
                <w:szCs w:val="14"/>
              </w:rPr>
            </w:pPr>
            <w:r>
              <w:rPr>
                <w:rFonts w:ascii="Open Sans" w:hAnsi="Open Sans" w:cs="Open Sans"/>
                <w:sz w:val="14"/>
                <w:szCs w:val="14"/>
              </w:rPr>
              <w:t>-</w:t>
            </w:r>
          </w:p>
        </w:tc>
        <w:tc>
          <w:tcPr>
            <w:tcW w:w="280" w:type="dxa"/>
            <w:tcBorders>
              <w:top w:val="nil"/>
              <w:left w:val="nil"/>
              <w:bottom w:val="nil"/>
              <w:right w:val="nil"/>
            </w:tcBorders>
            <w:shd w:val="clear" w:color="auto" w:fill="auto"/>
            <w:vAlign w:val="bottom"/>
          </w:tcPr>
          <w:p w:rsidR="00D23B7C" w:rsidRPr="00B65A78" w:rsidRDefault="00D23B7C" w:rsidP="00D23B7C">
            <w:pPr>
              <w:keepNext/>
              <w:keepLines/>
              <w:widowControl/>
              <w:rPr>
                <w:rFonts w:ascii="Open Sans" w:hAnsi="Open Sans" w:cs="Open Sans"/>
                <w:sz w:val="14"/>
                <w:szCs w:val="14"/>
              </w:rPr>
            </w:pPr>
          </w:p>
        </w:tc>
        <w:tc>
          <w:tcPr>
            <w:tcW w:w="2130" w:type="dxa"/>
            <w:tcBorders>
              <w:top w:val="single" w:sz="8" w:space="0" w:color="auto"/>
              <w:left w:val="single" w:sz="12" w:space="0" w:color="auto"/>
              <w:bottom w:val="single" w:sz="8" w:space="0" w:color="auto"/>
              <w:right w:val="single" w:sz="8" w:space="0" w:color="auto"/>
            </w:tcBorders>
            <w:shd w:val="clear" w:color="auto" w:fill="000000" w:themeFill="text1"/>
            <w:vAlign w:val="center"/>
          </w:tcPr>
          <w:p w:rsidR="00D23B7C" w:rsidRPr="00B65A78" w:rsidRDefault="00D23B7C" w:rsidP="00D23B7C">
            <w:pPr>
              <w:keepNext/>
              <w:keepLines/>
              <w:widowControl/>
              <w:rPr>
                <w:rFonts w:ascii="Open Sans" w:hAnsi="Open Sans" w:cs="Open Sans"/>
                <w:bCs/>
                <w:sz w:val="14"/>
                <w:szCs w:val="14"/>
              </w:rPr>
            </w:pPr>
            <w:r w:rsidRPr="00B65A78">
              <w:rPr>
                <w:rFonts w:ascii="Open Sans" w:hAnsi="Open Sans" w:cs="Open Sans"/>
                <w:b/>
                <w:bCs/>
                <w:color w:val="FFFFFF"/>
                <w:sz w:val="14"/>
                <w:szCs w:val="14"/>
              </w:rPr>
              <w:t>B. Vypořádání</w:t>
            </w:r>
          </w:p>
        </w:tc>
        <w:tc>
          <w:tcPr>
            <w:tcW w:w="1238" w:type="dxa"/>
            <w:tcBorders>
              <w:top w:val="single" w:sz="8" w:space="0" w:color="auto"/>
              <w:left w:val="nil"/>
              <w:bottom w:val="single" w:sz="8" w:space="0" w:color="auto"/>
              <w:right w:val="single" w:sz="8" w:space="0" w:color="auto"/>
            </w:tcBorders>
            <w:shd w:val="clear" w:color="auto" w:fill="000000" w:themeFill="text1"/>
            <w:vAlign w:val="center"/>
          </w:tcPr>
          <w:p w:rsidR="00D23B7C" w:rsidRPr="00B65A78" w:rsidRDefault="00D23B7C" w:rsidP="00D23B7C">
            <w:pPr>
              <w:keepNext/>
              <w:keepLines/>
              <w:widowControl/>
              <w:jc w:val="center"/>
              <w:rPr>
                <w:rFonts w:ascii="Open Sans" w:hAnsi="Open Sans" w:cs="Open Sans"/>
                <w:bCs/>
                <w:sz w:val="14"/>
                <w:szCs w:val="14"/>
              </w:rPr>
            </w:pPr>
          </w:p>
        </w:tc>
        <w:tc>
          <w:tcPr>
            <w:tcW w:w="1313" w:type="dxa"/>
            <w:tcBorders>
              <w:top w:val="single" w:sz="8" w:space="0" w:color="auto"/>
              <w:left w:val="nil"/>
              <w:bottom w:val="single" w:sz="8" w:space="0" w:color="auto"/>
              <w:right w:val="single" w:sz="12" w:space="0" w:color="auto"/>
            </w:tcBorders>
            <w:shd w:val="clear" w:color="auto" w:fill="000000" w:themeFill="text1"/>
            <w:vAlign w:val="center"/>
          </w:tcPr>
          <w:p w:rsidR="00D23B7C" w:rsidRPr="00E76F9C" w:rsidRDefault="00D23B7C" w:rsidP="00D23B7C">
            <w:pPr>
              <w:keepNext/>
              <w:keepLines/>
              <w:widowControl/>
              <w:jc w:val="center"/>
              <w:rPr>
                <w:rFonts w:ascii="Open Sans" w:hAnsi="Open Sans" w:cs="Open Sans"/>
                <w:b/>
                <w:bCs/>
                <w:szCs w:val="16"/>
              </w:rPr>
            </w:pPr>
          </w:p>
        </w:tc>
      </w:tr>
      <w:tr w:rsidR="00D56DC7" w:rsidRPr="00B65A78" w:rsidTr="00D56DC7">
        <w:trPr>
          <w:trHeight w:val="315"/>
        </w:trPr>
        <w:tc>
          <w:tcPr>
            <w:tcW w:w="2124" w:type="dxa"/>
            <w:tcBorders>
              <w:left w:val="nil"/>
            </w:tcBorders>
            <w:shd w:val="clear" w:color="auto" w:fill="auto"/>
            <w:vAlign w:val="center"/>
          </w:tcPr>
          <w:p w:rsidR="00D56DC7" w:rsidRPr="00B65A78" w:rsidRDefault="00D56DC7" w:rsidP="00610861">
            <w:pPr>
              <w:keepNext/>
              <w:keepLines/>
              <w:widowControl/>
              <w:rPr>
                <w:rFonts w:ascii="Open Sans" w:hAnsi="Open Sans" w:cs="Open Sans"/>
                <w:sz w:val="14"/>
                <w:szCs w:val="14"/>
              </w:rPr>
            </w:pPr>
          </w:p>
        </w:tc>
        <w:tc>
          <w:tcPr>
            <w:tcW w:w="1167" w:type="dxa"/>
            <w:shd w:val="clear" w:color="auto" w:fill="auto"/>
            <w:vAlign w:val="center"/>
          </w:tcPr>
          <w:p w:rsidR="00D56DC7" w:rsidRPr="00B65A78" w:rsidRDefault="00D56DC7" w:rsidP="00610861">
            <w:pPr>
              <w:keepNext/>
              <w:keepLines/>
              <w:widowControl/>
              <w:rPr>
                <w:rFonts w:ascii="Open Sans" w:hAnsi="Open Sans" w:cs="Open Sans"/>
                <w:sz w:val="14"/>
                <w:szCs w:val="14"/>
              </w:rPr>
            </w:pPr>
          </w:p>
        </w:tc>
        <w:tc>
          <w:tcPr>
            <w:tcW w:w="1276" w:type="dxa"/>
            <w:shd w:val="clear" w:color="auto" w:fill="auto"/>
            <w:vAlign w:val="center"/>
          </w:tcPr>
          <w:p w:rsidR="00D56DC7" w:rsidRPr="00B65A78" w:rsidRDefault="00D56DC7" w:rsidP="00610861">
            <w:pPr>
              <w:keepNext/>
              <w:keepLines/>
              <w:widowControl/>
              <w:rPr>
                <w:rFonts w:ascii="Open Sans" w:hAnsi="Open Sans" w:cs="Open Sans"/>
                <w:sz w:val="14"/>
                <w:szCs w:val="14"/>
              </w:rPr>
            </w:pPr>
          </w:p>
        </w:tc>
        <w:tc>
          <w:tcPr>
            <w:tcW w:w="280" w:type="dxa"/>
            <w:tcBorders>
              <w:right w:val="single" w:sz="4" w:space="0" w:color="auto"/>
            </w:tcBorders>
            <w:shd w:val="clear" w:color="auto" w:fill="auto"/>
            <w:vAlign w:val="bottom"/>
          </w:tcPr>
          <w:p w:rsidR="00D56DC7" w:rsidRPr="00B65A78" w:rsidRDefault="00D56DC7" w:rsidP="00610861">
            <w:pPr>
              <w:keepNext/>
              <w:keepLines/>
              <w:widowControl/>
              <w:rPr>
                <w:rFonts w:ascii="Open Sans" w:hAnsi="Open Sans" w:cs="Open Sans"/>
                <w:sz w:val="14"/>
                <w:szCs w:val="14"/>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D56DC7" w:rsidRPr="00B65A78" w:rsidRDefault="00D56DC7" w:rsidP="00DE37B3">
            <w:pPr>
              <w:keepNext/>
              <w:keepLines/>
              <w:widowControl/>
              <w:rPr>
                <w:rFonts w:ascii="Open Sans" w:hAnsi="Open Sans" w:cs="Open Sans"/>
                <w:bCs/>
                <w:sz w:val="14"/>
                <w:szCs w:val="14"/>
              </w:rPr>
            </w:pPr>
            <w:r w:rsidRPr="00B65A78">
              <w:rPr>
                <w:rFonts w:ascii="Open Sans" w:hAnsi="Open Sans" w:cs="Open Sans"/>
                <w:sz w:val="14"/>
                <w:szCs w:val="14"/>
              </w:rPr>
              <w:t xml:space="preserve">Doba splatnosti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DC7" w:rsidRPr="00B65A78" w:rsidRDefault="00D56DC7" w:rsidP="00DE37B3">
            <w:pPr>
              <w:keepNext/>
              <w:keepLines/>
              <w:widowControl/>
              <w:jc w:val="center"/>
              <w:rPr>
                <w:rFonts w:ascii="Open Sans" w:hAnsi="Open Sans" w:cs="Open Sans"/>
                <w:bCs/>
                <w:sz w:val="14"/>
                <w:szCs w:val="14"/>
              </w:rPr>
            </w:pPr>
            <w:r>
              <w:rPr>
                <w:rFonts w:ascii="Open Sans" w:hAnsi="Open Sans" w:cs="Open Sans"/>
                <w:sz w:val="14"/>
                <w:szCs w:val="14"/>
              </w:rPr>
              <w:t>1</w:t>
            </w:r>
            <w:r w:rsidRPr="00B65A78">
              <w:rPr>
                <w:rFonts w:ascii="Open Sans" w:hAnsi="Open Sans" w:cs="Open Sans"/>
                <w:sz w:val="14"/>
                <w:szCs w:val="14"/>
              </w:rPr>
              <w:t xml:space="preserve"> pracovní d</w:t>
            </w:r>
            <w:r>
              <w:rPr>
                <w:rFonts w:ascii="Open Sans" w:hAnsi="Open Sans" w:cs="Open Sans"/>
                <w:sz w:val="14"/>
                <w:szCs w:val="14"/>
              </w:rPr>
              <w:t>e</w:t>
            </w:r>
            <w:r w:rsidRPr="00B65A78">
              <w:rPr>
                <w:rFonts w:ascii="Open Sans" w:hAnsi="Open Sans" w:cs="Open Sans"/>
                <w:sz w:val="14"/>
                <w:szCs w:val="14"/>
              </w:rPr>
              <w:t>n</w:t>
            </w:r>
          </w:p>
        </w:tc>
      </w:tr>
    </w:tbl>
    <w:p w:rsidR="00AE1D41" w:rsidRPr="00495EDC" w:rsidRDefault="00AE1D41" w:rsidP="00A5191D">
      <w:pPr>
        <w:pStyle w:val="Bodytext20"/>
        <w:numPr>
          <w:ilvl w:val="1"/>
          <w:numId w:val="26"/>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 xml:space="preserve">Poskytovatelé služeb budou účtovat poplatek z internetového prodeje ve výši </w:t>
      </w:r>
      <w:r w:rsidR="008156D7">
        <w:rPr>
          <w:rFonts w:ascii="Open Sans" w:hAnsi="Open Sans" w:cs="Open Sans"/>
          <w:b/>
          <w:sz w:val="16"/>
          <w:szCs w:val="16"/>
        </w:rPr>
        <w:t xml:space="preserve">0 </w:t>
      </w:r>
      <w:r w:rsidRPr="00CF2EB6">
        <w:rPr>
          <w:rFonts w:ascii="Open Sans" w:hAnsi="Open Sans" w:cs="Open Sans"/>
          <w:b/>
          <w:sz w:val="16"/>
          <w:szCs w:val="16"/>
        </w:rPr>
        <w:t>Kč</w:t>
      </w:r>
      <w:r>
        <w:rPr>
          <w:rFonts w:ascii="Open Sans" w:hAnsi="Open Sans" w:cs="Open Sans"/>
          <w:sz w:val="16"/>
          <w:szCs w:val="16"/>
        </w:rPr>
        <w:t xml:space="preserve"> </w:t>
      </w:r>
      <w:r w:rsidRPr="00652CFB">
        <w:rPr>
          <w:rFonts w:ascii="Open Sans" w:hAnsi="Open Sans" w:cs="Open Sans"/>
          <w:sz w:val="16"/>
          <w:szCs w:val="16"/>
        </w:rPr>
        <w:t>(bez</w:t>
      </w:r>
      <w:r w:rsidRPr="00495EDC">
        <w:rPr>
          <w:rFonts w:ascii="Open Sans" w:hAnsi="Open Sans" w:cs="Open Sans"/>
          <w:sz w:val="16"/>
          <w:szCs w:val="16"/>
        </w:rPr>
        <w:t xml:space="preserve"> DPH) za každý měsíc používání Platební brány Smluvním partnerem umožňující akceptaci Transakcí uskutečněných pomocí Platebních karet. Tento poplatek bude účtován předem za období počínající měsícem podpisu Smlouvy a v ná</w:t>
      </w:r>
      <w:r>
        <w:rPr>
          <w:rFonts w:ascii="Open Sans" w:hAnsi="Open Sans" w:cs="Open Sans"/>
          <w:sz w:val="16"/>
          <w:szCs w:val="16"/>
        </w:rPr>
        <w:t>sledujících měsících</w:t>
      </w:r>
      <w:r w:rsidRPr="00495EDC">
        <w:rPr>
          <w:rFonts w:ascii="Open Sans" w:hAnsi="Open Sans" w:cs="Open Sans"/>
          <w:sz w:val="16"/>
          <w:szCs w:val="16"/>
        </w:rPr>
        <w:t xml:space="preserve"> pak vždy v průběhu prvních 15 kalendářních dnů měsíce</w:t>
      </w:r>
      <w:r>
        <w:rPr>
          <w:rFonts w:ascii="Open Sans" w:hAnsi="Open Sans" w:cs="Open Sans"/>
          <w:sz w:val="16"/>
          <w:szCs w:val="16"/>
        </w:rPr>
        <w:t>.</w:t>
      </w:r>
      <w:r w:rsidRPr="00495EDC">
        <w:rPr>
          <w:rFonts w:ascii="Open Sans" w:hAnsi="Open Sans" w:cs="Open Sans"/>
          <w:sz w:val="16"/>
          <w:szCs w:val="16"/>
        </w:rPr>
        <w:t xml:space="preserve"> </w:t>
      </w:r>
    </w:p>
    <w:p w:rsidR="00AE1D41" w:rsidRPr="00495EDC" w:rsidRDefault="00AE1D41" w:rsidP="00AE1D41">
      <w:pPr>
        <w:pStyle w:val="Odstavecseseznamem"/>
        <w:rPr>
          <w:rFonts w:ascii="Open Sans" w:eastAsia="Arial" w:hAnsi="Open Sans" w:cs="Open Sans"/>
          <w:color w:val="000000"/>
          <w:sz w:val="16"/>
          <w:szCs w:val="16"/>
          <w:lang w:val="cs-CZ"/>
        </w:rPr>
      </w:pPr>
    </w:p>
    <w:p w:rsidR="00AE1D41" w:rsidRPr="00495EDC" w:rsidRDefault="00AE1D41" w:rsidP="00A5191D">
      <w:pPr>
        <w:pStyle w:val="Bodytext20"/>
        <w:numPr>
          <w:ilvl w:val="1"/>
          <w:numId w:val="26"/>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 xml:space="preserve">Poskytovatelé </w:t>
      </w:r>
      <w:r>
        <w:rPr>
          <w:rFonts w:ascii="Open Sans" w:hAnsi="Open Sans" w:cs="Open Sans"/>
          <w:sz w:val="16"/>
          <w:szCs w:val="16"/>
        </w:rPr>
        <w:t>služeb budou účtovat poplatek za</w:t>
      </w:r>
      <w:r w:rsidRPr="00495EDC">
        <w:rPr>
          <w:rFonts w:ascii="Open Sans" w:hAnsi="Open Sans" w:cs="Open Sans"/>
          <w:sz w:val="16"/>
          <w:szCs w:val="16"/>
        </w:rPr>
        <w:t xml:space="preserve"> </w:t>
      </w:r>
      <w:r>
        <w:rPr>
          <w:rFonts w:ascii="Open Sans" w:hAnsi="Open Sans" w:cs="Open Sans"/>
          <w:sz w:val="16"/>
          <w:szCs w:val="16"/>
        </w:rPr>
        <w:t>implementaci Platební brány</w:t>
      </w:r>
      <w:r w:rsidR="00AD0F5B">
        <w:rPr>
          <w:rFonts w:ascii="Open Sans" w:hAnsi="Open Sans" w:cs="Open Sans"/>
          <w:sz w:val="16"/>
          <w:szCs w:val="16"/>
        </w:rPr>
        <w:t xml:space="preserve"> ve výši 0</w:t>
      </w:r>
      <w:r w:rsidR="008156D7" w:rsidRPr="00875A42">
        <w:rPr>
          <w:rFonts w:ascii="Open Sans" w:hAnsi="Open Sans" w:cs="Open Sans"/>
          <w:b/>
          <w:sz w:val="16"/>
          <w:szCs w:val="16"/>
        </w:rPr>
        <w:t xml:space="preserve"> </w:t>
      </w:r>
      <w:r w:rsidRPr="00875A42">
        <w:rPr>
          <w:rFonts w:ascii="Open Sans" w:hAnsi="Open Sans" w:cs="Open Sans"/>
          <w:b/>
          <w:sz w:val="16"/>
          <w:szCs w:val="16"/>
        </w:rPr>
        <w:t>Kč</w:t>
      </w:r>
      <w:r>
        <w:rPr>
          <w:rFonts w:ascii="Open Sans" w:hAnsi="Open Sans" w:cs="Open Sans"/>
          <w:sz w:val="16"/>
          <w:szCs w:val="16"/>
        </w:rPr>
        <w:t xml:space="preserve"> </w:t>
      </w:r>
      <w:r w:rsidRPr="00495EDC">
        <w:rPr>
          <w:rFonts w:ascii="Open Sans" w:hAnsi="Open Sans" w:cs="Open Sans"/>
          <w:sz w:val="16"/>
          <w:szCs w:val="16"/>
        </w:rPr>
        <w:t>(</w:t>
      </w:r>
      <w:r w:rsidRPr="00652CFB">
        <w:rPr>
          <w:rFonts w:ascii="Open Sans" w:hAnsi="Open Sans" w:cs="Open Sans"/>
          <w:sz w:val="16"/>
          <w:szCs w:val="16"/>
        </w:rPr>
        <w:t>bez</w:t>
      </w:r>
      <w:r>
        <w:rPr>
          <w:rFonts w:ascii="Open Sans" w:hAnsi="Open Sans" w:cs="Open Sans"/>
          <w:sz w:val="16"/>
          <w:szCs w:val="16"/>
        </w:rPr>
        <w:t xml:space="preserve"> </w:t>
      </w:r>
      <w:r w:rsidRPr="00495EDC">
        <w:rPr>
          <w:rFonts w:ascii="Open Sans" w:hAnsi="Open Sans" w:cs="Open Sans"/>
          <w:sz w:val="16"/>
          <w:szCs w:val="16"/>
        </w:rPr>
        <w:t>DPH)</w:t>
      </w:r>
      <w:r>
        <w:rPr>
          <w:rFonts w:ascii="Open Sans" w:hAnsi="Open Sans" w:cs="Open Sans"/>
          <w:sz w:val="16"/>
          <w:szCs w:val="16"/>
        </w:rPr>
        <w:t xml:space="preserve">. Faktura na poplatek za implementaci </w:t>
      </w:r>
      <w:r w:rsidRPr="00495EDC">
        <w:rPr>
          <w:rFonts w:ascii="Open Sans" w:hAnsi="Open Sans" w:cs="Open Sans"/>
          <w:sz w:val="16"/>
          <w:szCs w:val="16"/>
        </w:rPr>
        <w:t>Platební brány</w:t>
      </w:r>
      <w:r>
        <w:rPr>
          <w:rFonts w:ascii="Open Sans" w:hAnsi="Open Sans" w:cs="Open Sans"/>
          <w:sz w:val="16"/>
          <w:szCs w:val="16"/>
        </w:rPr>
        <w:t xml:space="preserve"> </w:t>
      </w:r>
      <w:r w:rsidRPr="00495EDC">
        <w:rPr>
          <w:rFonts w:ascii="Open Sans" w:hAnsi="Open Sans" w:cs="Open Sans"/>
          <w:sz w:val="16"/>
          <w:szCs w:val="16"/>
        </w:rPr>
        <w:t>bude vystavena do 15 dnů od konce příslušného kalendářního</w:t>
      </w:r>
      <w:r>
        <w:rPr>
          <w:rFonts w:ascii="Open Sans" w:hAnsi="Open Sans" w:cs="Open Sans"/>
          <w:sz w:val="16"/>
          <w:szCs w:val="16"/>
        </w:rPr>
        <w:t xml:space="preserve"> měsíce</w:t>
      </w:r>
      <w:r w:rsidRPr="00495EDC">
        <w:rPr>
          <w:rFonts w:ascii="Open Sans" w:hAnsi="Open Sans" w:cs="Open Sans"/>
          <w:sz w:val="16"/>
          <w:szCs w:val="16"/>
        </w:rPr>
        <w:t>, kdy byl</w:t>
      </w:r>
      <w:r>
        <w:rPr>
          <w:rFonts w:ascii="Open Sans" w:hAnsi="Open Sans" w:cs="Open Sans"/>
          <w:sz w:val="16"/>
          <w:szCs w:val="16"/>
        </w:rPr>
        <w:t xml:space="preserve"> poskytnut přístup Smluvnímu partnerovi pro implementaci Platební brány, </w:t>
      </w:r>
      <w:r w:rsidRPr="00495EDC">
        <w:rPr>
          <w:rFonts w:ascii="Open Sans" w:hAnsi="Open Sans" w:cs="Open Sans"/>
          <w:sz w:val="16"/>
          <w:szCs w:val="16"/>
        </w:rPr>
        <w:t>přičemž datem zdanitelného plnění bude poslední den běžného měsíce.</w:t>
      </w:r>
    </w:p>
    <w:p w:rsidR="0006798A" w:rsidRPr="009323CD" w:rsidRDefault="0006798A" w:rsidP="009323CD">
      <w:pPr>
        <w:rPr>
          <w:rFonts w:ascii="Open Sans" w:eastAsia="Arial" w:hAnsi="Open Sans" w:cs="Open Sans"/>
          <w:sz w:val="16"/>
          <w:szCs w:val="16"/>
        </w:rPr>
      </w:pPr>
    </w:p>
    <w:p w:rsidR="00610861" w:rsidRDefault="00610861" w:rsidP="00A5191D">
      <w:pPr>
        <w:pStyle w:val="Bodytext20"/>
        <w:numPr>
          <w:ilvl w:val="1"/>
          <w:numId w:val="26"/>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Poskytovatelé služeb budou Smluvnímu partnerovi účtovat p</w:t>
      </w:r>
      <w:r w:rsidR="009F5808">
        <w:rPr>
          <w:rFonts w:ascii="Open Sans" w:hAnsi="Open Sans" w:cs="Open Sans"/>
          <w:sz w:val="16"/>
          <w:szCs w:val="16"/>
        </w:rPr>
        <w:t>oplatky za jednorázové dodatečné</w:t>
      </w:r>
      <w:r w:rsidRPr="00495EDC">
        <w:rPr>
          <w:rFonts w:ascii="Open Sans" w:hAnsi="Open Sans" w:cs="Open Sans"/>
          <w:sz w:val="16"/>
          <w:szCs w:val="16"/>
        </w:rPr>
        <w:t xml:space="preserve"> Služby následovně:</w:t>
      </w:r>
    </w:p>
    <w:p w:rsidR="00610861" w:rsidRDefault="00610861" w:rsidP="00610861">
      <w:pPr>
        <w:pStyle w:val="Odstavecseseznamem"/>
        <w:rPr>
          <w:rFonts w:ascii="Open Sans" w:eastAsia="Arial" w:hAnsi="Open Sans" w:cs="Open Sans"/>
          <w:color w:val="000000"/>
          <w:sz w:val="16"/>
          <w:szCs w:val="16"/>
          <w:lang w:val="cs-CZ"/>
        </w:rPr>
      </w:pPr>
    </w:p>
    <w:p w:rsidR="009323CD" w:rsidRDefault="009323CD" w:rsidP="00610861">
      <w:pPr>
        <w:pStyle w:val="Odstavecseseznamem"/>
        <w:rPr>
          <w:rFonts w:ascii="Open Sans" w:eastAsia="Arial" w:hAnsi="Open Sans" w:cs="Open Sans"/>
          <w:color w:val="000000"/>
          <w:sz w:val="16"/>
          <w:szCs w:val="16"/>
          <w:lang w:val="cs-CZ"/>
        </w:rPr>
      </w:pPr>
    </w:p>
    <w:p w:rsidR="009323CD" w:rsidRDefault="009323CD" w:rsidP="00610861">
      <w:pPr>
        <w:pStyle w:val="Odstavecseseznamem"/>
        <w:rPr>
          <w:rFonts w:ascii="Open Sans" w:eastAsia="Arial" w:hAnsi="Open Sans" w:cs="Open Sans"/>
          <w:color w:val="000000"/>
          <w:sz w:val="16"/>
          <w:szCs w:val="16"/>
          <w:lang w:val="cs-CZ"/>
        </w:rPr>
      </w:pPr>
    </w:p>
    <w:p w:rsidR="000D110D" w:rsidRDefault="000D110D">
      <w:pPr>
        <w:rPr>
          <w:rFonts w:ascii="Open Sans" w:eastAsia="Arial" w:hAnsi="Open Sans" w:cs="Open Sans"/>
          <w:sz w:val="16"/>
          <w:szCs w:val="16"/>
          <w:lang w:eastAsia="en-US" w:bidi="ar-SA"/>
        </w:rPr>
      </w:pPr>
      <w:r>
        <w:rPr>
          <w:rFonts w:ascii="Open Sans" w:eastAsia="Arial" w:hAnsi="Open Sans" w:cs="Open Sans"/>
          <w:sz w:val="16"/>
          <w:szCs w:val="16"/>
        </w:rPr>
        <w:br w:type="page"/>
      </w:r>
    </w:p>
    <w:tbl>
      <w:tblPr>
        <w:tblW w:w="9994" w:type="dxa"/>
        <w:tblInd w:w="37"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ayout w:type="fixed"/>
        <w:tblLook w:val="04A0" w:firstRow="1" w:lastRow="0" w:firstColumn="1" w:lastColumn="0" w:noHBand="0" w:noVBand="1"/>
      </w:tblPr>
      <w:tblGrid>
        <w:gridCol w:w="780"/>
        <w:gridCol w:w="5245"/>
        <w:gridCol w:w="1134"/>
        <w:gridCol w:w="2835"/>
      </w:tblGrid>
      <w:tr w:rsidR="00610861" w:rsidRPr="00495EDC" w:rsidTr="008156D7">
        <w:trPr>
          <w:trHeight w:val="393"/>
        </w:trPr>
        <w:tc>
          <w:tcPr>
            <w:tcW w:w="780" w:type="dxa"/>
            <w:shd w:val="clear" w:color="auto" w:fill="000000"/>
          </w:tcPr>
          <w:p w:rsidR="00610861" w:rsidRPr="00495EDC" w:rsidRDefault="00610861" w:rsidP="0006798A">
            <w:pPr>
              <w:widowControl/>
              <w:jc w:val="center"/>
              <w:rPr>
                <w:rFonts w:ascii="Open Sans" w:hAnsi="Open Sans" w:cs="Open Sans"/>
                <w:b/>
                <w:bCs/>
                <w:color w:val="FFFFFF"/>
                <w:sz w:val="16"/>
                <w:szCs w:val="16"/>
              </w:rPr>
            </w:pPr>
            <w:r w:rsidRPr="00495EDC">
              <w:rPr>
                <w:rFonts w:ascii="Open Sans" w:hAnsi="Open Sans" w:cs="Open Sans"/>
                <w:b/>
                <w:bCs/>
                <w:color w:val="FFFFFF"/>
                <w:sz w:val="16"/>
                <w:szCs w:val="16"/>
              </w:rPr>
              <w:lastRenderedPageBreak/>
              <w:t>Č.</w:t>
            </w:r>
          </w:p>
        </w:tc>
        <w:tc>
          <w:tcPr>
            <w:tcW w:w="5245" w:type="dxa"/>
            <w:shd w:val="clear" w:color="auto" w:fill="000000"/>
          </w:tcPr>
          <w:p w:rsidR="00610861" w:rsidRPr="00495EDC" w:rsidRDefault="00610861" w:rsidP="0006798A">
            <w:pPr>
              <w:widowControl/>
              <w:jc w:val="center"/>
              <w:rPr>
                <w:rFonts w:ascii="Open Sans" w:hAnsi="Open Sans" w:cs="Open Sans"/>
                <w:b/>
                <w:bCs/>
                <w:color w:val="FFFFFF"/>
                <w:sz w:val="16"/>
                <w:szCs w:val="16"/>
              </w:rPr>
            </w:pPr>
            <w:r w:rsidRPr="00495EDC">
              <w:rPr>
                <w:rFonts w:ascii="Open Sans" w:hAnsi="Open Sans" w:cs="Open Sans"/>
                <w:b/>
                <w:bCs/>
                <w:color w:val="FFFFFF"/>
                <w:sz w:val="16"/>
                <w:szCs w:val="16"/>
              </w:rPr>
              <w:t>Popis poplatku</w:t>
            </w:r>
          </w:p>
        </w:tc>
        <w:tc>
          <w:tcPr>
            <w:tcW w:w="1134" w:type="dxa"/>
            <w:shd w:val="clear" w:color="auto" w:fill="000000"/>
          </w:tcPr>
          <w:p w:rsidR="00610861" w:rsidRPr="00495EDC" w:rsidRDefault="00610861" w:rsidP="0006798A">
            <w:pPr>
              <w:widowControl/>
              <w:jc w:val="center"/>
              <w:rPr>
                <w:rFonts w:ascii="Open Sans" w:hAnsi="Open Sans" w:cs="Open Sans"/>
                <w:b/>
                <w:bCs/>
                <w:color w:val="FFFFFF"/>
                <w:sz w:val="16"/>
                <w:szCs w:val="16"/>
              </w:rPr>
            </w:pPr>
            <w:r w:rsidRPr="00495EDC">
              <w:rPr>
                <w:rFonts w:ascii="Open Sans" w:hAnsi="Open Sans" w:cs="Open Sans"/>
                <w:b/>
                <w:bCs/>
                <w:color w:val="FFFFFF"/>
                <w:sz w:val="16"/>
                <w:szCs w:val="16"/>
              </w:rPr>
              <w:t>Jednotka a výše poplatku</w:t>
            </w:r>
          </w:p>
        </w:tc>
        <w:tc>
          <w:tcPr>
            <w:tcW w:w="2835" w:type="dxa"/>
            <w:shd w:val="clear" w:color="auto" w:fill="000000"/>
          </w:tcPr>
          <w:p w:rsidR="00610861" w:rsidRPr="00495EDC" w:rsidRDefault="00F94BA5" w:rsidP="0006798A">
            <w:pPr>
              <w:widowControl/>
              <w:jc w:val="center"/>
              <w:rPr>
                <w:rFonts w:ascii="Open Sans" w:hAnsi="Open Sans" w:cs="Open Sans"/>
                <w:b/>
                <w:bCs/>
                <w:color w:val="FFFFFF"/>
                <w:sz w:val="16"/>
                <w:szCs w:val="16"/>
              </w:rPr>
            </w:pPr>
            <w:r w:rsidRPr="00F94BA5">
              <w:rPr>
                <w:rFonts w:ascii="Open Sans" w:hAnsi="Open Sans" w:cs="Open Sans"/>
                <w:b/>
                <w:bCs/>
                <w:color w:val="FFFFFF"/>
                <w:sz w:val="16"/>
                <w:szCs w:val="16"/>
              </w:rPr>
              <w:t xml:space="preserve">Výše poplatku za jednotku v </w:t>
            </w:r>
            <w:r w:rsidR="00610861" w:rsidRPr="00495EDC">
              <w:rPr>
                <w:rFonts w:ascii="Open Sans" w:hAnsi="Open Sans" w:cs="Open Sans"/>
                <w:b/>
                <w:bCs/>
                <w:color w:val="FFFFFF"/>
                <w:sz w:val="16"/>
                <w:szCs w:val="16"/>
              </w:rPr>
              <w:t>Kč</w:t>
            </w:r>
          </w:p>
        </w:tc>
      </w:tr>
      <w:tr w:rsidR="00610861" w:rsidRPr="00495EDC" w:rsidTr="008156D7">
        <w:trPr>
          <w:trHeight w:val="986"/>
        </w:trPr>
        <w:tc>
          <w:tcPr>
            <w:tcW w:w="780" w:type="dxa"/>
            <w:shd w:val="clear" w:color="auto" w:fill="C0C0C0"/>
            <w:vAlign w:val="center"/>
          </w:tcPr>
          <w:p w:rsidR="00610861" w:rsidRPr="00495EDC" w:rsidRDefault="0061086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1</w:t>
            </w:r>
          </w:p>
        </w:tc>
        <w:tc>
          <w:tcPr>
            <w:tcW w:w="5245" w:type="dxa"/>
            <w:shd w:val="clear" w:color="auto" w:fill="C0C0C0"/>
            <w:vAlign w:val="center"/>
          </w:tcPr>
          <w:p w:rsidR="00610861" w:rsidRPr="00495EDC" w:rsidRDefault="00610861" w:rsidP="0006798A">
            <w:pPr>
              <w:widowControl/>
              <w:rPr>
                <w:rFonts w:ascii="Open Sans" w:hAnsi="Open Sans" w:cs="Open Sans"/>
                <w:color w:val="auto"/>
                <w:sz w:val="16"/>
                <w:szCs w:val="16"/>
              </w:rPr>
            </w:pPr>
            <w:r w:rsidRPr="00495EDC">
              <w:rPr>
                <w:rFonts w:ascii="Open Sans" w:hAnsi="Open Sans" w:cs="Open Sans"/>
                <w:color w:val="auto"/>
                <w:sz w:val="16"/>
                <w:szCs w:val="16"/>
              </w:rPr>
              <w:t xml:space="preserve">Poplatek za zpracování a odeslání opravného dokladu k finančnímu (daňovému) dokladu a/nebo faktuře dle jakékoli smlouvy mezi Smluvním partnerem a Poskytovateli služeb - v případě, kdy nebylo poskytnuté předchozí upozornění na změny v údajích Smluvního partnera. </w:t>
            </w:r>
          </w:p>
        </w:tc>
        <w:tc>
          <w:tcPr>
            <w:tcW w:w="1134" w:type="dxa"/>
            <w:shd w:val="clear" w:color="auto" w:fill="C0C0C0"/>
            <w:vAlign w:val="center"/>
          </w:tcPr>
          <w:p w:rsidR="00610861" w:rsidRPr="00495EDC" w:rsidRDefault="0061086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1 dokument</w:t>
            </w:r>
          </w:p>
        </w:tc>
        <w:tc>
          <w:tcPr>
            <w:tcW w:w="2835" w:type="dxa"/>
            <w:shd w:val="clear" w:color="auto" w:fill="C0C0C0"/>
            <w:vAlign w:val="center"/>
          </w:tcPr>
          <w:p w:rsidR="00610861" w:rsidRPr="00495EDC" w:rsidRDefault="00417BE1" w:rsidP="0006798A">
            <w:pPr>
              <w:widowControl/>
              <w:jc w:val="center"/>
              <w:rPr>
                <w:rFonts w:ascii="Open Sans" w:hAnsi="Open Sans" w:cs="Open Sans"/>
                <w:color w:val="auto"/>
                <w:sz w:val="16"/>
                <w:szCs w:val="16"/>
              </w:rPr>
            </w:pPr>
            <w:r w:rsidRPr="00417BE1">
              <w:rPr>
                <w:rFonts w:ascii="Open Sans" w:hAnsi="Open Sans" w:cs="Open Sans"/>
                <w:color w:val="auto"/>
                <w:sz w:val="16"/>
                <w:szCs w:val="16"/>
              </w:rPr>
              <w:t>300,00</w:t>
            </w:r>
          </w:p>
        </w:tc>
      </w:tr>
      <w:tr w:rsidR="00417BE1" w:rsidRPr="00495EDC" w:rsidTr="008156D7">
        <w:trPr>
          <w:trHeight w:val="563"/>
        </w:trPr>
        <w:tc>
          <w:tcPr>
            <w:tcW w:w="780" w:type="dxa"/>
            <w:vAlign w:val="center"/>
          </w:tcPr>
          <w:p w:rsidR="00417BE1" w:rsidRPr="00495EDC" w:rsidRDefault="00417BE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2</w:t>
            </w:r>
          </w:p>
        </w:tc>
        <w:tc>
          <w:tcPr>
            <w:tcW w:w="5245" w:type="dxa"/>
            <w:vAlign w:val="center"/>
          </w:tcPr>
          <w:p w:rsidR="00417BE1" w:rsidRPr="00495EDC" w:rsidRDefault="00417BE1" w:rsidP="0006798A">
            <w:pPr>
              <w:widowControl/>
              <w:rPr>
                <w:rFonts w:ascii="Open Sans" w:hAnsi="Open Sans" w:cs="Open Sans"/>
                <w:color w:val="auto"/>
                <w:sz w:val="16"/>
                <w:szCs w:val="16"/>
              </w:rPr>
            </w:pPr>
            <w:r w:rsidRPr="00495EDC">
              <w:rPr>
                <w:rFonts w:ascii="Open Sans" w:hAnsi="Open Sans" w:cs="Open Sans"/>
                <w:color w:val="auto"/>
                <w:sz w:val="16"/>
                <w:szCs w:val="16"/>
              </w:rPr>
              <w:t>Poplatek za zpracování a odeslání duplikátu finančního (daňového) dokladu a/nebo faktury dle jakékoli smlouvy mezi Smluvním partnerem a Poskytovateli služeb.</w:t>
            </w:r>
          </w:p>
        </w:tc>
        <w:tc>
          <w:tcPr>
            <w:tcW w:w="1134" w:type="dxa"/>
            <w:vAlign w:val="center"/>
          </w:tcPr>
          <w:p w:rsidR="00417BE1" w:rsidRPr="00495EDC" w:rsidRDefault="00417BE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1 dokument</w:t>
            </w:r>
          </w:p>
        </w:tc>
        <w:tc>
          <w:tcPr>
            <w:tcW w:w="2835" w:type="dxa"/>
            <w:vAlign w:val="center"/>
          </w:tcPr>
          <w:p w:rsidR="00417BE1" w:rsidRPr="00B53909" w:rsidRDefault="00417BE1" w:rsidP="0006798A">
            <w:pPr>
              <w:widowControl/>
              <w:jc w:val="center"/>
              <w:rPr>
                <w:rFonts w:ascii="Open Sans" w:hAnsi="Open Sans" w:cs="Open Sans"/>
                <w:color w:val="auto"/>
                <w:sz w:val="16"/>
                <w:szCs w:val="16"/>
              </w:rPr>
            </w:pPr>
            <w:r>
              <w:rPr>
                <w:rFonts w:ascii="Open Sans" w:hAnsi="Open Sans" w:cs="Open Sans"/>
                <w:color w:val="auto"/>
                <w:sz w:val="16"/>
                <w:szCs w:val="16"/>
              </w:rPr>
              <w:t>300,00</w:t>
            </w:r>
          </w:p>
        </w:tc>
      </w:tr>
      <w:tr w:rsidR="00417BE1" w:rsidRPr="00495EDC" w:rsidTr="008156D7">
        <w:trPr>
          <w:trHeight w:val="559"/>
        </w:trPr>
        <w:tc>
          <w:tcPr>
            <w:tcW w:w="780" w:type="dxa"/>
            <w:shd w:val="clear" w:color="auto" w:fill="C0C0C0"/>
            <w:vAlign w:val="center"/>
          </w:tcPr>
          <w:p w:rsidR="00417BE1" w:rsidRPr="00495EDC" w:rsidRDefault="00417BE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3</w:t>
            </w:r>
          </w:p>
        </w:tc>
        <w:tc>
          <w:tcPr>
            <w:tcW w:w="5245" w:type="dxa"/>
            <w:shd w:val="clear" w:color="auto" w:fill="C0C0C0"/>
            <w:vAlign w:val="center"/>
          </w:tcPr>
          <w:p w:rsidR="00417BE1" w:rsidRPr="00495EDC" w:rsidRDefault="00417BE1" w:rsidP="0006798A">
            <w:pPr>
              <w:widowControl/>
              <w:rPr>
                <w:rFonts w:ascii="Open Sans" w:hAnsi="Open Sans" w:cs="Open Sans"/>
                <w:color w:val="auto"/>
                <w:sz w:val="16"/>
                <w:szCs w:val="16"/>
              </w:rPr>
            </w:pPr>
            <w:r w:rsidRPr="00495EDC">
              <w:rPr>
                <w:rFonts w:ascii="Open Sans" w:hAnsi="Open Sans" w:cs="Open Sans"/>
                <w:color w:val="auto"/>
                <w:sz w:val="16"/>
                <w:szCs w:val="16"/>
              </w:rPr>
              <w:t>Poplatek za zpracování a odeslání duplikátu jakékoli smlouvy mezi Smluvním partnerem a Poskytovateli služeb (s výjimkou Smlouvy).</w:t>
            </w:r>
          </w:p>
        </w:tc>
        <w:tc>
          <w:tcPr>
            <w:tcW w:w="1134" w:type="dxa"/>
            <w:shd w:val="clear" w:color="auto" w:fill="C0C0C0"/>
            <w:vAlign w:val="center"/>
          </w:tcPr>
          <w:p w:rsidR="00417BE1" w:rsidRPr="00495EDC" w:rsidRDefault="00417BE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1 dokument</w:t>
            </w:r>
          </w:p>
        </w:tc>
        <w:tc>
          <w:tcPr>
            <w:tcW w:w="2835" w:type="dxa"/>
            <w:shd w:val="clear" w:color="auto" w:fill="C0C0C0"/>
            <w:vAlign w:val="center"/>
          </w:tcPr>
          <w:p w:rsidR="00417BE1" w:rsidRPr="00B53909" w:rsidRDefault="00417BE1" w:rsidP="0006798A">
            <w:pPr>
              <w:widowControl/>
              <w:jc w:val="center"/>
              <w:rPr>
                <w:rFonts w:ascii="Open Sans" w:hAnsi="Open Sans" w:cs="Open Sans"/>
                <w:color w:val="auto"/>
                <w:sz w:val="16"/>
                <w:szCs w:val="16"/>
              </w:rPr>
            </w:pPr>
            <w:r>
              <w:rPr>
                <w:rFonts w:ascii="Open Sans" w:hAnsi="Open Sans" w:cs="Open Sans"/>
                <w:color w:val="auto"/>
                <w:sz w:val="16"/>
                <w:szCs w:val="16"/>
              </w:rPr>
              <w:t>300,00</w:t>
            </w:r>
          </w:p>
        </w:tc>
      </w:tr>
      <w:tr w:rsidR="00417BE1" w:rsidRPr="00495EDC" w:rsidTr="008156D7">
        <w:trPr>
          <w:trHeight w:val="649"/>
        </w:trPr>
        <w:tc>
          <w:tcPr>
            <w:tcW w:w="780" w:type="dxa"/>
            <w:vAlign w:val="center"/>
          </w:tcPr>
          <w:p w:rsidR="00417BE1" w:rsidRPr="00495EDC" w:rsidRDefault="00417BE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4</w:t>
            </w:r>
          </w:p>
        </w:tc>
        <w:tc>
          <w:tcPr>
            <w:tcW w:w="5245" w:type="dxa"/>
            <w:vAlign w:val="center"/>
          </w:tcPr>
          <w:p w:rsidR="00417BE1" w:rsidRPr="00495EDC" w:rsidRDefault="00417BE1" w:rsidP="0006798A">
            <w:pPr>
              <w:widowControl/>
              <w:rPr>
                <w:rFonts w:ascii="Open Sans" w:hAnsi="Open Sans" w:cs="Open Sans"/>
                <w:color w:val="auto"/>
                <w:sz w:val="16"/>
                <w:szCs w:val="16"/>
              </w:rPr>
            </w:pPr>
            <w:r w:rsidRPr="00495EDC">
              <w:rPr>
                <w:rFonts w:ascii="Open Sans" w:hAnsi="Open Sans" w:cs="Open Sans"/>
                <w:color w:val="auto"/>
                <w:sz w:val="16"/>
                <w:szCs w:val="16"/>
              </w:rPr>
              <w:t>Poplatek za vypracování (na žádost Smluvního partnera) jednodenního přehledu transakcí uskutečněných v uvedené internetové prodejně (e-</w:t>
            </w:r>
            <w:proofErr w:type="spellStart"/>
            <w:r w:rsidRPr="00495EDC">
              <w:rPr>
                <w:rFonts w:ascii="Open Sans" w:hAnsi="Open Sans" w:cs="Open Sans"/>
                <w:color w:val="auto"/>
                <w:sz w:val="16"/>
                <w:szCs w:val="16"/>
              </w:rPr>
              <w:t>shopu</w:t>
            </w:r>
            <w:proofErr w:type="spellEnd"/>
            <w:r w:rsidRPr="00495EDC">
              <w:rPr>
                <w:rFonts w:ascii="Open Sans" w:hAnsi="Open Sans" w:cs="Open Sans"/>
                <w:color w:val="auto"/>
                <w:sz w:val="16"/>
                <w:szCs w:val="16"/>
              </w:rPr>
              <w:t xml:space="preserve">).  </w:t>
            </w:r>
          </w:p>
        </w:tc>
        <w:tc>
          <w:tcPr>
            <w:tcW w:w="1134" w:type="dxa"/>
            <w:vAlign w:val="center"/>
          </w:tcPr>
          <w:p w:rsidR="00417BE1" w:rsidRPr="00495EDC" w:rsidRDefault="00417BE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1 dokument</w:t>
            </w:r>
          </w:p>
        </w:tc>
        <w:tc>
          <w:tcPr>
            <w:tcW w:w="2835" w:type="dxa"/>
            <w:vAlign w:val="center"/>
          </w:tcPr>
          <w:p w:rsidR="00417BE1" w:rsidRPr="00B53909" w:rsidRDefault="00417BE1" w:rsidP="0006798A">
            <w:pPr>
              <w:widowControl/>
              <w:jc w:val="center"/>
              <w:rPr>
                <w:rFonts w:ascii="Open Sans" w:hAnsi="Open Sans" w:cs="Open Sans"/>
                <w:color w:val="auto"/>
                <w:sz w:val="16"/>
                <w:szCs w:val="16"/>
              </w:rPr>
            </w:pPr>
            <w:r>
              <w:rPr>
                <w:rFonts w:ascii="Open Sans" w:hAnsi="Open Sans" w:cs="Open Sans"/>
                <w:color w:val="auto"/>
                <w:sz w:val="16"/>
                <w:szCs w:val="16"/>
              </w:rPr>
              <w:t>300,00</w:t>
            </w:r>
          </w:p>
        </w:tc>
      </w:tr>
      <w:tr w:rsidR="00417BE1" w:rsidRPr="00495EDC" w:rsidTr="008156D7">
        <w:trPr>
          <w:trHeight w:val="475"/>
        </w:trPr>
        <w:tc>
          <w:tcPr>
            <w:tcW w:w="780" w:type="dxa"/>
            <w:tcBorders>
              <w:bottom w:val="single" w:sz="6" w:space="0" w:color="595959"/>
            </w:tcBorders>
            <w:vAlign w:val="center"/>
          </w:tcPr>
          <w:p w:rsidR="00417BE1" w:rsidRPr="00495EDC" w:rsidRDefault="00417BE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5</w:t>
            </w:r>
          </w:p>
        </w:tc>
        <w:tc>
          <w:tcPr>
            <w:tcW w:w="5245" w:type="dxa"/>
            <w:tcBorders>
              <w:bottom w:val="single" w:sz="6" w:space="0" w:color="595959"/>
            </w:tcBorders>
            <w:vAlign w:val="center"/>
          </w:tcPr>
          <w:p w:rsidR="00417BE1" w:rsidRPr="00495EDC" w:rsidRDefault="00417BE1" w:rsidP="0006798A">
            <w:pPr>
              <w:widowControl/>
              <w:rPr>
                <w:rFonts w:ascii="Open Sans" w:hAnsi="Open Sans" w:cs="Open Sans"/>
                <w:color w:val="auto"/>
                <w:sz w:val="16"/>
                <w:szCs w:val="16"/>
              </w:rPr>
            </w:pPr>
            <w:r w:rsidRPr="00495EDC">
              <w:rPr>
                <w:rFonts w:ascii="Open Sans" w:hAnsi="Open Sans" w:cs="Open Sans"/>
                <w:color w:val="auto"/>
                <w:sz w:val="16"/>
                <w:szCs w:val="16"/>
              </w:rPr>
              <w:t>Poplatek za vypracování a odeslání písemné upomínky ohledně dlužných částek.</w:t>
            </w:r>
          </w:p>
        </w:tc>
        <w:tc>
          <w:tcPr>
            <w:tcW w:w="1134" w:type="dxa"/>
            <w:tcBorders>
              <w:bottom w:val="single" w:sz="6" w:space="0" w:color="595959"/>
            </w:tcBorders>
            <w:vAlign w:val="center"/>
          </w:tcPr>
          <w:p w:rsidR="00417BE1" w:rsidRPr="00495EDC" w:rsidRDefault="00417BE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1 dokument</w:t>
            </w:r>
          </w:p>
        </w:tc>
        <w:tc>
          <w:tcPr>
            <w:tcW w:w="2835" w:type="dxa"/>
            <w:tcBorders>
              <w:bottom w:val="single" w:sz="6" w:space="0" w:color="595959"/>
            </w:tcBorders>
            <w:vAlign w:val="center"/>
          </w:tcPr>
          <w:p w:rsidR="00417BE1" w:rsidRPr="00B53909" w:rsidRDefault="00417BE1" w:rsidP="0006798A">
            <w:pPr>
              <w:widowControl/>
              <w:jc w:val="center"/>
              <w:rPr>
                <w:rFonts w:ascii="Open Sans" w:hAnsi="Open Sans" w:cs="Open Sans"/>
                <w:color w:val="auto"/>
                <w:sz w:val="16"/>
                <w:szCs w:val="16"/>
              </w:rPr>
            </w:pPr>
            <w:r>
              <w:rPr>
                <w:rFonts w:ascii="Open Sans" w:hAnsi="Open Sans" w:cs="Open Sans"/>
                <w:color w:val="auto"/>
                <w:sz w:val="16"/>
                <w:szCs w:val="16"/>
              </w:rPr>
              <w:t>500,00</w:t>
            </w:r>
          </w:p>
        </w:tc>
      </w:tr>
      <w:tr w:rsidR="00417BE1" w:rsidRPr="00495EDC" w:rsidTr="008156D7">
        <w:trPr>
          <w:trHeight w:val="926"/>
        </w:trPr>
        <w:tc>
          <w:tcPr>
            <w:tcW w:w="780" w:type="dxa"/>
            <w:tcBorders>
              <w:top w:val="single" w:sz="6" w:space="0" w:color="595959"/>
              <w:bottom w:val="single" w:sz="6" w:space="0" w:color="595959"/>
            </w:tcBorders>
            <w:shd w:val="clear" w:color="auto" w:fill="BFBFBF"/>
            <w:vAlign w:val="center"/>
          </w:tcPr>
          <w:p w:rsidR="00417BE1" w:rsidRPr="00495EDC" w:rsidRDefault="00417BE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6</w:t>
            </w:r>
          </w:p>
        </w:tc>
        <w:tc>
          <w:tcPr>
            <w:tcW w:w="5245" w:type="dxa"/>
            <w:tcBorders>
              <w:top w:val="single" w:sz="6" w:space="0" w:color="595959"/>
              <w:bottom w:val="single" w:sz="6" w:space="0" w:color="595959"/>
            </w:tcBorders>
            <w:shd w:val="clear" w:color="auto" w:fill="BFBFBF"/>
            <w:vAlign w:val="center"/>
          </w:tcPr>
          <w:p w:rsidR="00417BE1" w:rsidRPr="00495EDC" w:rsidRDefault="00417BE1" w:rsidP="0006798A">
            <w:pPr>
              <w:widowControl/>
              <w:rPr>
                <w:rFonts w:ascii="Open Sans" w:hAnsi="Open Sans" w:cs="Open Sans"/>
                <w:color w:val="auto"/>
                <w:sz w:val="16"/>
                <w:szCs w:val="16"/>
              </w:rPr>
            </w:pPr>
            <w:r w:rsidRPr="00495EDC">
              <w:rPr>
                <w:rFonts w:ascii="Open Sans" w:hAnsi="Open Sans" w:cs="Open Sans"/>
                <w:color w:val="auto"/>
                <w:sz w:val="16"/>
                <w:szCs w:val="16"/>
              </w:rPr>
              <w:t xml:space="preserve">Poplatek za zpracování reklamace Smluvního partnera týkající se poplatků způsobených chybou pokladny (např. žádost o další platbu z účtu Zákazníka nebo vrácení peněz na účet Zákazníka v souvislosti s transakcí, kdy pokladní naúčtoval nesprávnou částku).  </w:t>
            </w:r>
          </w:p>
        </w:tc>
        <w:tc>
          <w:tcPr>
            <w:tcW w:w="1134" w:type="dxa"/>
            <w:tcBorders>
              <w:top w:val="single" w:sz="6" w:space="0" w:color="595959"/>
              <w:bottom w:val="single" w:sz="6" w:space="0" w:color="595959"/>
            </w:tcBorders>
            <w:shd w:val="clear" w:color="auto" w:fill="BFBFBF"/>
            <w:vAlign w:val="center"/>
          </w:tcPr>
          <w:p w:rsidR="00417BE1" w:rsidRPr="00495EDC" w:rsidRDefault="00417BE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reklamaci k 1 transakci</w:t>
            </w:r>
          </w:p>
        </w:tc>
        <w:tc>
          <w:tcPr>
            <w:tcW w:w="2835" w:type="dxa"/>
            <w:tcBorders>
              <w:top w:val="single" w:sz="6" w:space="0" w:color="595959"/>
              <w:bottom w:val="single" w:sz="6" w:space="0" w:color="595959"/>
            </w:tcBorders>
            <w:shd w:val="clear" w:color="auto" w:fill="BFBFBF"/>
            <w:vAlign w:val="center"/>
          </w:tcPr>
          <w:p w:rsidR="00417BE1" w:rsidRPr="00B53909" w:rsidRDefault="00417BE1" w:rsidP="0006798A">
            <w:pPr>
              <w:widowControl/>
              <w:jc w:val="center"/>
              <w:rPr>
                <w:rFonts w:ascii="Open Sans" w:hAnsi="Open Sans" w:cs="Open Sans"/>
                <w:color w:val="auto"/>
                <w:sz w:val="16"/>
                <w:szCs w:val="16"/>
              </w:rPr>
            </w:pPr>
            <w:r>
              <w:rPr>
                <w:rFonts w:ascii="Open Sans" w:hAnsi="Open Sans" w:cs="Open Sans"/>
                <w:color w:val="auto"/>
                <w:sz w:val="16"/>
                <w:szCs w:val="16"/>
              </w:rPr>
              <w:t>500,00</w:t>
            </w:r>
          </w:p>
        </w:tc>
      </w:tr>
      <w:tr w:rsidR="00417BE1" w:rsidRPr="00495EDC" w:rsidTr="008156D7">
        <w:trPr>
          <w:trHeight w:val="657"/>
        </w:trPr>
        <w:tc>
          <w:tcPr>
            <w:tcW w:w="780" w:type="dxa"/>
            <w:tcBorders>
              <w:top w:val="single" w:sz="6" w:space="0" w:color="595959"/>
            </w:tcBorders>
            <w:shd w:val="clear" w:color="auto" w:fill="auto"/>
            <w:vAlign w:val="center"/>
          </w:tcPr>
          <w:p w:rsidR="00417BE1" w:rsidRPr="00495EDC" w:rsidRDefault="00417BE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7</w:t>
            </w:r>
          </w:p>
        </w:tc>
        <w:tc>
          <w:tcPr>
            <w:tcW w:w="5245" w:type="dxa"/>
            <w:tcBorders>
              <w:top w:val="single" w:sz="6" w:space="0" w:color="595959"/>
            </w:tcBorders>
            <w:shd w:val="clear" w:color="auto" w:fill="auto"/>
            <w:vAlign w:val="center"/>
          </w:tcPr>
          <w:p w:rsidR="00417BE1" w:rsidRPr="00495EDC" w:rsidRDefault="00417BE1" w:rsidP="0006798A">
            <w:pPr>
              <w:widowControl/>
              <w:rPr>
                <w:rFonts w:ascii="Open Sans" w:hAnsi="Open Sans" w:cs="Open Sans"/>
                <w:color w:val="auto"/>
                <w:sz w:val="16"/>
                <w:szCs w:val="16"/>
              </w:rPr>
            </w:pPr>
            <w:r w:rsidRPr="00495EDC">
              <w:rPr>
                <w:rFonts w:ascii="Open Sans" w:hAnsi="Open Sans" w:cs="Open Sans"/>
                <w:color w:val="auto"/>
                <w:sz w:val="16"/>
                <w:szCs w:val="16"/>
              </w:rPr>
              <w:t>Poplatek za vypracování (na žádost Smluvního partnera) dodatečného měsíčního přehledu transakcí uskutečněných v uvedené internetové prodejně (e-</w:t>
            </w:r>
            <w:proofErr w:type="spellStart"/>
            <w:r w:rsidRPr="00495EDC">
              <w:rPr>
                <w:rFonts w:ascii="Open Sans" w:hAnsi="Open Sans" w:cs="Open Sans"/>
                <w:color w:val="auto"/>
                <w:sz w:val="16"/>
                <w:szCs w:val="16"/>
              </w:rPr>
              <w:t>shopu</w:t>
            </w:r>
            <w:proofErr w:type="spellEnd"/>
            <w:r w:rsidRPr="00495EDC">
              <w:rPr>
                <w:rFonts w:ascii="Open Sans" w:hAnsi="Open Sans" w:cs="Open Sans"/>
                <w:color w:val="auto"/>
                <w:sz w:val="16"/>
                <w:szCs w:val="16"/>
              </w:rPr>
              <w:t xml:space="preserve">).  </w:t>
            </w:r>
          </w:p>
        </w:tc>
        <w:tc>
          <w:tcPr>
            <w:tcW w:w="1134" w:type="dxa"/>
            <w:tcBorders>
              <w:top w:val="single" w:sz="6" w:space="0" w:color="595959"/>
            </w:tcBorders>
            <w:shd w:val="clear" w:color="auto" w:fill="auto"/>
            <w:vAlign w:val="center"/>
          </w:tcPr>
          <w:p w:rsidR="00417BE1" w:rsidRPr="00495EDC" w:rsidRDefault="00417BE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1 dokument</w:t>
            </w:r>
          </w:p>
        </w:tc>
        <w:tc>
          <w:tcPr>
            <w:tcW w:w="2835" w:type="dxa"/>
            <w:tcBorders>
              <w:top w:val="single" w:sz="6" w:space="0" w:color="595959"/>
            </w:tcBorders>
            <w:shd w:val="clear" w:color="auto" w:fill="auto"/>
            <w:vAlign w:val="center"/>
          </w:tcPr>
          <w:p w:rsidR="00417BE1" w:rsidRPr="00B53909" w:rsidRDefault="00417BE1" w:rsidP="0006798A">
            <w:pPr>
              <w:widowControl/>
              <w:jc w:val="center"/>
              <w:rPr>
                <w:rFonts w:ascii="Open Sans" w:hAnsi="Open Sans" w:cs="Open Sans"/>
                <w:color w:val="auto"/>
                <w:sz w:val="16"/>
                <w:szCs w:val="16"/>
              </w:rPr>
            </w:pPr>
            <w:r>
              <w:rPr>
                <w:rFonts w:ascii="Open Sans" w:hAnsi="Open Sans" w:cs="Open Sans"/>
                <w:color w:val="auto"/>
                <w:sz w:val="16"/>
                <w:szCs w:val="16"/>
              </w:rPr>
              <w:t>300,00</w:t>
            </w:r>
          </w:p>
        </w:tc>
      </w:tr>
      <w:tr w:rsidR="00417BE1" w:rsidRPr="00495EDC" w:rsidTr="008156D7">
        <w:trPr>
          <w:trHeight w:val="787"/>
        </w:trPr>
        <w:tc>
          <w:tcPr>
            <w:tcW w:w="780" w:type="dxa"/>
            <w:shd w:val="clear" w:color="auto" w:fill="auto"/>
            <w:vAlign w:val="center"/>
          </w:tcPr>
          <w:p w:rsidR="00417BE1" w:rsidRPr="00495EDC" w:rsidRDefault="00417BE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8</w:t>
            </w:r>
          </w:p>
        </w:tc>
        <w:tc>
          <w:tcPr>
            <w:tcW w:w="5245" w:type="dxa"/>
            <w:shd w:val="clear" w:color="auto" w:fill="auto"/>
            <w:vAlign w:val="center"/>
          </w:tcPr>
          <w:p w:rsidR="00417BE1" w:rsidRPr="00495EDC" w:rsidRDefault="00417BE1" w:rsidP="0006798A">
            <w:pPr>
              <w:widowControl/>
              <w:rPr>
                <w:rFonts w:ascii="Open Sans" w:hAnsi="Open Sans" w:cs="Open Sans"/>
                <w:color w:val="auto"/>
                <w:sz w:val="16"/>
                <w:szCs w:val="16"/>
              </w:rPr>
            </w:pPr>
            <w:r w:rsidRPr="00495EDC">
              <w:rPr>
                <w:rFonts w:ascii="Open Sans" w:hAnsi="Open Sans" w:cs="Open Sans"/>
                <w:color w:val="auto"/>
                <w:sz w:val="16"/>
                <w:szCs w:val="16"/>
              </w:rPr>
              <w:t xml:space="preserve">Poplatek za zpracování reklamace banky Zákazníka, pokud je taková reklamace důsledkem nedodržení ustanovení smlouvy uzavřené mezi Smluvním partnerem a Poskytovateli služeb. </w:t>
            </w:r>
          </w:p>
        </w:tc>
        <w:tc>
          <w:tcPr>
            <w:tcW w:w="1134" w:type="dxa"/>
            <w:shd w:val="clear" w:color="auto" w:fill="auto"/>
            <w:vAlign w:val="center"/>
          </w:tcPr>
          <w:p w:rsidR="00417BE1" w:rsidRPr="00495EDC" w:rsidRDefault="00417BE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reklamaci k 1 transakci</w:t>
            </w:r>
          </w:p>
        </w:tc>
        <w:tc>
          <w:tcPr>
            <w:tcW w:w="2835" w:type="dxa"/>
            <w:shd w:val="clear" w:color="auto" w:fill="auto"/>
            <w:vAlign w:val="center"/>
          </w:tcPr>
          <w:p w:rsidR="00417BE1" w:rsidRPr="00B53909" w:rsidRDefault="00417BE1" w:rsidP="0006798A">
            <w:pPr>
              <w:widowControl/>
              <w:jc w:val="center"/>
              <w:rPr>
                <w:rFonts w:ascii="Open Sans" w:hAnsi="Open Sans" w:cs="Open Sans"/>
                <w:color w:val="auto"/>
                <w:sz w:val="16"/>
                <w:szCs w:val="16"/>
              </w:rPr>
            </w:pPr>
            <w:r>
              <w:rPr>
                <w:rFonts w:ascii="Open Sans" w:hAnsi="Open Sans" w:cs="Open Sans"/>
                <w:color w:val="auto"/>
                <w:sz w:val="16"/>
                <w:szCs w:val="16"/>
              </w:rPr>
              <w:t>550,00</w:t>
            </w:r>
          </w:p>
        </w:tc>
      </w:tr>
      <w:tr w:rsidR="00610861" w:rsidRPr="00495EDC" w:rsidTr="008156D7">
        <w:trPr>
          <w:trHeight w:val="461"/>
        </w:trPr>
        <w:tc>
          <w:tcPr>
            <w:tcW w:w="780" w:type="dxa"/>
            <w:tcBorders>
              <w:top w:val="single" w:sz="6" w:space="0" w:color="595959"/>
              <w:bottom w:val="single" w:sz="6" w:space="0" w:color="595959"/>
            </w:tcBorders>
            <w:shd w:val="clear" w:color="auto" w:fill="auto"/>
            <w:vAlign w:val="center"/>
          </w:tcPr>
          <w:p w:rsidR="00610861" w:rsidRPr="00495EDC" w:rsidRDefault="00610861" w:rsidP="0006798A">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9</w:t>
            </w:r>
          </w:p>
        </w:tc>
        <w:tc>
          <w:tcPr>
            <w:tcW w:w="5245" w:type="dxa"/>
            <w:tcBorders>
              <w:top w:val="single" w:sz="6" w:space="0" w:color="595959"/>
              <w:bottom w:val="single" w:sz="6" w:space="0" w:color="595959"/>
            </w:tcBorders>
            <w:shd w:val="clear" w:color="auto" w:fill="auto"/>
            <w:vAlign w:val="center"/>
          </w:tcPr>
          <w:p w:rsidR="00610861" w:rsidRPr="00495EDC" w:rsidRDefault="00610861" w:rsidP="0006798A">
            <w:pPr>
              <w:widowControl/>
              <w:rPr>
                <w:rFonts w:ascii="Open Sans" w:hAnsi="Open Sans" w:cs="Open Sans"/>
                <w:color w:val="auto"/>
                <w:sz w:val="16"/>
                <w:szCs w:val="16"/>
              </w:rPr>
            </w:pPr>
            <w:r w:rsidRPr="00495EDC">
              <w:rPr>
                <w:rFonts w:ascii="Open Sans" w:hAnsi="Open Sans" w:cs="Open Sans"/>
                <w:color w:val="auto"/>
                <w:sz w:val="16"/>
                <w:szCs w:val="16"/>
              </w:rPr>
              <w:t xml:space="preserve">Poplatek za vypracování přehledu nestandardních dat na žádost Smluvního partnera. </w:t>
            </w:r>
          </w:p>
        </w:tc>
        <w:tc>
          <w:tcPr>
            <w:tcW w:w="1134" w:type="dxa"/>
            <w:tcBorders>
              <w:top w:val="single" w:sz="6" w:space="0" w:color="595959"/>
              <w:bottom w:val="single" w:sz="6" w:space="0" w:color="595959"/>
            </w:tcBorders>
            <w:shd w:val="clear" w:color="auto" w:fill="auto"/>
            <w:vAlign w:val="center"/>
          </w:tcPr>
          <w:p w:rsidR="00610861" w:rsidRPr="00495EDC" w:rsidRDefault="0061086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1 zprávu</w:t>
            </w:r>
          </w:p>
        </w:tc>
        <w:tc>
          <w:tcPr>
            <w:tcW w:w="2835" w:type="dxa"/>
            <w:tcBorders>
              <w:top w:val="single" w:sz="6" w:space="0" w:color="595959"/>
              <w:bottom w:val="single" w:sz="6" w:space="0" w:color="595959"/>
            </w:tcBorders>
            <w:shd w:val="clear" w:color="auto" w:fill="auto"/>
            <w:vAlign w:val="center"/>
          </w:tcPr>
          <w:p w:rsidR="00610861" w:rsidRPr="00495EDC" w:rsidRDefault="00610861" w:rsidP="0006798A">
            <w:pPr>
              <w:widowControl/>
              <w:jc w:val="center"/>
              <w:rPr>
                <w:rFonts w:ascii="Open Sans" w:hAnsi="Open Sans" w:cs="Open Sans"/>
                <w:color w:val="auto"/>
                <w:sz w:val="16"/>
                <w:szCs w:val="16"/>
              </w:rPr>
            </w:pPr>
            <w:r w:rsidRPr="00495EDC">
              <w:rPr>
                <w:rFonts w:ascii="Open Sans" w:hAnsi="Open Sans" w:cs="Open Sans"/>
                <w:color w:val="auto"/>
                <w:sz w:val="16"/>
                <w:szCs w:val="16"/>
              </w:rPr>
              <w:t>Sjednáno individuálně</w:t>
            </w:r>
          </w:p>
        </w:tc>
      </w:tr>
    </w:tbl>
    <w:p w:rsidR="00610861" w:rsidRPr="00495EDC" w:rsidRDefault="00610861" w:rsidP="00610861">
      <w:pPr>
        <w:pStyle w:val="Odstavecseseznamem"/>
        <w:ind w:right="436"/>
        <w:rPr>
          <w:rFonts w:ascii="Open Sans" w:hAnsi="Open Sans" w:cs="Open Sans"/>
          <w:sz w:val="16"/>
          <w:szCs w:val="16"/>
          <w:lang w:val="cs-CZ"/>
        </w:rPr>
      </w:pPr>
      <w:r w:rsidRPr="00495EDC">
        <w:rPr>
          <w:rFonts w:ascii="Open Sans" w:hAnsi="Open Sans" w:cs="Open Sans"/>
          <w:sz w:val="16"/>
          <w:szCs w:val="16"/>
          <w:lang w:val="cs-CZ"/>
        </w:rPr>
        <w:t xml:space="preserve">Faktura na poplatky za jednorázové dodatečné Služby bude vystavena do 15 dnů od konce příslušného kalendářního měsíce, kdy byly předmětné jednorázové dodatečné Služby poskytnuty, přičemž datem zdanitelného plnění bude poslední den běžného měsíce. </w:t>
      </w:r>
    </w:p>
    <w:p w:rsidR="00777942" w:rsidRPr="008156D7" w:rsidRDefault="002E3D19" w:rsidP="002C3DDC">
      <w:pPr>
        <w:pStyle w:val="Bodytext20"/>
        <w:numPr>
          <w:ilvl w:val="1"/>
          <w:numId w:val="26"/>
        </w:numPr>
        <w:shd w:val="clear" w:color="auto" w:fill="auto"/>
        <w:spacing w:before="120" w:line="264" w:lineRule="exact"/>
        <w:ind w:right="560"/>
        <w:jc w:val="both"/>
        <w:rPr>
          <w:rFonts w:ascii="Open Sans" w:hAnsi="Open Sans" w:cs="Open Sans"/>
          <w:sz w:val="16"/>
          <w:szCs w:val="16"/>
        </w:rPr>
      </w:pPr>
      <w:r w:rsidRPr="002E3D19">
        <w:rPr>
          <w:rFonts w:ascii="Open Sans" w:hAnsi="Open Sans" w:cs="Open Sans"/>
          <w:sz w:val="16"/>
          <w:szCs w:val="16"/>
        </w:rPr>
        <w:t>Poskytovatelé služeb poskytnou Smluvnímu partnerovi informace vyžadované dle ustanovení § 147 odst. 1 zákona o platebním styku a čl. 12 Nařízení Evropského parlamentu a Rady (EU) 2015/751 ze dne 29. dubna 2015 o mezibankovních poplatcích za karetní platební transakce po uskutečnění každé jednotlivé Transakce prostřednictvím Portálu prodejce – k dispozici na webu www.revopayments.</w:t>
      </w:r>
      <w:proofErr w:type="gramStart"/>
      <w:r w:rsidRPr="002E3D19">
        <w:rPr>
          <w:rFonts w:ascii="Open Sans" w:hAnsi="Open Sans" w:cs="Open Sans"/>
          <w:sz w:val="16"/>
          <w:szCs w:val="16"/>
        </w:rPr>
        <w:t>cz</w:t>
      </w:r>
      <w:proofErr w:type="gramEnd"/>
      <w:r w:rsidRPr="002E3D19">
        <w:rPr>
          <w:rFonts w:ascii="Open Sans" w:hAnsi="Open Sans" w:cs="Open Sans"/>
          <w:sz w:val="16"/>
          <w:szCs w:val="16"/>
        </w:rPr>
        <w:t xml:space="preserve"> –</w:t>
      </w:r>
      <w:proofErr w:type="gramStart"/>
      <w:r w:rsidRPr="002E3D19">
        <w:rPr>
          <w:rFonts w:ascii="Open Sans" w:hAnsi="Open Sans" w:cs="Open Sans"/>
          <w:sz w:val="16"/>
          <w:szCs w:val="16"/>
        </w:rPr>
        <w:t>nebo</w:t>
      </w:r>
      <w:proofErr w:type="gramEnd"/>
      <w:r w:rsidRPr="002E3D19">
        <w:rPr>
          <w:rFonts w:ascii="Open Sans" w:hAnsi="Open Sans" w:cs="Open Sans"/>
          <w:sz w:val="16"/>
          <w:szCs w:val="16"/>
        </w:rPr>
        <w:t xml:space="preserve"> v rámci OMS (Online služby prodejce) v případě, že má Smluvní partner k dispozici funkci OMS, a to vše ve formátu umožňujícím tyto informace uchovávat a reprodukovat je v nezměněné podobě.</w:t>
      </w:r>
    </w:p>
    <w:p w:rsidR="00B127F0" w:rsidRPr="00495EDC" w:rsidRDefault="00B127F0" w:rsidP="002C3DDC">
      <w:pPr>
        <w:pStyle w:val="Odstavecseseznamem"/>
        <w:rPr>
          <w:rFonts w:ascii="Open Sans" w:eastAsia="Arial" w:hAnsi="Open Sans" w:cs="Open Sans"/>
          <w:color w:val="000000"/>
          <w:sz w:val="16"/>
          <w:szCs w:val="16"/>
          <w:lang w:val="cs-CZ"/>
        </w:rPr>
      </w:pPr>
    </w:p>
    <w:p w:rsidR="000244DD" w:rsidRPr="00780C62" w:rsidRDefault="000244DD" w:rsidP="000244DD">
      <w:pPr>
        <w:ind w:left="708"/>
        <w:rPr>
          <w:rFonts w:ascii="Open Sans" w:hAnsi="Open Sans" w:cs="Open Sans"/>
          <w:sz w:val="16"/>
          <w:szCs w:val="16"/>
        </w:rPr>
      </w:pPr>
      <w:r w:rsidRPr="00780C62">
        <w:rPr>
          <w:rFonts w:ascii="Open Sans" w:hAnsi="Open Sans" w:cs="Open Sans"/>
          <w:sz w:val="16"/>
          <w:szCs w:val="16"/>
        </w:rPr>
        <w:t>v</w:t>
      </w:r>
      <w:r>
        <w:rPr>
          <w:rFonts w:ascii="Open Sans" w:hAnsi="Open Sans" w:cs="Open Sans"/>
          <w:sz w:val="16"/>
          <w:szCs w:val="16"/>
        </w:rPr>
        <w:t> Praze,</w:t>
      </w:r>
      <w:r w:rsidRPr="00780C62">
        <w:rPr>
          <w:rFonts w:ascii="Open Sans" w:hAnsi="Open Sans" w:cs="Open Sans"/>
          <w:sz w:val="16"/>
          <w:szCs w:val="16"/>
        </w:rPr>
        <w:t xml:space="preserve"> dne</w:t>
      </w:r>
      <w:r>
        <w:rPr>
          <w:rFonts w:ascii="Open Sans" w:hAnsi="Open Sans" w:cs="Open Sans"/>
          <w:sz w:val="16"/>
          <w:szCs w:val="16"/>
        </w:rPr>
        <w:t xml:space="preserve"> 18.</w:t>
      </w:r>
      <w:r>
        <w:rPr>
          <w:rFonts w:ascii="Open Sans" w:hAnsi="Open Sans" w:cs="Open Sans"/>
          <w:sz w:val="16"/>
          <w:szCs w:val="16"/>
        </w:rPr>
        <w:t xml:space="preserve"> </w:t>
      </w:r>
      <w:r>
        <w:rPr>
          <w:rFonts w:ascii="Open Sans" w:hAnsi="Open Sans" w:cs="Open Sans"/>
          <w:sz w:val="16"/>
          <w:szCs w:val="16"/>
        </w:rPr>
        <w:t>3.</w:t>
      </w:r>
      <w:r>
        <w:rPr>
          <w:rFonts w:ascii="Open Sans" w:hAnsi="Open Sans" w:cs="Open Sans"/>
          <w:sz w:val="16"/>
          <w:szCs w:val="16"/>
        </w:rPr>
        <w:t xml:space="preserve"> </w:t>
      </w:r>
      <w:r>
        <w:rPr>
          <w:rFonts w:ascii="Open Sans" w:hAnsi="Open Sans" w:cs="Open Sans"/>
          <w:sz w:val="16"/>
          <w:szCs w:val="16"/>
        </w:rPr>
        <w:t>2021</w:t>
      </w:r>
    </w:p>
    <w:tbl>
      <w:tblPr>
        <w:tblW w:w="9570" w:type="dxa"/>
        <w:tblInd w:w="494" w:type="dxa"/>
        <w:tblLayout w:type="fixed"/>
        <w:tblCellMar>
          <w:left w:w="70" w:type="dxa"/>
          <w:right w:w="70" w:type="dxa"/>
        </w:tblCellMar>
        <w:tblLook w:val="0000" w:firstRow="0" w:lastRow="0" w:firstColumn="0" w:lastColumn="0" w:noHBand="0" w:noVBand="0"/>
      </w:tblPr>
      <w:tblGrid>
        <w:gridCol w:w="4750"/>
        <w:gridCol w:w="4820"/>
      </w:tblGrid>
      <w:tr w:rsidR="000244DD" w:rsidRPr="00780C62" w:rsidTr="00DF306F">
        <w:trPr>
          <w:cantSplit/>
        </w:trPr>
        <w:tc>
          <w:tcPr>
            <w:tcW w:w="4750" w:type="dxa"/>
            <w:tcBorders>
              <w:top w:val="nil"/>
              <w:left w:val="nil"/>
              <w:bottom w:val="nil"/>
              <w:right w:val="nil"/>
            </w:tcBorders>
          </w:tcPr>
          <w:p w:rsidR="000244DD" w:rsidRPr="00780C62" w:rsidRDefault="000244DD" w:rsidP="00DF306F">
            <w:pPr>
              <w:tabs>
                <w:tab w:val="left" w:pos="1276"/>
              </w:tabs>
              <w:ind w:left="284"/>
              <w:jc w:val="both"/>
              <w:rPr>
                <w:rFonts w:ascii="Open Sans" w:hAnsi="Open Sans" w:cs="Open Sans"/>
                <w:sz w:val="16"/>
                <w:szCs w:val="16"/>
              </w:rPr>
            </w:pPr>
            <w:bookmarkStart w:id="0" w:name="zmocos"/>
            <w:bookmarkEnd w:id="0"/>
          </w:p>
        </w:tc>
        <w:tc>
          <w:tcPr>
            <w:tcW w:w="4820" w:type="dxa"/>
            <w:tcBorders>
              <w:top w:val="nil"/>
              <w:left w:val="nil"/>
              <w:bottom w:val="nil"/>
              <w:right w:val="nil"/>
            </w:tcBorders>
          </w:tcPr>
          <w:p w:rsidR="000244DD" w:rsidRPr="00780C62" w:rsidRDefault="000244DD" w:rsidP="00DF306F">
            <w:pPr>
              <w:ind w:left="284"/>
              <w:jc w:val="both"/>
              <w:rPr>
                <w:rFonts w:ascii="Open Sans" w:hAnsi="Open Sans" w:cs="Open Sans"/>
                <w:sz w:val="16"/>
                <w:szCs w:val="16"/>
              </w:rPr>
            </w:pPr>
            <w:bookmarkStart w:id="1" w:name="dne1"/>
            <w:bookmarkStart w:id="2" w:name="prac1"/>
            <w:bookmarkStart w:id="3" w:name="funkb1"/>
            <w:bookmarkEnd w:id="1"/>
            <w:bookmarkEnd w:id="2"/>
            <w:bookmarkEnd w:id="3"/>
          </w:p>
        </w:tc>
      </w:tr>
    </w:tbl>
    <w:p w:rsidR="000244DD" w:rsidRPr="000017DD" w:rsidRDefault="000244DD" w:rsidP="000244DD">
      <w:pPr>
        <w:ind w:left="708"/>
        <w:rPr>
          <w:rFonts w:ascii="Open Sans" w:hAnsi="Open Sans" w:cs="Open Sans"/>
          <w:b/>
          <w:sz w:val="16"/>
          <w:szCs w:val="16"/>
        </w:rPr>
      </w:pPr>
      <w:r w:rsidRPr="000017DD">
        <w:rPr>
          <w:rFonts w:ascii="Open Sans" w:hAnsi="Open Sans" w:cs="Open Sans"/>
          <w:b/>
          <w:sz w:val="16"/>
          <w:szCs w:val="16"/>
        </w:rPr>
        <w:t xml:space="preserve">EVO </w:t>
      </w:r>
      <w:proofErr w:type="spellStart"/>
      <w:r w:rsidRPr="000017DD">
        <w:rPr>
          <w:rFonts w:ascii="Open Sans" w:hAnsi="Open Sans" w:cs="Open Sans"/>
          <w:b/>
          <w:sz w:val="16"/>
          <w:szCs w:val="16"/>
        </w:rPr>
        <w:t>Payments</w:t>
      </w:r>
      <w:proofErr w:type="spellEnd"/>
      <w:r w:rsidRPr="000017DD">
        <w:rPr>
          <w:rFonts w:ascii="Open Sans" w:hAnsi="Open Sans" w:cs="Open Sans"/>
          <w:b/>
          <w:sz w:val="16"/>
          <w:szCs w:val="16"/>
        </w:rPr>
        <w:t xml:space="preserve"> International s.r.o.</w:t>
      </w:r>
      <w:r w:rsidRPr="00780C62">
        <w:rPr>
          <w:rFonts w:ascii="Open Sans" w:hAnsi="Open Sans" w:cs="Open Sans"/>
          <w:sz w:val="16"/>
          <w:szCs w:val="16"/>
        </w:rPr>
        <w:t xml:space="preserve"> </w:t>
      </w:r>
      <w:r w:rsidRPr="00780C62">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sidRPr="000017DD">
        <w:rPr>
          <w:rFonts w:ascii="Open Sans" w:hAnsi="Open Sans" w:cs="Open Sans"/>
          <w:b/>
          <w:sz w:val="16"/>
          <w:szCs w:val="16"/>
        </w:rPr>
        <w:t xml:space="preserve">EVO </w:t>
      </w:r>
      <w:proofErr w:type="spellStart"/>
      <w:r w:rsidRPr="000017DD">
        <w:rPr>
          <w:rFonts w:ascii="Open Sans" w:hAnsi="Open Sans" w:cs="Open Sans"/>
          <w:b/>
          <w:sz w:val="16"/>
          <w:szCs w:val="16"/>
        </w:rPr>
        <w:t>Payments</w:t>
      </w:r>
      <w:proofErr w:type="spellEnd"/>
      <w:r w:rsidRPr="000017DD">
        <w:rPr>
          <w:rFonts w:ascii="Open Sans" w:hAnsi="Open Sans" w:cs="Open Sans"/>
          <w:b/>
          <w:sz w:val="16"/>
          <w:szCs w:val="16"/>
        </w:rPr>
        <w:t xml:space="preserve"> International </w:t>
      </w:r>
      <w:proofErr w:type="spellStart"/>
      <w:r w:rsidRPr="000017DD">
        <w:rPr>
          <w:rFonts w:ascii="Open Sans" w:hAnsi="Open Sans" w:cs="Open Sans"/>
          <w:b/>
          <w:sz w:val="16"/>
          <w:szCs w:val="16"/>
        </w:rPr>
        <w:t>GmbH</w:t>
      </w:r>
      <w:proofErr w:type="spellEnd"/>
    </w:p>
    <w:p w:rsidR="000244DD" w:rsidRDefault="000244DD" w:rsidP="000244DD">
      <w:pPr>
        <w:ind w:left="709"/>
        <w:rPr>
          <w:b/>
          <w:bCs/>
          <w:noProof/>
        </w:rPr>
      </w:pPr>
    </w:p>
    <w:p w:rsidR="000244DD" w:rsidRDefault="000244DD" w:rsidP="000244DD">
      <w:pPr>
        <w:ind w:firstLine="708"/>
        <w:rPr>
          <w:rFonts w:ascii="Open Sans" w:hAnsi="Open Sans" w:cs="Open Sans"/>
          <w:sz w:val="16"/>
          <w:szCs w:val="16"/>
        </w:rPr>
      </w:pPr>
    </w:p>
    <w:p w:rsidR="000244DD" w:rsidRPr="00780C62" w:rsidRDefault="000244DD" w:rsidP="000244DD">
      <w:pPr>
        <w:ind w:firstLine="708"/>
        <w:rPr>
          <w:rFonts w:ascii="Open Sans" w:hAnsi="Open Sans" w:cs="Open Sans"/>
          <w:sz w:val="16"/>
          <w:szCs w:val="16"/>
        </w:rPr>
      </w:pPr>
      <w:r w:rsidRPr="007B1FDC">
        <w:rPr>
          <w:rFonts w:ascii="Open Sans" w:hAnsi="Open Sans" w:cs="Open Sans"/>
          <w:sz w:val="16"/>
          <w:szCs w:val="16"/>
        </w:rPr>
        <w:t>__________________________</w:t>
      </w:r>
      <w:r>
        <w:rPr>
          <w:rFonts w:ascii="Open Sans" w:hAnsi="Open Sans" w:cs="Open Sans"/>
          <w:sz w:val="16"/>
          <w:szCs w:val="16"/>
        </w:rPr>
        <w:t>_________________________________________________________________________</w:t>
      </w:r>
    </w:p>
    <w:p w:rsidR="000244DD" w:rsidRDefault="000244DD" w:rsidP="000244DD">
      <w:pPr>
        <w:ind w:left="709"/>
        <w:rPr>
          <w:rFonts w:ascii="Open Sans" w:hAnsi="Open Sans" w:cs="Open Sans"/>
          <w:sz w:val="16"/>
          <w:szCs w:val="16"/>
        </w:rPr>
      </w:pPr>
      <w:r>
        <w:rPr>
          <w:rFonts w:ascii="Open Sans" w:hAnsi="Open Sans" w:cs="Open Sans"/>
          <w:sz w:val="16"/>
          <w:szCs w:val="16"/>
        </w:rPr>
        <w:t>Kateřina Štěrbová</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Kateřina Štěrbová</w:t>
      </w:r>
    </w:p>
    <w:p w:rsidR="000244DD" w:rsidRDefault="000244DD" w:rsidP="000244DD">
      <w:pPr>
        <w:ind w:left="709"/>
        <w:rPr>
          <w:rFonts w:ascii="Open Sans" w:hAnsi="Open Sans" w:cs="Open Sans"/>
          <w:sz w:val="16"/>
          <w:szCs w:val="16"/>
        </w:rPr>
      </w:pPr>
      <w:r>
        <w:rPr>
          <w:rFonts w:ascii="Open Sans" w:hAnsi="Open Sans" w:cs="Open Sans"/>
          <w:sz w:val="16"/>
          <w:szCs w:val="16"/>
        </w:rPr>
        <w:t>Jednatelka</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na základě plné moci</w:t>
      </w:r>
    </w:p>
    <w:p w:rsidR="000244DD" w:rsidRDefault="000244DD" w:rsidP="000244DD">
      <w:pPr>
        <w:ind w:left="709"/>
        <w:rPr>
          <w:rFonts w:ascii="Open Sans" w:hAnsi="Open Sans" w:cs="Open Sans"/>
          <w:sz w:val="16"/>
          <w:szCs w:val="16"/>
        </w:rPr>
      </w:pPr>
    </w:p>
    <w:p w:rsidR="003F1F2D" w:rsidRDefault="003F1F2D" w:rsidP="000244DD">
      <w:pPr>
        <w:ind w:left="709"/>
        <w:rPr>
          <w:rFonts w:ascii="Open Sans" w:hAnsi="Open Sans" w:cs="Open Sans"/>
          <w:sz w:val="16"/>
          <w:szCs w:val="16"/>
        </w:rPr>
      </w:pPr>
    </w:p>
    <w:p w:rsidR="000244DD" w:rsidRDefault="000244DD" w:rsidP="000244DD">
      <w:pPr>
        <w:ind w:left="709"/>
        <w:rPr>
          <w:rFonts w:ascii="Open Sans" w:hAnsi="Open Sans" w:cs="Open Sans"/>
          <w:sz w:val="16"/>
          <w:szCs w:val="16"/>
        </w:rPr>
      </w:pPr>
      <w:bookmarkStart w:id="4" w:name="_GoBack"/>
      <w:bookmarkEnd w:id="4"/>
      <w:r w:rsidRPr="00780C62">
        <w:rPr>
          <w:rFonts w:ascii="Open Sans" w:hAnsi="Open Sans" w:cs="Open Sans"/>
          <w:sz w:val="16"/>
          <w:szCs w:val="16"/>
        </w:rPr>
        <w:t>v</w:t>
      </w:r>
      <w:r>
        <w:rPr>
          <w:rFonts w:ascii="Open Sans" w:hAnsi="Open Sans" w:cs="Open Sans"/>
          <w:sz w:val="16"/>
          <w:szCs w:val="16"/>
        </w:rPr>
        <w:t> Praze, dne ………………………..</w:t>
      </w:r>
    </w:p>
    <w:p w:rsidR="000244DD" w:rsidRDefault="000244DD" w:rsidP="000244DD">
      <w:pPr>
        <w:ind w:firstLine="708"/>
        <w:jc w:val="both"/>
        <w:rPr>
          <w:rFonts w:ascii="Open Sans" w:hAnsi="Open Sans" w:cs="Open Sans"/>
          <w:b/>
          <w:bCs/>
          <w:sz w:val="16"/>
          <w:szCs w:val="16"/>
        </w:rPr>
      </w:pPr>
    </w:p>
    <w:p w:rsidR="000244DD" w:rsidRDefault="000244DD" w:rsidP="000244DD">
      <w:pPr>
        <w:ind w:firstLine="708"/>
        <w:jc w:val="both"/>
        <w:rPr>
          <w:rFonts w:ascii="Open Sans" w:hAnsi="Open Sans" w:cs="Open Sans"/>
          <w:b/>
          <w:bCs/>
          <w:sz w:val="16"/>
          <w:szCs w:val="16"/>
        </w:rPr>
      </w:pPr>
      <w:r>
        <w:rPr>
          <w:rFonts w:ascii="Open Sans" w:hAnsi="Open Sans" w:cs="Open Sans"/>
          <w:b/>
          <w:bCs/>
          <w:sz w:val="16"/>
          <w:szCs w:val="16"/>
        </w:rPr>
        <w:t>Národní památkový ústav</w:t>
      </w:r>
    </w:p>
    <w:p w:rsidR="000244DD" w:rsidRPr="00780C62" w:rsidRDefault="000244DD" w:rsidP="000244DD">
      <w:pPr>
        <w:ind w:left="708"/>
        <w:jc w:val="both"/>
        <w:rPr>
          <w:rFonts w:ascii="Open Sans" w:hAnsi="Open Sans" w:cs="Open Sans"/>
          <w:sz w:val="16"/>
          <w:szCs w:val="16"/>
        </w:rPr>
      </w:pPr>
    </w:p>
    <w:p w:rsidR="000244DD" w:rsidRDefault="000244DD" w:rsidP="000244DD">
      <w:pPr>
        <w:ind w:firstLine="708"/>
        <w:rPr>
          <w:rFonts w:ascii="Open Sans" w:hAnsi="Open Sans" w:cs="Open Sans"/>
          <w:sz w:val="16"/>
          <w:szCs w:val="16"/>
        </w:rPr>
      </w:pPr>
    </w:p>
    <w:p w:rsidR="000244DD" w:rsidRDefault="000244DD" w:rsidP="000244DD">
      <w:pPr>
        <w:ind w:firstLine="708"/>
        <w:rPr>
          <w:rFonts w:ascii="Open Sans" w:hAnsi="Open Sans" w:cs="Open Sans"/>
          <w:sz w:val="16"/>
          <w:szCs w:val="16"/>
        </w:rPr>
      </w:pPr>
    </w:p>
    <w:p w:rsidR="000244DD" w:rsidRDefault="000244DD" w:rsidP="000244DD">
      <w:pPr>
        <w:ind w:firstLine="708"/>
        <w:rPr>
          <w:rFonts w:ascii="Open Sans" w:hAnsi="Open Sans" w:cs="Open Sans"/>
          <w:sz w:val="16"/>
          <w:szCs w:val="16"/>
        </w:rPr>
      </w:pPr>
      <w:r>
        <w:rPr>
          <w:rFonts w:ascii="Open Sans" w:hAnsi="Open Sans" w:cs="Open Sans"/>
          <w:sz w:val="16"/>
          <w:szCs w:val="16"/>
        </w:rPr>
        <w:t>________________________________</w:t>
      </w:r>
    </w:p>
    <w:p w:rsidR="000244DD" w:rsidRPr="000862AD" w:rsidRDefault="000244DD" w:rsidP="000244DD">
      <w:pPr>
        <w:ind w:left="708"/>
        <w:rPr>
          <w:rFonts w:ascii="Open Sans" w:hAnsi="Open Sans" w:cs="Open Sans"/>
          <w:sz w:val="16"/>
          <w:szCs w:val="16"/>
        </w:rPr>
      </w:pPr>
      <w:r>
        <w:rPr>
          <w:rFonts w:ascii="Open Sans" w:hAnsi="Open Sans" w:cs="Open Sans"/>
          <w:sz w:val="16"/>
          <w:szCs w:val="16"/>
        </w:rPr>
        <w:t xml:space="preserve">Ing. arch. Naděžda </w:t>
      </w:r>
      <w:proofErr w:type="spellStart"/>
      <w:r>
        <w:rPr>
          <w:rFonts w:ascii="Open Sans" w:hAnsi="Open Sans" w:cs="Open Sans"/>
          <w:sz w:val="16"/>
          <w:szCs w:val="16"/>
        </w:rPr>
        <w:t>Goryczková</w:t>
      </w:r>
      <w:proofErr w:type="spellEnd"/>
    </w:p>
    <w:p w:rsidR="000244DD" w:rsidRDefault="000244DD" w:rsidP="000244DD">
      <w:pPr>
        <w:ind w:left="708"/>
        <w:rPr>
          <w:rFonts w:ascii="Open Sans" w:hAnsi="Open Sans" w:cs="Open Sans"/>
          <w:sz w:val="16"/>
          <w:szCs w:val="16"/>
        </w:rPr>
      </w:pPr>
      <w:r>
        <w:rPr>
          <w:rFonts w:ascii="Open Sans" w:hAnsi="Open Sans" w:cs="Open Sans"/>
          <w:sz w:val="16"/>
          <w:szCs w:val="16"/>
        </w:rPr>
        <w:t>generální ředitelka</w:t>
      </w:r>
    </w:p>
    <w:sectPr w:rsidR="000244DD" w:rsidSect="007D2B83">
      <w:headerReference w:type="even" r:id="rId8"/>
      <w:headerReference w:type="default" r:id="rId9"/>
      <w:footerReference w:type="even" r:id="rId10"/>
      <w:footerReference w:type="default" r:id="rId11"/>
      <w:pgSz w:w="11900" w:h="16840"/>
      <w:pgMar w:top="682" w:right="763" w:bottom="968" w:left="1062" w:header="0" w:footer="682" w:gutter="0"/>
      <w:pgNumType w:start="1" w:chapStyle="1" w:chapSep="period"/>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396" w:rsidRDefault="00CB6396">
      <w:r>
        <w:separator/>
      </w:r>
    </w:p>
  </w:endnote>
  <w:endnote w:type="continuationSeparator" w:id="0">
    <w:p w:rsidR="00CB6396" w:rsidRDefault="00CB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862420"/>
      <w:docPartObj>
        <w:docPartGallery w:val="Page Numbers (Bottom of Page)"/>
        <w:docPartUnique/>
      </w:docPartObj>
    </w:sdtPr>
    <w:sdtEndPr/>
    <w:sdtContent>
      <w:p w:rsidR="00791BA3" w:rsidRDefault="00791BA3">
        <w:pPr>
          <w:pStyle w:val="Zpat"/>
          <w:jc w:val="center"/>
        </w:pPr>
        <w:r w:rsidRPr="002F2D7D">
          <w:rPr>
            <w:rFonts w:ascii="Open Sans" w:hAnsi="Open Sans" w:cs="Open Sans"/>
            <w:sz w:val="16"/>
            <w:szCs w:val="16"/>
          </w:rPr>
          <w:fldChar w:fldCharType="begin"/>
        </w:r>
        <w:r w:rsidRPr="002F2D7D">
          <w:rPr>
            <w:rFonts w:ascii="Open Sans" w:hAnsi="Open Sans" w:cs="Open Sans"/>
            <w:sz w:val="16"/>
            <w:szCs w:val="16"/>
          </w:rPr>
          <w:instrText>PAGE   \* MERGEFORMAT</w:instrText>
        </w:r>
        <w:r w:rsidRPr="002F2D7D">
          <w:rPr>
            <w:rFonts w:ascii="Open Sans" w:hAnsi="Open Sans" w:cs="Open Sans"/>
            <w:sz w:val="16"/>
            <w:szCs w:val="16"/>
          </w:rPr>
          <w:fldChar w:fldCharType="separate"/>
        </w:r>
        <w:r w:rsidR="003F1F2D" w:rsidRPr="003F1F2D">
          <w:rPr>
            <w:rFonts w:ascii="Open Sans" w:hAnsi="Open Sans" w:cs="Open Sans"/>
            <w:noProof/>
            <w:sz w:val="16"/>
            <w:szCs w:val="16"/>
            <w:lang w:val="pl-PL"/>
          </w:rPr>
          <w:t>2</w:t>
        </w:r>
        <w:r w:rsidRPr="002F2D7D">
          <w:rPr>
            <w:rFonts w:ascii="Open Sans" w:hAnsi="Open Sans" w:cs="Open Sans"/>
            <w:sz w:val="16"/>
            <w:szCs w:val="16"/>
          </w:rPr>
          <w:fldChar w:fldCharType="end"/>
        </w:r>
      </w:p>
    </w:sdtContent>
  </w:sdt>
  <w:p w:rsidR="00791BA3" w:rsidRDefault="001D0809" w:rsidP="00E653C2">
    <w:pPr>
      <w:pStyle w:val="Zpat"/>
    </w:pPr>
    <w:r>
      <w:tab/>
    </w:r>
    <w:r>
      <w:tab/>
    </w:r>
    <w:r>
      <w:rPr>
        <w:rFonts w:ascii="Calibri" w:hAnsi="Calibri" w:cs="Calibri"/>
        <w:noProof/>
        <w:sz w:val="18"/>
        <w:szCs w:val="18"/>
        <w:lang w:val="en-GB" w:eastAsia="zh-TW" w:bidi="ar-SA"/>
      </w:rPr>
      <w:drawing>
        <wp:inline distT="0" distB="0" distL="0" distR="0" wp14:anchorId="7D531AC7" wp14:editId="78373F8C">
          <wp:extent cx="1508760" cy="2468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24688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610911"/>
      <w:docPartObj>
        <w:docPartGallery w:val="Page Numbers (Bottom of Page)"/>
        <w:docPartUnique/>
      </w:docPartObj>
    </w:sdtPr>
    <w:sdtEndPr>
      <w:rPr>
        <w:rFonts w:ascii="Open Sans" w:hAnsi="Open Sans" w:cs="Open Sans"/>
        <w:sz w:val="16"/>
        <w:szCs w:val="16"/>
      </w:rPr>
    </w:sdtEndPr>
    <w:sdtContent>
      <w:p w:rsidR="00791BA3" w:rsidRPr="002F2D7D" w:rsidRDefault="00791BA3">
        <w:pPr>
          <w:pStyle w:val="Zpat"/>
          <w:jc w:val="center"/>
          <w:rPr>
            <w:rFonts w:ascii="Open Sans" w:hAnsi="Open Sans" w:cs="Open Sans"/>
            <w:sz w:val="16"/>
            <w:szCs w:val="16"/>
          </w:rPr>
        </w:pPr>
        <w:r w:rsidRPr="002F2D7D">
          <w:rPr>
            <w:rFonts w:ascii="Open Sans" w:hAnsi="Open Sans" w:cs="Open Sans"/>
            <w:sz w:val="16"/>
            <w:szCs w:val="16"/>
          </w:rPr>
          <w:fldChar w:fldCharType="begin"/>
        </w:r>
        <w:r w:rsidRPr="002F2D7D">
          <w:rPr>
            <w:rFonts w:ascii="Open Sans" w:hAnsi="Open Sans" w:cs="Open Sans"/>
            <w:sz w:val="16"/>
            <w:szCs w:val="16"/>
          </w:rPr>
          <w:instrText>PAGE   \* MERGEFORMAT</w:instrText>
        </w:r>
        <w:r w:rsidRPr="002F2D7D">
          <w:rPr>
            <w:rFonts w:ascii="Open Sans" w:hAnsi="Open Sans" w:cs="Open Sans"/>
            <w:sz w:val="16"/>
            <w:szCs w:val="16"/>
          </w:rPr>
          <w:fldChar w:fldCharType="separate"/>
        </w:r>
        <w:r w:rsidR="003F1F2D" w:rsidRPr="003F1F2D">
          <w:rPr>
            <w:rFonts w:ascii="Open Sans" w:hAnsi="Open Sans" w:cs="Open Sans"/>
            <w:noProof/>
            <w:sz w:val="16"/>
            <w:szCs w:val="16"/>
            <w:lang w:val="pl-PL"/>
          </w:rPr>
          <w:t>1</w:t>
        </w:r>
        <w:r w:rsidRPr="002F2D7D">
          <w:rPr>
            <w:rFonts w:ascii="Open Sans" w:hAnsi="Open Sans" w:cs="Open Sans"/>
            <w:sz w:val="16"/>
            <w:szCs w:val="16"/>
          </w:rPr>
          <w:fldChar w:fldCharType="end"/>
        </w:r>
      </w:p>
    </w:sdtContent>
  </w:sdt>
  <w:p w:rsidR="00791BA3" w:rsidRDefault="001D0809">
    <w:pPr>
      <w:pStyle w:val="Zpat"/>
    </w:pPr>
    <w:r>
      <w:tab/>
    </w:r>
    <w:r>
      <w:tab/>
      <w:t xml:space="preserve">  </w:t>
    </w:r>
    <w:r>
      <w:rPr>
        <w:rFonts w:ascii="Calibri" w:hAnsi="Calibri" w:cs="Calibri"/>
        <w:noProof/>
        <w:sz w:val="18"/>
        <w:szCs w:val="18"/>
        <w:lang w:val="en-GB" w:eastAsia="zh-TW" w:bidi="ar-SA"/>
      </w:rPr>
      <w:drawing>
        <wp:inline distT="0" distB="0" distL="0" distR="0" wp14:anchorId="5F82D262" wp14:editId="38CDDC95">
          <wp:extent cx="1508760" cy="246888"/>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2468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396" w:rsidRDefault="00CB6396">
      <w:r>
        <w:separator/>
      </w:r>
    </w:p>
  </w:footnote>
  <w:footnote w:type="continuationSeparator" w:id="0">
    <w:p w:rsidR="00CB6396" w:rsidRDefault="00CB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3" w:rsidRDefault="00791BA3">
    <w:pPr>
      <w:pStyle w:val="Zhlav"/>
    </w:pPr>
  </w:p>
  <w:p w:rsidR="00791BA3" w:rsidRDefault="00791BA3" w:rsidP="00E653C2">
    <w:r>
      <w:rPr>
        <w:noProof/>
        <w:lang w:val="en-GB" w:eastAsia="zh-TW" w:bidi="ar-SA"/>
      </w:rPr>
      <w:drawing>
        <wp:anchor distT="0" distB="0" distL="114300" distR="114300" simplePos="0" relativeHeight="251659264" behindDoc="1" locked="0" layoutInCell="1" allowOverlap="1" wp14:anchorId="0A2D6F28" wp14:editId="0C0E1725">
          <wp:simplePos x="0" y="0"/>
          <wp:positionH relativeFrom="margin">
            <wp:posOffset>-130810</wp:posOffset>
          </wp:positionH>
          <wp:positionV relativeFrom="paragraph">
            <wp:posOffset>113665</wp:posOffset>
          </wp:positionV>
          <wp:extent cx="970280" cy="433705"/>
          <wp:effectExtent l="0" t="0" r="1270" b="4445"/>
          <wp:wrapTight wrapText="bothSides">
            <wp:wrapPolygon edited="0">
              <wp:start x="0" y="0"/>
              <wp:lineTo x="0" y="16129"/>
              <wp:lineTo x="11026" y="20873"/>
              <wp:lineTo x="13995" y="20873"/>
              <wp:lineTo x="14419" y="20873"/>
              <wp:lineTo x="19084" y="15180"/>
              <wp:lineTo x="21204" y="10436"/>
              <wp:lineTo x="21204"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43370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tab/>
    </w:r>
    <w:r>
      <w:tab/>
    </w:r>
    <w:r>
      <w:tab/>
    </w:r>
    <w:r>
      <w:tab/>
    </w:r>
    <w:r>
      <w:tab/>
    </w:r>
    <w:r>
      <w:tab/>
    </w:r>
    <w:r>
      <w:tab/>
    </w:r>
    <w:r>
      <w:tab/>
    </w:r>
    <w:r>
      <w:tab/>
    </w:r>
    <w:r>
      <w:tab/>
    </w:r>
  </w:p>
  <w:p w:rsidR="00791BA3" w:rsidRPr="00E653C2" w:rsidRDefault="00791BA3" w:rsidP="0069072F">
    <w:pPr>
      <w:ind w:left="6372" w:firstLine="708"/>
      <w:rPr>
        <w:rFonts w:ascii="Open Sans" w:eastAsiaTheme="minorHAnsi" w:hAnsi="Open Sans" w:cs="Open Sans"/>
        <w:bCs/>
        <w:sz w:val="16"/>
        <w:szCs w:val="16"/>
        <w:lang w:val="pl-PL"/>
      </w:rPr>
    </w:pPr>
    <w:r w:rsidRPr="00E653C2">
      <w:rPr>
        <w:rFonts w:ascii="Open Sans" w:hAnsi="Open Sans" w:cs="Open Sans"/>
        <w:bCs/>
        <w:sz w:val="16"/>
        <w:szCs w:val="16"/>
        <w:lang w:val="pl-PL"/>
      </w:rPr>
      <w:t>REVO_CZ/APAA/A1/NP/20170628</w:t>
    </w:r>
  </w:p>
  <w:p w:rsidR="00791BA3" w:rsidRPr="00E653C2" w:rsidRDefault="00791BA3" w:rsidP="00E653C2">
    <w:pPr>
      <w:pStyle w:val="Zhlav"/>
      <w:tabs>
        <w:tab w:val="clear" w:pos="4536"/>
        <w:tab w:val="clear" w:pos="9072"/>
        <w:tab w:val="left" w:pos="7309"/>
      </w:tabs>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3" w:rsidRDefault="00791BA3" w:rsidP="00BF18C3">
    <w:r>
      <w:t>`</w:t>
    </w:r>
    <w:r>
      <w:tab/>
    </w:r>
    <w:r>
      <w:tab/>
    </w:r>
    <w:r>
      <w:tab/>
    </w:r>
    <w:r>
      <w:tab/>
    </w:r>
    <w:r>
      <w:tab/>
    </w:r>
    <w:r>
      <w:tab/>
    </w:r>
    <w:r>
      <w:tab/>
    </w:r>
    <w:r>
      <w:tab/>
    </w:r>
    <w:r>
      <w:tab/>
    </w:r>
    <w:r>
      <w:tab/>
    </w:r>
  </w:p>
  <w:p w:rsidR="00791BA3" w:rsidRDefault="00791BA3" w:rsidP="00BF18C3">
    <w:pPr>
      <w:ind w:left="7080"/>
      <w:rPr>
        <w:rFonts w:ascii="Open Sans" w:hAnsi="Open Sans" w:cs="Open Sans"/>
        <w:bCs/>
        <w:sz w:val="16"/>
        <w:szCs w:val="16"/>
        <w:lang w:val="pl-PL"/>
      </w:rPr>
    </w:pPr>
  </w:p>
  <w:p w:rsidR="00791BA3" w:rsidRPr="00E653C2" w:rsidRDefault="00791BA3" w:rsidP="00BF18C3">
    <w:pPr>
      <w:ind w:left="7080"/>
      <w:rPr>
        <w:rFonts w:ascii="Open Sans" w:eastAsiaTheme="minorHAnsi" w:hAnsi="Open Sans" w:cs="Open Sans"/>
        <w:bCs/>
        <w:sz w:val="16"/>
        <w:szCs w:val="16"/>
        <w:lang w:val="pl-PL"/>
      </w:rPr>
    </w:pPr>
    <w:r>
      <w:rPr>
        <w:noProof/>
        <w:lang w:val="en-GB" w:eastAsia="zh-TW" w:bidi="ar-SA"/>
      </w:rPr>
      <w:drawing>
        <wp:anchor distT="0" distB="0" distL="114300" distR="114300" simplePos="0" relativeHeight="251663360" behindDoc="1" locked="0" layoutInCell="1" allowOverlap="1" wp14:anchorId="139A901B" wp14:editId="2B970EFC">
          <wp:simplePos x="0" y="0"/>
          <wp:positionH relativeFrom="margin">
            <wp:posOffset>-130175</wp:posOffset>
          </wp:positionH>
          <wp:positionV relativeFrom="paragraph">
            <wp:posOffset>42545</wp:posOffset>
          </wp:positionV>
          <wp:extent cx="970280" cy="433705"/>
          <wp:effectExtent l="0" t="0" r="1270" b="4445"/>
          <wp:wrapTight wrapText="bothSides">
            <wp:wrapPolygon edited="0">
              <wp:start x="0" y="0"/>
              <wp:lineTo x="0" y="16129"/>
              <wp:lineTo x="11026" y="20873"/>
              <wp:lineTo x="13995" y="20873"/>
              <wp:lineTo x="14419" y="20873"/>
              <wp:lineTo x="19084" y="15180"/>
              <wp:lineTo x="21204" y="10436"/>
              <wp:lineTo x="21204"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B1A" w:rsidRPr="00573B1A">
      <w:rPr>
        <w:rFonts w:ascii="Open Sans" w:hAnsi="Open Sans" w:cs="Open Sans"/>
        <w:bCs/>
        <w:sz w:val="16"/>
        <w:szCs w:val="16"/>
        <w:lang w:val="pl-PL"/>
      </w:rPr>
      <w:t>REVO_CZ/APAA/A1b/NM/20180620</w:t>
    </w:r>
  </w:p>
  <w:p w:rsidR="00791BA3" w:rsidRPr="00BF18C3" w:rsidRDefault="00791BA3">
    <w:pPr>
      <w:pStyle w:val="Zhlav"/>
      <w:rPr>
        <w:lang w:val="pl-PL"/>
      </w:rPr>
    </w:pPr>
  </w:p>
  <w:p w:rsidR="00791BA3" w:rsidRDefault="00791BA3">
    <w:pPr>
      <w:pStyle w:val="Zhlav"/>
    </w:pPr>
  </w:p>
  <w:p w:rsidR="00791BA3" w:rsidRDefault="00791B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B1"/>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F3567"/>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9227AA"/>
    <w:multiLevelType w:val="hybridMultilevel"/>
    <w:tmpl w:val="97F8748E"/>
    <w:lvl w:ilvl="0" w:tplc="0409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3" w15:restartNumberingAfterBreak="0">
    <w:nsid w:val="03EC303F"/>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9860BB"/>
    <w:multiLevelType w:val="multilevel"/>
    <w:tmpl w:val="4AF6420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6269E"/>
    <w:multiLevelType w:val="multilevel"/>
    <w:tmpl w:val="97F660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E66388"/>
    <w:multiLevelType w:val="multilevel"/>
    <w:tmpl w:val="A344E7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C76AA"/>
    <w:multiLevelType w:val="hybridMultilevel"/>
    <w:tmpl w:val="1CC8A7AA"/>
    <w:lvl w:ilvl="0" w:tplc="E3468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527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1870A2"/>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706F90"/>
    <w:multiLevelType w:val="hybridMultilevel"/>
    <w:tmpl w:val="7F42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D6C52"/>
    <w:multiLevelType w:val="hybridMultilevel"/>
    <w:tmpl w:val="1CC8A7AA"/>
    <w:lvl w:ilvl="0" w:tplc="E3468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B5F9B"/>
    <w:multiLevelType w:val="hybridMultilevel"/>
    <w:tmpl w:val="B5422B94"/>
    <w:lvl w:ilvl="0" w:tplc="F1D4EB7C">
      <w:start w:val="1"/>
      <w:numFmt w:val="decimal"/>
      <w:lvlText w:val="%1."/>
      <w:lvlJc w:val="left"/>
      <w:pPr>
        <w:ind w:left="5310" w:hanging="360"/>
      </w:pPr>
      <w:rPr>
        <w:rFonts w:hint="default"/>
      </w:rPr>
    </w:lvl>
    <w:lvl w:ilvl="1" w:tplc="08090019" w:tentative="1">
      <w:start w:val="1"/>
      <w:numFmt w:val="lowerLetter"/>
      <w:lvlText w:val="%2."/>
      <w:lvlJc w:val="left"/>
      <w:pPr>
        <w:ind w:left="6030" w:hanging="360"/>
      </w:pPr>
    </w:lvl>
    <w:lvl w:ilvl="2" w:tplc="0809001B" w:tentative="1">
      <w:start w:val="1"/>
      <w:numFmt w:val="lowerRoman"/>
      <w:lvlText w:val="%3."/>
      <w:lvlJc w:val="right"/>
      <w:pPr>
        <w:ind w:left="6750" w:hanging="180"/>
      </w:pPr>
    </w:lvl>
    <w:lvl w:ilvl="3" w:tplc="0809000F" w:tentative="1">
      <w:start w:val="1"/>
      <w:numFmt w:val="decimal"/>
      <w:lvlText w:val="%4."/>
      <w:lvlJc w:val="left"/>
      <w:pPr>
        <w:ind w:left="7470" w:hanging="360"/>
      </w:pPr>
    </w:lvl>
    <w:lvl w:ilvl="4" w:tplc="08090019" w:tentative="1">
      <w:start w:val="1"/>
      <w:numFmt w:val="lowerLetter"/>
      <w:lvlText w:val="%5."/>
      <w:lvlJc w:val="left"/>
      <w:pPr>
        <w:ind w:left="8190" w:hanging="360"/>
      </w:pPr>
    </w:lvl>
    <w:lvl w:ilvl="5" w:tplc="0809001B" w:tentative="1">
      <w:start w:val="1"/>
      <w:numFmt w:val="lowerRoman"/>
      <w:lvlText w:val="%6."/>
      <w:lvlJc w:val="right"/>
      <w:pPr>
        <w:ind w:left="8910" w:hanging="180"/>
      </w:pPr>
    </w:lvl>
    <w:lvl w:ilvl="6" w:tplc="0809000F" w:tentative="1">
      <w:start w:val="1"/>
      <w:numFmt w:val="decimal"/>
      <w:lvlText w:val="%7."/>
      <w:lvlJc w:val="left"/>
      <w:pPr>
        <w:ind w:left="9630" w:hanging="360"/>
      </w:pPr>
    </w:lvl>
    <w:lvl w:ilvl="7" w:tplc="08090019" w:tentative="1">
      <w:start w:val="1"/>
      <w:numFmt w:val="lowerLetter"/>
      <w:lvlText w:val="%8."/>
      <w:lvlJc w:val="left"/>
      <w:pPr>
        <w:ind w:left="10350" w:hanging="360"/>
      </w:pPr>
    </w:lvl>
    <w:lvl w:ilvl="8" w:tplc="0809001B" w:tentative="1">
      <w:start w:val="1"/>
      <w:numFmt w:val="lowerRoman"/>
      <w:lvlText w:val="%9."/>
      <w:lvlJc w:val="right"/>
      <w:pPr>
        <w:ind w:left="11070" w:hanging="180"/>
      </w:pPr>
    </w:lvl>
  </w:abstractNum>
  <w:abstractNum w:abstractNumId="13" w15:restartNumberingAfterBreak="0">
    <w:nsid w:val="2A7F1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ED5231"/>
    <w:multiLevelType w:val="hybridMultilevel"/>
    <w:tmpl w:val="97F8748E"/>
    <w:lvl w:ilvl="0" w:tplc="0409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15" w15:restartNumberingAfterBreak="0">
    <w:nsid w:val="387F1EDB"/>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FF454C"/>
    <w:multiLevelType w:val="multilevel"/>
    <w:tmpl w:val="89949C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95D31"/>
    <w:multiLevelType w:val="multilevel"/>
    <w:tmpl w:val="BB706DC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A4BE1"/>
    <w:multiLevelType w:val="multilevel"/>
    <w:tmpl w:val="5B785CA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8C6588"/>
    <w:multiLevelType w:val="hybridMultilevel"/>
    <w:tmpl w:val="754694AE"/>
    <w:lvl w:ilvl="0" w:tplc="C2CCB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35732"/>
    <w:multiLevelType w:val="multilevel"/>
    <w:tmpl w:val="A344E7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482D8F"/>
    <w:multiLevelType w:val="hybridMultilevel"/>
    <w:tmpl w:val="1174E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42B4B"/>
    <w:multiLevelType w:val="multilevel"/>
    <w:tmpl w:val="8F9CEE0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5533C3"/>
    <w:multiLevelType w:val="hybridMultilevel"/>
    <w:tmpl w:val="2C40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F1EAD"/>
    <w:multiLevelType w:val="multilevel"/>
    <w:tmpl w:val="126E6A9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E14F9C"/>
    <w:multiLevelType w:val="multilevel"/>
    <w:tmpl w:val="A230A35C"/>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0E135C"/>
    <w:multiLevelType w:val="multilevel"/>
    <w:tmpl w:val="DCB2517E"/>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7DA3461"/>
    <w:multiLevelType w:val="hybridMultilevel"/>
    <w:tmpl w:val="99C464FA"/>
    <w:lvl w:ilvl="0" w:tplc="EB90A9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D7E2A"/>
    <w:multiLevelType w:val="multilevel"/>
    <w:tmpl w:val="C9B827C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4"/>
  </w:num>
  <w:num w:numId="4">
    <w:abstractNumId w:val="24"/>
  </w:num>
  <w:num w:numId="5">
    <w:abstractNumId w:val="28"/>
  </w:num>
  <w:num w:numId="6">
    <w:abstractNumId w:val="18"/>
  </w:num>
  <w:num w:numId="7">
    <w:abstractNumId w:val="17"/>
  </w:num>
  <w:num w:numId="8">
    <w:abstractNumId w:val="7"/>
  </w:num>
  <w:num w:numId="9">
    <w:abstractNumId w:val="27"/>
  </w:num>
  <w:num w:numId="10">
    <w:abstractNumId w:val="21"/>
  </w:num>
  <w:num w:numId="11">
    <w:abstractNumId w:val="19"/>
  </w:num>
  <w:num w:numId="12">
    <w:abstractNumId w:val="23"/>
  </w:num>
  <w:num w:numId="13">
    <w:abstractNumId w:val="9"/>
  </w:num>
  <w:num w:numId="14">
    <w:abstractNumId w:val="10"/>
  </w:num>
  <w:num w:numId="15">
    <w:abstractNumId w:val="20"/>
  </w:num>
  <w:num w:numId="16">
    <w:abstractNumId w:val="22"/>
  </w:num>
  <w:num w:numId="17">
    <w:abstractNumId w:val="5"/>
  </w:num>
  <w:num w:numId="18">
    <w:abstractNumId w:val="6"/>
  </w:num>
  <w:num w:numId="19">
    <w:abstractNumId w:val="8"/>
  </w:num>
  <w:num w:numId="20">
    <w:abstractNumId w:val="26"/>
  </w:num>
  <w:num w:numId="21">
    <w:abstractNumId w:val="13"/>
  </w:num>
  <w:num w:numId="22">
    <w:abstractNumId w:val="0"/>
  </w:num>
  <w:num w:numId="23">
    <w:abstractNumId w:val="11"/>
  </w:num>
  <w:num w:numId="24">
    <w:abstractNumId w:val="1"/>
  </w:num>
  <w:num w:numId="25">
    <w:abstractNumId w:val="2"/>
  </w:num>
  <w:num w:numId="26">
    <w:abstractNumId w:val="3"/>
  </w:num>
  <w:num w:numId="27">
    <w:abstractNumId w:val="14"/>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61"/>
    <w:rsid w:val="000078FD"/>
    <w:rsid w:val="000244DD"/>
    <w:rsid w:val="00027B72"/>
    <w:rsid w:val="00027DC8"/>
    <w:rsid w:val="000306E8"/>
    <w:rsid w:val="00036D2F"/>
    <w:rsid w:val="00044C7C"/>
    <w:rsid w:val="00055C55"/>
    <w:rsid w:val="000613A7"/>
    <w:rsid w:val="0006798A"/>
    <w:rsid w:val="000702EA"/>
    <w:rsid w:val="000770B3"/>
    <w:rsid w:val="00077B56"/>
    <w:rsid w:val="00097990"/>
    <w:rsid w:val="000B359D"/>
    <w:rsid w:val="000C303F"/>
    <w:rsid w:val="000C59D9"/>
    <w:rsid w:val="000C5A93"/>
    <w:rsid w:val="000C7C95"/>
    <w:rsid w:val="000D110D"/>
    <w:rsid w:val="000F3F43"/>
    <w:rsid w:val="001029D9"/>
    <w:rsid w:val="001071BF"/>
    <w:rsid w:val="001118BC"/>
    <w:rsid w:val="001264BF"/>
    <w:rsid w:val="001332BE"/>
    <w:rsid w:val="001368EC"/>
    <w:rsid w:val="00155551"/>
    <w:rsid w:val="00157576"/>
    <w:rsid w:val="00164A76"/>
    <w:rsid w:val="00166489"/>
    <w:rsid w:val="0017382B"/>
    <w:rsid w:val="00175C8B"/>
    <w:rsid w:val="0017743B"/>
    <w:rsid w:val="001809CC"/>
    <w:rsid w:val="0018649D"/>
    <w:rsid w:val="00194D49"/>
    <w:rsid w:val="00195BAF"/>
    <w:rsid w:val="001972B0"/>
    <w:rsid w:val="00197511"/>
    <w:rsid w:val="001B0C34"/>
    <w:rsid w:val="001B4600"/>
    <w:rsid w:val="001B7095"/>
    <w:rsid w:val="001D0809"/>
    <w:rsid w:val="001D60A4"/>
    <w:rsid w:val="001D71C5"/>
    <w:rsid w:val="001E3A78"/>
    <w:rsid w:val="001E6659"/>
    <w:rsid w:val="001E6C7A"/>
    <w:rsid w:val="001F3B0F"/>
    <w:rsid w:val="001F4002"/>
    <w:rsid w:val="002176E0"/>
    <w:rsid w:val="0021780B"/>
    <w:rsid w:val="0022148E"/>
    <w:rsid w:val="00232839"/>
    <w:rsid w:val="00235897"/>
    <w:rsid w:val="002369D3"/>
    <w:rsid w:val="002376F2"/>
    <w:rsid w:val="00240492"/>
    <w:rsid w:val="002437DB"/>
    <w:rsid w:val="00246592"/>
    <w:rsid w:val="00253EC9"/>
    <w:rsid w:val="00256EDC"/>
    <w:rsid w:val="00260B28"/>
    <w:rsid w:val="002706E5"/>
    <w:rsid w:val="002800E3"/>
    <w:rsid w:val="00281E77"/>
    <w:rsid w:val="0028448C"/>
    <w:rsid w:val="002872F7"/>
    <w:rsid w:val="00287592"/>
    <w:rsid w:val="002A1718"/>
    <w:rsid w:val="002A368A"/>
    <w:rsid w:val="002A439C"/>
    <w:rsid w:val="002C057F"/>
    <w:rsid w:val="002C3DDC"/>
    <w:rsid w:val="002D2130"/>
    <w:rsid w:val="002D44F4"/>
    <w:rsid w:val="002E3D19"/>
    <w:rsid w:val="002E60E4"/>
    <w:rsid w:val="002F1F25"/>
    <w:rsid w:val="002F2D7D"/>
    <w:rsid w:val="003070CB"/>
    <w:rsid w:val="003116CB"/>
    <w:rsid w:val="00312D71"/>
    <w:rsid w:val="00325DF3"/>
    <w:rsid w:val="00331ECD"/>
    <w:rsid w:val="0033664A"/>
    <w:rsid w:val="00342AA2"/>
    <w:rsid w:val="00347A00"/>
    <w:rsid w:val="00357465"/>
    <w:rsid w:val="0036432A"/>
    <w:rsid w:val="00366BBA"/>
    <w:rsid w:val="00381848"/>
    <w:rsid w:val="003878E3"/>
    <w:rsid w:val="003A0538"/>
    <w:rsid w:val="003A7D98"/>
    <w:rsid w:val="003C408A"/>
    <w:rsid w:val="003E0F89"/>
    <w:rsid w:val="003E16B1"/>
    <w:rsid w:val="003E4C9B"/>
    <w:rsid w:val="003E69B7"/>
    <w:rsid w:val="003F1F2D"/>
    <w:rsid w:val="003F3FED"/>
    <w:rsid w:val="003F7564"/>
    <w:rsid w:val="00411CE3"/>
    <w:rsid w:val="0041688E"/>
    <w:rsid w:val="00417BE1"/>
    <w:rsid w:val="00432744"/>
    <w:rsid w:val="0043288D"/>
    <w:rsid w:val="00441757"/>
    <w:rsid w:val="00443CF1"/>
    <w:rsid w:val="0044435A"/>
    <w:rsid w:val="00444E6E"/>
    <w:rsid w:val="00455801"/>
    <w:rsid w:val="00456AF0"/>
    <w:rsid w:val="00466B50"/>
    <w:rsid w:val="00470289"/>
    <w:rsid w:val="00471290"/>
    <w:rsid w:val="00473A66"/>
    <w:rsid w:val="00476644"/>
    <w:rsid w:val="00484322"/>
    <w:rsid w:val="0049531E"/>
    <w:rsid w:val="00495EDC"/>
    <w:rsid w:val="004A1A75"/>
    <w:rsid w:val="004A3D4E"/>
    <w:rsid w:val="004B1B99"/>
    <w:rsid w:val="004B37C4"/>
    <w:rsid w:val="004C0F24"/>
    <w:rsid w:val="004C2312"/>
    <w:rsid w:val="004C29D5"/>
    <w:rsid w:val="004D7644"/>
    <w:rsid w:val="004E181B"/>
    <w:rsid w:val="004E26DC"/>
    <w:rsid w:val="004E300D"/>
    <w:rsid w:val="004E4BE4"/>
    <w:rsid w:val="004E6611"/>
    <w:rsid w:val="004F3D02"/>
    <w:rsid w:val="005138CE"/>
    <w:rsid w:val="0051782B"/>
    <w:rsid w:val="00523918"/>
    <w:rsid w:val="00524FF4"/>
    <w:rsid w:val="005348C7"/>
    <w:rsid w:val="005348D5"/>
    <w:rsid w:val="0054239D"/>
    <w:rsid w:val="00547EB0"/>
    <w:rsid w:val="00554B32"/>
    <w:rsid w:val="0055609D"/>
    <w:rsid w:val="00573B1A"/>
    <w:rsid w:val="00577AF6"/>
    <w:rsid w:val="00577EC7"/>
    <w:rsid w:val="005805B2"/>
    <w:rsid w:val="00580F50"/>
    <w:rsid w:val="00583AED"/>
    <w:rsid w:val="00587DC9"/>
    <w:rsid w:val="00593755"/>
    <w:rsid w:val="005950FC"/>
    <w:rsid w:val="005A3549"/>
    <w:rsid w:val="005B7326"/>
    <w:rsid w:val="005D0393"/>
    <w:rsid w:val="005D0837"/>
    <w:rsid w:val="005E2874"/>
    <w:rsid w:val="005E5E67"/>
    <w:rsid w:val="005F5726"/>
    <w:rsid w:val="00600C8A"/>
    <w:rsid w:val="00607AEF"/>
    <w:rsid w:val="00610861"/>
    <w:rsid w:val="00611A03"/>
    <w:rsid w:val="00615C34"/>
    <w:rsid w:val="00620451"/>
    <w:rsid w:val="0062235C"/>
    <w:rsid w:val="0062793F"/>
    <w:rsid w:val="00631523"/>
    <w:rsid w:val="006343CF"/>
    <w:rsid w:val="006462BE"/>
    <w:rsid w:val="006573C7"/>
    <w:rsid w:val="006620EC"/>
    <w:rsid w:val="0066273D"/>
    <w:rsid w:val="006650B1"/>
    <w:rsid w:val="00671EBE"/>
    <w:rsid w:val="006735F5"/>
    <w:rsid w:val="0068159D"/>
    <w:rsid w:val="00682326"/>
    <w:rsid w:val="00682786"/>
    <w:rsid w:val="00686C19"/>
    <w:rsid w:val="00686D1B"/>
    <w:rsid w:val="0069072F"/>
    <w:rsid w:val="0069386E"/>
    <w:rsid w:val="00694687"/>
    <w:rsid w:val="00696E53"/>
    <w:rsid w:val="006A7E38"/>
    <w:rsid w:val="006B20DE"/>
    <w:rsid w:val="006D3C0D"/>
    <w:rsid w:val="006D5E60"/>
    <w:rsid w:val="006D7391"/>
    <w:rsid w:val="006F0124"/>
    <w:rsid w:val="00710E0A"/>
    <w:rsid w:val="0071144B"/>
    <w:rsid w:val="00711DFA"/>
    <w:rsid w:val="0072118D"/>
    <w:rsid w:val="007267D1"/>
    <w:rsid w:val="00730F10"/>
    <w:rsid w:val="007361C3"/>
    <w:rsid w:val="007435D8"/>
    <w:rsid w:val="00744E4A"/>
    <w:rsid w:val="00776EAB"/>
    <w:rsid w:val="00777942"/>
    <w:rsid w:val="00780E98"/>
    <w:rsid w:val="00791BA3"/>
    <w:rsid w:val="007A4E91"/>
    <w:rsid w:val="007A7504"/>
    <w:rsid w:val="007B2713"/>
    <w:rsid w:val="007C4FA6"/>
    <w:rsid w:val="007C5187"/>
    <w:rsid w:val="007D2B83"/>
    <w:rsid w:val="007E3028"/>
    <w:rsid w:val="007F624C"/>
    <w:rsid w:val="008063D2"/>
    <w:rsid w:val="00810E35"/>
    <w:rsid w:val="008118A8"/>
    <w:rsid w:val="00813DD5"/>
    <w:rsid w:val="008156D7"/>
    <w:rsid w:val="008233E1"/>
    <w:rsid w:val="00824406"/>
    <w:rsid w:val="0083229E"/>
    <w:rsid w:val="0083238A"/>
    <w:rsid w:val="00844EAE"/>
    <w:rsid w:val="0085209C"/>
    <w:rsid w:val="00854E0A"/>
    <w:rsid w:val="00860A82"/>
    <w:rsid w:val="00871101"/>
    <w:rsid w:val="008733DC"/>
    <w:rsid w:val="00875A42"/>
    <w:rsid w:val="00877321"/>
    <w:rsid w:val="00877BC0"/>
    <w:rsid w:val="00882D04"/>
    <w:rsid w:val="0088466D"/>
    <w:rsid w:val="00884D7A"/>
    <w:rsid w:val="008921A0"/>
    <w:rsid w:val="00894674"/>
    <w:rsid w:val="00897EFF"/>
    <w:rsid w:val="008B00AF"/>
    <w:rsid w:val="008B09A9"/>
    <w:rsid w:val="008B1356"/>
    <w:rsid w:val="008B3312"/>
    <w:rsid w:val="008C054D"/>
    <w:rsid w:val="008C0CBA"/>
    <w:rsid w:val="008C44B3"/>
    <w:rsid w:val="008C47C2"/>
    <w:rsid w:val="008C58E2"/>
    <w:rsid w:val="008D00B3"/>
    <w:rsid w:val="008D3187"/>
    <w:rsid w:val="008D603D"/>
    <w:rsid w:val="008D639B"/>
    <w:rsid w:val="008F06CD"/>
    <w:rsid w:val="008F7EDA"/>
    <w:rsid w:val="0090468B"/>
    <w:rsid w:val="009323CD"/>
    <w:rsid w:val="009459FB"/>
    <w:rsid w:val="0095198E"/>
    <w:rsid w:val="009524BE"/>
    <w:rsid w:val="0095497A"/>
    <w:rsid w:val="00962FDE"/>
    <w:rsid w:val="00963D30"/>
    <w:rsid w:val="0096790B"/>
    <w:rsid w:val="00970D59"/>
    <w:rsid w:val="00980F21"/>
    <w:rsid w:val="00982548"/>
    <w:rsid w:val="009846A1"/>
    <w:rsid w:val="00984B7B"/>
    <w:rsid w:val="009909CA"/>
    <w:rsid w:val="00991FE5"/>
    <w:rsid w:val="009A1F08"/>
    <w:rsid w:val="009D74B4"/>
    <w:rsid w:val="009F08A4"/>
    <w:rsid w:val="009F35D4"/>
    <w:rsid w:val="009F5808"/>
    <w:rsid w:val="009F7240"/>
    <w:rsid w:val="00A01AF0"/>
    <w:rsid w:val="00A0348D"/>
    <w:rsid w:val="00A076EC"/>
    <w:rsid w:val="00A108E3"/>
    <w:rsid w:val="00A1136A"/>
    <w:rsid w:val="00A23C16"/>
    <w:rsid w:val="00A36CA0"/>
    <w:rsid w:val="00A431A8"/>
    <w:rsid w:val="00A44EC7"/>
    <w:rsid w:val="00A463B3"/>
    <w:rsid w:val="00A5191D"/>
    <w:rsid w:val="00A70CAA"/>
    <w:rsid w:val="00A860FB"/>
    <w:rsid w:val="00A90197"/>
    <w:rsid w:val="00A912FF"/>
    <w:rsid w:val="00A96DF0"/>
    <w:rsid w:val="00AA27AC"/>
    <w:rsid w:val="00AB2337"/>
    <w:rsid w:val="00AB5B38"/>
    <w:rsid w:val="00AC2CE9"/>
    <w:rsid w:val="00AD0F5B"/>
    <w:rsid w:val="00AD484F"/>
    <w:rsid w:val="00AD7EA5"/>
    <w:rsid w:val="00AE0214"/>
    <w:rsid w:val="00AE0ABE"/>
    <w:rsid w:val="00AE1D41"/>
    <w:rsid w:val="00AF5E71"/>
    <w:rsid w:val="00AF6D3A"/>
    <w:rsid w:val="00B076A4"/>
    <w:rsid w:val="00B127F0"/>
    <w:rsid w:val="00B15C6A"/>
    <w:rsid w:val="00B30D0D"/>
    <w:rsid w:val="00B32EB3"/>
    <w:rsid w:val="00B3326C"/>
    <w:rsid w:val="00B45F8C"/>
    <w:rsid w:val="00B53909"/>
    <w:rsid w:val="00B60175"/>
    <w:rsid w:val="00B6231E"/>
    <w:rsid w:val="00B65A78"/>
    <w:rsid w:val="00B66007"/>
    <w:rsid w:val="00B76899"/>
    <w:rsid w:val="00B84AE7"/>
    <w:rsid w:val="00B9136C"/>
    <w:rsid w:val="00BA2ED0"/>
    <w:rsid w:val="00BA4B9C"/>
    <w:rsid w:val="00BA7D33"/>
    <w:rsid w:val="00BB525F"/>
    <w:rsid w:val="00BB58D6"/>
    <w:rsid w:val="00BB76C9"/>
    <w:rsid w:val="00BB79C3"/>
    <w:rsid w:val="00BC15D9"/>
    <w:rsid w:val="00BD0356"/>
    <w:rsid w:val="00BD38FD"/>
    <w:rsid w:val="00BD4FA6"/>
    <w:rsid w:val="00BE4EB9"/>
    <w:rsid w:val="00BF0BC0"/>
    <w:rsid w:val="00BF18C3"/>
    <w:rsid w:val="00BF30BB"/>
    <w:rsid w:val="00BF5B2B"/>
    <w:rsid w:val="00C07E69"/>
    <w:rsid w:val="00C26BA4"/>
    <w:rsid w:val="00C3084B"/>
    <w:rsid w:val="00C349F6"/>
    <w:rsid w:val="00C40971"/>
    <w:rsid w:val="00C44B7C"/>
    <w:rsid w:val="00C509BD"/>
    <w:rsid w:val="00C661B5"/>
    <w:rsid w:val="00C76DDF"/>
    <w:rsid w:val="00C92C59"/>
    <w:rsid w:val="00CA24EB"/>
    <w:rsid w:val="00CA502A"/>
    <w:rsid w:val="00CA6D95"/>
    <w:rsid w:val="00CB6396"/>
    <w:rsid w:val="00CC4E62"/>
    <w:rsid w:val="00CD1BA8"/>
    <w:rsid w:val="00CD5B73"/>
    <w:rsid w:val="00CE779A"/>
    <w:rsid w:val="00CF110B"/>
    <w:rsid w:val="00CF32F8"/>
    <w:rsid w:val="00CF441A"/>
    <w:rsid w:val="00CF497F"/>
    <w:rsid w:val="00D00715"/>
    <w:rsid w:val="00D1055B"/>
    <w:rsid w:val="00D22C7B"/>
    <w:rsid w:val="00D23B7C"/>
    <w:rsid w:val="00D253A1"/>
    <w:rsid w:val="00D25967"/>
    <w:rsid w:val="00D26182"/>
    <w:rsid w:val="00D269DC"/>
    <w:rsid w:val="00D3080B"/>
    <w:rsid w:val="00D377A8"/>
    <w:rsid w:val="00D44EC5"/>
    <w:rsid w:val="00D51E0B"/>
    <w:rsid w:val="00D56DC7"/>
    <w:rsid w:val="00D641A1"/>
    <w:rsid w:val="00D669A8"/>
    <w:rsid w:val="00D71284"/>
    <w:rsid w:val="00D72A61"/>
    <w:rsid w:val="00D81C1F"/>
    <w:rsid w:val="00D858B0"/>
    <w:rsid w:val="00D87217"/>
    <w:rsid w:val="00D92180"/>
    <w:rsid w:val="00DA7B8E"/>
    <w:rsid w:val="00DB4872"/>
    <w:rsid w:val="00DC26AA"/>
    <w:rsid w:val="00DD2905"/>
    <w:rsid w:val="00DF37D8"/>
    <w:rsid w:val="00DF3A90"/>
    <w:rsid w:val="00E02253"/>
    <w:rsid w:val="00E023B0"/>
    <w:rsid w:val="00E13A66"/>
    <w:rsid w:val="00E268EE"/>
    <w:rsid w:val="00E349B9"/>
    <w:rsid w:val="00E377F4"/>
    <w:rsid w:val="00E37FDD"/>
    <w:rsid w:val="00E40153"/>
    <w:rsid w:val="00E4560A"/>
    <w:rsid w:val="00E549DF"/>
    <w:rsid w:val="00E554A0"/>
    <w:rsid w:val="00E631C6"/>
    <w:rsid w:val="00E653C2"/>
    <w:rsid w:val="00E76F9C"/>
    <w:rsid w:val="00E77649"/>
    <w:rsid w:val="00E85DCD"/>
    <w:rsid w:val="00E91643"/>
    <w:rsid w:val="00E939FA"/>
    <w:rsid w:val="00EA6FF4"/>
    <w:rsid w:val="00EB5937"/>
    <w:rsid w:val="00EC1755"/>
    <w:rsid w:val="00ED6E29"/>
    <w:rsid w:val="00EE4868"/>
    <w:rsid w:val="00EE55B9"/>
    <w:rsid w:val="00EF3E5A"/>
    <w:rsid w:val="00F01904"/>
    <w:rsid w:val="00F07FC0"/>
    <w:rsid w:val="00F126C1"/>
    <w:rsid w:val="00F16820"/>
    <w:rsid w:val="00F17C20"/>
    <w:rsid w:val="00F22006"/>
    <w:rsid w:val="00F26EF0"/>
    <w:rsid w:val="00F3659D"/>
    <w:rsid w:val="00F550D1"/>
    <w:rsid w:val="00F55B72"/>
    <w:rsid w:val="00F57203"/>
    <w:rsid w:val="00F71A66"/>
    <w:rsid w:val="00F8024B"/>
    <w:rsid w:val="00F85609"/>
    <w:rsid w:val="00F9006E"/>
    <w:rsid w:val="00F91FB3"/>
    <w:rsid w:val="00F93F32"/>
    <w:rsid w:val="00F949EF"/>
    <w:rsid w:val="00F94BA5"/>
    <w:rsid w:val="00FB49D1"/>
    <w:rsid w:val="00FC1D17"/>
    <w:rsid w:val="00FC254C"/>
    <w:rsid w:val="00FD77FC"/>
    <w:rsid w:val="00FE4E81"/>
    <w:rsid w:val="00FF00F7"/>
    <w:rsid w:val="00FF0E3D"/>
    <w:rsid w:val="00FF16B3"/>
    <w:rsid w:val="00FF3578"/>
    <w:rsid w:val="00FF4229"/>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8854D"/>
  <w15:docId w15:val="{15B52AEF-E66E-4628-A3A8-3C37C29F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B1356"/>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Arial" w:eastAsia="Arial" w:hAnsi="Arial" w:cs="Arial"/>
      <w:b w:val="0"/>
      <w:bCs w:val="0"/>
      <w:i w:val="0"/>
      <w:iCs w:val="0"/>
      <w:smallCaps w:val="0"/>
      <w:strike w:val="0"/>
      <w:sz w:val="18"/>
      <w:szCs w:val="18"/>
      <w:u w:val="none"/>
      <w:lang w:val="en-US" w:eastAsia="en-US" w:bidi="en-US"/>
    </w:rPr>
  </w:style>
  <w:style w:type="character" w:customStyle="1" w:styleId="Bodytext2Exact">
    <w:name w:val="Body text (2) Exact"/>
    <w:basedOn w:val="Standardnpsmoodstavce"/>
    <w:rPr>
      <w:rFonts w:ascii="Arial" w:eastAsia="Arial" w:hAnsi="Arial" w:cs="Arial"/>
      <w:b w:val="0"/>
      <w:bCs w:val="0"/>
      <w:i w:val="0"/>
      <w:iCs w:val="0"/>
      <w:smallCaps w:val="0"/>
      <w:strike w:val="0"/>
      <w:sz w:val="18"/>
      <w:szCs w:val="18"/>
      <w:u w:val="none"/>
      <w:lang w:val="en-US" w:eastAsia="en-US" w:bidi="en-US"/>
    </w:rPr>
  </w:style>
  <w:style w:type="character" w:customStyle="1" w:styleId="Bodytext6Exact">
    <w:name w:val="Body text (6) Exact"/>
    <w:basedOn w:val="Standardnpsmoodstavce"/>
    <w:link w:val="Bodytext6"/>
    <w:rPr>
      <w:rFonts w:ascii="Arial" w:eastAsia="Arial" w:hAnsi="Arial" w:cs="Arial"/>
      <w:b w:val="0"/>
      <w:bCs w:val="0"/>
      <w:i w:val="0"/>
      <w:iCs w:val="0"/>
      <w:smallCaps w:val="0"/>
      <w:strike w:val="0"/>
      <w:sz w:val="12"/>
      <w:szCs w:val="12"/>
      <w:u w:val="none"/>
    </w:rPr>
  </w:style>
  <w:style w:type="character" w:customStyle="1" w:styleId="Bodytext7Exact">
    <w:name w:val="Body text (7) Exact"/>
    <w:basedOn w:val="Standardnpsmoodstavce"/>
    <w:link w:val="Bodytext7"/>
    <w:rPr>
      <w:rFonts w:ascii="Courier New" w:eastAsia="Courier New" w:hAnsi="Courier New" w:cs="Courier New"/>
      <w:b w:val="0"/>
      <w:bCs w:val="0"/>
      <w:i w:val="0"/>
      <w:iCs w:val="0"/>
      <w:smallCaps w:val="0"/>
      <w:strike w:val="0"/>
      <w:sz w:val="15"/>
      <w:szCs w:val="15"/>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40"/>
      <w:szCs w:val="40"/>
      <w:u w:val="none"/>
      <w:lang w:val="en-US" w:eastAsia="en-US" w:bidi="en-US"/>
    </w:rPr>
  </w:style>
  <w:style w:type="character" w:customStyle="1" w:styleId="Bodytext3Italic">
    <w:name w:val="Body text (3) + Italic"/>
    <w:basedOn w:val="Bodytext3"/>
    <w:rPr>
      <w:rFonts w:ascii="Arial" w:eastAsia="Arial" w:hAnsi="Arial" w:cs="Arial"/>
      <w:b/>
      <w:bCs/>
      <w:i/>
      <w:iCs/>
      <w:smallCaps w:val="0"/>
      <w:strike w:val="0"/>
      <w:color w:val="000000"/>
      <w:spacing w:val="0"/>
      <w:w w:val="100"/>
      <w:position w:val="0"/>
      <w:sz w:val="40"/>
      <w:szCs w:val="40"/>
      <w:u w:val="none"/>
      <w:lang w:val="en-US" w:eastAsia="en-US" w:bidi="en-US"/>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3"/>
      <w:szCs w:val="13"/>
      <w:u w:val="none"/>
    </w:rPr>
  </w:style>
  <w:style w:type="character" w:customStyle="1" w:styleId="Headerorfooter6pt">
    <w:name w:val="Header or footer + 6 pt"/>
    <w:basedOn w:val="Headerorfooter"/>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Heading1">
    <w:name w:val="Heading #1_"/>
    <w:basedOn w:val="Standardnpsmoodstavce"/>
    <w:link w:val="Heading10"/>
    <w:rPr>
      <w:rFonts w:ascii="Arial" w:eastAsia="Arial" w:hAnsi="Arial" w:cs="Arial"/>
      <w:b w:val="0"/>
      <w:bCs w:val="0"/>
      <w:i/>
      <w:iCs/>
      <w:smallCaps w:val="0"/>
      <w:strike w:val="0"/>
      <w:sz w:val="22"/>
      <w:szCs w:val="2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1"/>
      <w:szCs w:val="11"/>
      <w:u w:val="none"/>
      <w:lang w:val="en-US" w:eastAsia="en-US" w:bidi="en-US"/>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8"/>
      <w:szCs w:val="18"/>
      <w:u w:val="none"/>
    </w:rPr>
  </w:style>
  <w:style w:type="character" w:customStyle="1" w:styleId="Bodytext5NotBold">
    <w:name w:val="Body text (5) + Not Bold"/>
    <w:basedOn w:val="Bodytext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51">
    <w:name w:val="Body text (5)"/>
    <w:basedOn w:val="Bodytext5"/>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paragraph" w:customStyle="1" w:styleId="Footnote0">
    <w:name w:val="Footnote"/>
    <w:basedOn w:val="Normln"/>
    <w:link w:val="Footnote"/>
    <w:pPr>
      <w:shd w:val="clear" w:color="auto" w:fill="FFFFFF"/>
      <w:spacing w:line="264" w:lineRule="exact"/>
      <w:jc w:val="both"/>
    </w:pPr>
    <w:rPr>
      <w:rFonts w:ascii="Arial" w:eastAsia="Arial" w:hAnsi="Arial" w:cs="Arial"/>
      <w:sz w:val="18"/>
      <w:szCs w:val="18"/>
      <w:lang w:val="en-US" w:eastAsia="en-US" w:bidi="en-US"/>
    </w:rPr>
  </w:style>
  <w:style w:type="paragraph" w:customStyle="1" w:styleId="Bodytext20">
    <w:name w:val="Body text (2)"/>
    <w:basedOn w:val="Normln"/>
    <w:link w:val="Bodytext2"/>
    <w:pPr>
      <w:shd w:val="clear" w:color="auto" w:fill="FFFFFF"/>
      <w:spacing w:before="280" w:line="200" w:lineRule="exact"/>
    </w:pPr>
    <w:rPr>
      <w:rFonts w:ascii="Arial" w:eastAsia="Arial" w:hAnsi="Arial" w:cs="Arial"/>
      <w:sz w:val="18"/>
      <w:szCs w:val="18"/>
    </w:rPr>
  </w:style>
  <w:style w:type="paragraph" w:customStyle="1" w:styleId="Bodytext6">
    <w:name w:val="Body text (6)"/>
    <w:basedOn w:val="Normln"/>
    <w:link w:val="Bodytext6Exact"/>
    <w:pPr>
      <w:shd w:val="clear" w:color="auto" w:fill="FFFFFF"/>
      <w:spacing w:line="134" w:lineRule="exact"/>
    </w:pPr>
    <w:rPr>
      <w:rFonts w:ascii="Arial" w:eastAsia="Arial" w:hAnsi="Arial" w:cs="Arial"/>
      <w:sz w:val="12"/>
      <w:szCs w:val="12"/>
    </w:rPr>
  </w:style>
  <w:style w:type="paragraph" w:customStyle="1" w:styleId="Bodytext7">
    <w:name w:val="Body text (7)"/>
    <w:basedOn w:val="Normln"/>
    <w:link w:val="Bodytext7Exact"/>
    <w:pPr>
      <w:shd w:val="clear" w:color="auto" w:fill="FFFFFF"/>
      <w:spacing w:line="170" w:lineRule="exact"/>
    </w:pPr>
    <w:rPr>
      <w:rFonts w:ascii="Courier New" w:eastAsia="Courier New" w:hAnsi="Courier New" w:cs="Courier New"/>
      <w:sz w:val="15"/>
      <w:szCs w:val="15"/>
    </w:rPr>
  </w:style>
  <w:style w:type="paragraph" w:customStyle="1" w:styleId="Bodytext30">
    <w:name w:val="Body text (3)"/>
    <w:basedOn w:val="Normln"/>
    <w:link w:val="Bodytext3"/>
    <w:pPr>
      <w:shd w:val="clear" w:color="auto" w:fill="FFFFFF"/>
      <w:spacing w:line="398" w:lineRule="exact"/>
      <w:jc w:val="both"/>
    </w:pPr>
    <w:rPr>
      <w:rFonts w:ascii="Arial" w:eastAsia="Arial" w:hAnsi="Arial" w:cs="Arial"/>
      <w:b/>
      <w:bCs/>
      <w:sz w:val="40"/>
      <w:szCs w:val="40"/>
      <w:lang w:val="en-US" w:eastAsia="en-US" w:bidi="en-US"/>
    </w:rPr>
  </w:style>
  <w:style w:type="paragraph" w:customStyle="1" w:styleId="Headerorfooter0">
    <w:name w:val="Header or footer"/>
    <w:basedOn w:val="Normln"/>
    <w:link w:val="Headerorfooter"/>
    <w:pPr>
      <w:shd w:val="clear" w:color="auto" w:fill="FFFFFF"/>
      <w:spacing w:line="163" w:lineRule="exact"/>
    </w:pPr>
    <w:rPr>
      <w:rFonts w:ascii="Arial" w:eastAsia="Arial" w:hAnsi="Arial" w:cs="Arial"/>
      <w:sz w:val="13"/>
      <w:szCs w:val="13"/>
    </w:rPr>
  </w:style>
  <w:style w:type="paragraph" w:customStyle="1" w:styleId="Heading10">
    <w:name w:val="Heading #1"/>
    <w:basedOn w:val="Normln"/>
    <w:link w:val="Heading1"/>
    <w:pPr>
      <w:shd w:val="clear" w:color="auto" w:fill="FFFFFF"/>
      <w:spacing w:after="200" w:line="246" w:lineRule="exact"/>
      <w:jc w:val="right"/>
      <w:outlineLvl w:val="0"/>
    </w:pPr>
    <w:rPr>
      <w:rFonts w:ascii="Arial" w:eastAsia="Arial" w:hAnsi="Arial" w:cs="Arial"/>
      <w:i/>
      <w:iCs/>
      <w:sz w:val="22"/>
      <w:szCs w:val="22"/>
    </w:rPr>
  </w:style>
  <w:style w:type="paragraph" w:customStyle="1" w:styleId="Bodytext40">
    <w:name w:val="Body text (4)"/>
    <w:basedOn w:val="Normln"/>
    <w:link w:val="Bodytext4"/>
    <w:pPr>
      <w:shd w:val="clear" w:color="auto" w:fill="FFFFFF"/>
      <w:spacing w:before="200" w:after="280" w:line="122" w:lineRule="exact"/>
      <w:jc w:val="both"/>
    </w:pPr>
    <w:rPr>
      <w:rFonts w:ascii="Arial" w:eastAsia="Arial" w:hAnsi="Arial" w:cs="Arial"/>
      <w:sz w:val="11"/>
      <w:szCs w:val="11"/>
      <w:lang w:val="en-US" w:eastAsia="en-US" w:bidi="en-US"/>
    </w:rPr>
  </w:style>
  <w:style w:type="paragraph" w:customStyle="1" w:styleId="Bodytext50">
    <w:name w:val="Body text (5)"/>
    <w:basedOn w:val="Normln"/>
    <w:link w:val="Bodytext5"/>
    <w:pPr>
      <w:shd w:val="clear" w:color="auto" w:fill="FFFFFF"/>
      <w:spacing w:before="280" w:line="264" w:lineRule="exact"/>
      <w:jc w:val="both"/>
    </w:pPr>
    <w:rPr>
      <w:rFonts w:ascii="Arial" w:eastAsia="Arial" w:hAnsi="Arial" w:cs="Arial"/>
      <w:b/>
      <w:bCs/>
      <w:sz w:val="18"/>
      <w:szCs w:val="18"/>
    </w:rPr>
  </w:style>
  <w:style w:type="paragraph" w:styleId="Zhlav">
    <w:name w:val="header"/>
    <w:basedOn w:val="Normln"/>
    <w:link w:val="ZhlavChar"/>
    <w:uiPriority w:val="99"/>
    <w:unhideWhenUsed/>
    <w:rsid w:val="00BA7D33"/>
    <w:pPr>
      <w:tabs>
        <w:tab w:val="center" w:pos="4536"/>
        <w:tab w:val="right" w:pos="9072"/>
      </w:tabs>
    </w:pPr>
  </w:style>
  <w:style w:type="character" w:customStyle="1" w:styleId="ZhlavChar">
    <w:name w:val="Záhlaví Char"/>
    <w:basedOn w:val="Standardnpsmoodstavce"/>
    <w:link w:val="Zhlav"/>
    <w:uiPriority w:val="99"/>
    <w:rsid w:val="00BA7D33"/>
    <w:rPr>
      <w:color w:val="000000"/>
    </w:rPr>
  </w:style>
  <w:style w:type="paragraph" w:styleId="Zpat">
    <w:name w:val="footer"/>
    <w:basedOn w:val="Normln"/>
    <w:link w:val="ZpatChar"/>
    <w:uiPriority w:val="99"/>
    <w:unhideWhenUsed/>
    <w:rsid w:val="00BA7D33"/>
    <w:pPr>
      <w:tabs>
        <w:tab w:val="center" w:pos="4536"/>
        <w:tab w:val="right" w:pos="9072"/>
      </w:tabs>
    </w:pPr>
  </w:style>
  <w:style w:type="character" w:customStyle="1" w:styleId="ZpatChar">
    <w:name w:val="Zápatí Char"/>
    <w:basedOn w:val="Standardnpsmoodstavce"/>
    <w:link w:val="Zpat"/>
    <w:uiPriority w:val="99"/>
    <w:rsid w:val="00BA7D33"/>
    <w:rPr>
      <w:color w:val="000000"/>
    </w:rPr>
  </w:style>
  <w:style w:type="character" w:customStyle="1" w:styleId="HeaderorfooterBold">
    <w:name w:val="Header or footer + Bold"/>
    <w:basedOn w:val="Headerorfooter"/>
    <w:rsid w:val="005D039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Heading2">
    <w:name w:val="Heading #2_"/>
    <w:basedOn w:val="Standardnpsmoodstavce"/>
    <w:link w:val="Heading20"/>
    <w:rsid w:val="005D0393"/>
    <w:rPr>
      <w:rFonts w:ascii="Arial" w:eastAsia="Arial" w:hAnsi="Arial" w:cs="Arial"/>
      <w:sz w:val="20"/>
      <w:szCs w:val="20"/>
      <w:shd w:val="clear" w:color="auto" w:fill="FFFFFF"/>
    </w:rPr>
  </w:style>
  <w:style w:type="character" w:customStyle="1" w:styleId="Heading29pt">
    <w:name w:val="Heading #2 + 9 pt"/>
    <w:basedOn w:val="Heading2"/>
    <w:rsid w:val="005D0393"/>
    <w:rPr>
      <w:rFonts w:ascii="Arial" w:eastAsia="Arial" w:hAnsi="Arial" w:cs="Arial"/>
      <w:color w:val="000000"/>
      <w:spacing w:val="0"/>
      <w:w w:val="100"/>
      <w:position w:val="0"/>
      <w:sz w:val="18"/>
      <w:szCs w:val="18"/>
      <w:shd w:val="clear" w:color="auto" w:fill="FFFFFF"/>
      <w:lang w:val="cs-CZ" w:eastAsia="cs-CZ" w:bidi="cs-CZ"/>
    </w:rPr>
  </w:style>
  <w:style w:type="character" w:customStyle="1" w:styleId="Heading29ptBold">
    <w:name w:val="Heading #2 + 9 pt;Bold"/>
    <w:basedOn w:val="Heading2"/>
    <w:rsid w:val="005D0393"/>
    <w:rPr>
      <w:rFonts w:ascii="Arial" w:eastAsia="Arial" w:hAnsi="Arial" w:cs="Arial"/>
      <w:b/>
      <w:bCs/>
      <w:color w:val="000000"/>
      <w:spacing w:val="0"/>
      <w:w w:val="100"/>
      <w:position w:val="0"/>
      <w:sz w:val="18"/>
      <w:szCs w:val="18"/>
      <w:shd w:val="clear" w:color="auto" w:fill="FFFFFF"/>
      <w:lang w:val="cs-CZ" w:eastAsia="cs-CZ" w:bidi="cs-CZ"/>
    </w:rPr>
  </w:style>
  <w:style w:type="character" w:customStyle="1" w:styleId="Heading3">
    <w:name w:val="Heading #3_"/>
    <w:basedOn w:val="Standardnpsmoodstavce"/>
    <w:link w:val="Heading30"/>
    <w:rsid w:val="005D0393"/>
    <w:rPr>
      <w:rFonts w:ascii="Arial" w:eastAsia="Arial" w:hAnsi="Arial" w:cs="Arial"/>
      <w:b/>
      <w:bCs/>
      <w:sz w:val="18"/>
      <w:szCs w:val="18"/>
      <w:shd w:val="clear" w:color="auto" w:fill="FFFFFF"/>
    </w:rPr>
  </w:style>
  <w:style w:type="character" w:customStyle="1" w:styleId="Heading22">
    <w:name w:val="Heading #2 (2)_"/>
    <w:basedOn w:val="Standardnpsmoodstavce"/>
    <w:link w:val="Heading220"/>
    <w:rsid w:val="005D0393"/>
    <w:rPr>
      <w:rFonts w:ascii="Arial" w:eastAsia="Arial" w:hAnsi="Arial" w:cs="Arial"/>
      <w:sz w:val="17"/>
      <w:szCs w:val="17"/>
      <w:shd w:val="clear" w:color="auto" w:fill="FFFFFF"/>
    </w:rPr>
  </w:style>
  <w:style w:type="character" w:customStyle="1" w:styleId="Headerorfooter10pt">
    <w:name w:val="Header or footer + 10 pt"/>
    <w:basedOn w:val="Headerorfooter"/>
    <w:rsid w:val="005D0393"/>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Heading23">
    <w:name w:val="Heading #2 (3)_"/>
    <w:basedOn w:val="Standardnpsmoodstavce"/>
    <w:link w:val="Heading230"/>
    <w:rsid w:val="005D0393"/>
    <w:rPr>
      <w:rFonts w:ascii="Arial" w:eastAsia="Arial" w:hAnsi="Arial" w:cs="Arial"/>
      <w:spacing w:val="10"/>
      <w:sz w:val="14"/>
      <w:szCs w:val="14"/>
      <w:shd w:val="clear" w:color="auto" w:fill="FFFFFF"/>
    </w:rPr>
  </w:style>
  <w:style w:type="paragraph" w:customStyle="1" w:styleId="Heading20">
    <w:name w:val="Heading #2"/>
    <w:basedOn w:val="Normln"/>
    <w:link w:val="Heading2"/>
    <w:rsid w:val="005D0393"/>
    <w:pPr>
      <w:shd w:val="clear" w:color="auto" w:fill="FFFFFF"/>
      <w:spacing w:before="760" w:after="100" w:line="365" w:lineRule="exact"/>
      <w:jc w:val="center"/>
      <w:outlineLvl w:val="1"/>
    </w:pPr>
    <w:rPr>
      <w:rFonts w:ascii="Arial" w:eastAsia="Arial" w:hAnsi="Arial" w:cs="Arial"/>
      <w:color w:val="auto"/>
      <w:sz w:val="20"/>
      <w:szCs w:val="20"/>
    </w:rPr>
  </w:style>
  <w:style w:type="paragraph" w:customStyle="1" w:styleId="Heading30">
    <w:name w:val="Heading #3"/>
    <w:basedOn w:val="Normln"/>
    <w:link w:val="Heading3"/>
    <w:rsid w:val="005D0393"/>
    <w:pPr>
      <w:shd w:val="clear" w:color="auto" w:fill="FFFFFF"/>
      <w:spacing w:before="580" w:line="264" w:lineRule="exact"/>
      <w:jc w:val="both"/>
      <w:outlineLvl w:val="2"/>
    </w:pPr>
    <w:rPr>
      <w:rFonts w:ascii="Arial" w:eastAsia="Arial" w:hAnsi="Arial" w:cs="Arial"/>
      <w:b/>
      <w:bCs/>
      <w:color w:val="auto"/>
      <w:sz w:val="18"/>
      <w:szCs w:val="18"/>
    </w:rPr>
  </w:style>
  <w:style w:type="paragraph" w:customStyle="1" w:styleId="Heading220">
    <w:name w:val="Heading #2 (2)"/>
    <w:basedOn w:val="Normln"/>
    <w:link w:val="Heading22"/>
    <w:rsid w:val="005D0393"/>
    <w:pPr>
      <w:shd w:val="clear" w:color="auto" w:fill="FFFFFF"/>
      <w:spacing w:before="580" w:after="300" w:line="190" w:lineRule="exact"/>
      <w:jc w:val="center"/>
      <w:outlineLvl w:val="1"/>
    </w:pPr>
    <w:rPr>
      <w:rFonts w:ascii="Arial" w:eastAsia="Arial" w:hAnsi="Arial" w:cs="Arial"/>
      <w:color w:val="auto"/>
      <w:sz w:val="17"/>
      <w:szCs w:val="17"/>
    </w:rPr>
  </w:style>
  <w:style w:type="paragraph" w:customStyle="1" w:styleId="Heading230">
    <w:name w:val="Heading #2 (3)"/>
    <w:basedOn w:val="Normln"/>
    <w:link w:val="Heading23"/>
    <w:rsid w:val="005D0393"/>
    <w:pPr>
      <w:shd w:val="clear" w:color="auto" w:fill="FFFFFF"/>
      <w:spacing w:before="520" w:after="340" w:line="156" w:lineRule="exact"/>
      <w:outlineLvl w:val="1"/>
    </w:pPr>
    <w:rPr>
      <w:rFonts w:ascii="Arial" w:eastAsia="Arial" w:hAnsi="Arial" w:cs="Arial"/>
      <w:color w:val="auto"/>
      <w:spacing w:val="10"/>
      <w:sz w:val="14"/>
      <w:szCs w:val="14"/>
    </w:rPr>
  </w:style>
  <w:style w:type="paragraph" w:styleId="Textbubliny">
    <w:name w:val="Balloon Text"/>
    <w:basedOn w:val="Normln"/>
    <w:link w:val="TextbublinyChar"/>
    <w:uiPriority w:val="99"/>
    <w:semiHidden/>
    <w:unhideWhenUsed/>
    <w:rsid w:val="00AF6D3A"/>
    <w:rPr>
      <w:rFonts w:ascii="Tahoma" w:hAnsi="Tahoma" w:cs="Tahoma"/>
      <w:sz w:val="16"/>
      <w:szCs w:val="16"/>
    </w:rPr>
  </w:style>
  <w:style w:type="character" w:customStyle="1" w:styleId="TextbublinyChar">
    <w:name w:val="Text bubliny Char"/>
    <w:basedOn w:val="Standardnpsmoodstavce"/>
    <w:link w:val="Textbubliny"/>
    <w:uiPriority w:val="99"/>
    <w:semiHidden/>
    <w:rsid w:val="00AF6D3A"/>
    <w:rPr>
      <w:rFonts w:ascii="Tahoma" w:hAnsi="Tahoma" w:cs="Tahoma"/>
      <w:color w:val="000000"/>
      <w:sz w:val="16"/>
      <w:szCs w:val="16"/>
    </w:rPr>
  </w:style>
  <w:style w:type="character" w:styleId="Hypertextovodkaz">
    <w:name w:val="Hyperlink"/>
    <w:basedOn w:val="Standardnpsmoodstavce"/>
    <w:uiPriority w:val="99"/>
    <w:unhideWhenUsed/>
    <w:rsid w:val="008D00B3"/>
    <w:rPr>
      <w:color w:val="0000FF" w:themeColor="hyperlink"/>
      <w:u w:val="single"/>
    </w:rPr>
  </w:style>
  <w:style w:type="character" w:styleId="Odkaznakoment">
    <w:name w:val="annotation reference"/>
    <w:basedOn w:val="Standardnpsmoodstavce"/>
    <w:uiPriority w:val="99"/>
    <w:semiHidden/>
    <w:unhideWhenUsed/>
    <w:rsid w:val="006D3C0D"/>
    <w:rPr>
      <w:sz w:val="16"/>
      <w:szCs w:val="16"/>
    </w:rPr>
  </w:style>
  <w:style w:type="paragraph" w:styleId="Textkomente">
    <w:name w:val="annotation text"/>
    <w:basedOn w:val="Normln"/>
    <w:link w:val="TextkomenteChar"/>
    <w:uiPriority w:val="99"/>
    <w:semiHidden/>
    <w:unhideWhenUsed/>
    <w:rsid w:val="006D3C0D"/>
    <w:rPr>
      <w:sz w:val="20"/>
      <w:szCs w:val="20"/>
    </w:rPr>
  </w:style>
  <w:style w:type="character" w:customStyle="1" w:styleId="TextkomenteChar">
    <w:name w:val="Text komentáře Char"/>
    <w:basedOn w:val="Standardnpsmoodstavce"/>
    <w:link w:val="Textkomente"/>
    <w:uiPriority w:val="99"/>
    <w:semiHidden/>
    <w:rsid w:val="006D3C0D"/>
    <w:rPr>
      <w:color w:val="000000"/>
      <w:sz w:val="20"/>
      <w:szCs w:val="20"/>
    </w:rPr>
  </w:style>
  <w:style w:type="paragraph" w:styleId="Pedmtkomente">
    <w:name w:val="annotation subject"/>
    <w:basedOn w:val="Textkomente"/>
    <w:next w:val="Textkomente"/>
    <w:link w:val="PedmtkomenteChar"/>
    <w:uiPriority w:val="99"/>
    <w:semiHidden/>
    <w:unhideWhenUsed/>
    <w:rsid w:val="006D3C0D"/>
    <w:rPr>
      <w:b/>
      <w:bCs/>
    </w:rPr>
  </w:style>
  <w:style w:type="character" w:customStyle="1" w:styleId="PedmtkomenteChar">
    <w:name w:val="Předmět komentáře Char"/>
    <w:basedOn w:val="TextkomenteChar"/>
    <w:link w:val="Pedmtkomente"/>
    <w:uiPriority w:val="99"/>
    <w:semiHidden/>
    <w:rsid w:val="006D3C0D"/>
    <w:rPr>
      <w:b/>
      <w:bCs/>
      <w:color w:val="000000"/>
      <w:sz w:val="20"/>
      <w:szCs w:val="20"/>
    </w:rPr>
  </w:style>
  <w:style w:type="paragraph" w:styleId="Zkladntext">
    <w:name w:val="Body Text"/>
    <w:basedOn w:val="Normln"/>
    <w:link w:val="ZkladntextChar"/>
    <w:rsid w:val="00615C34"/>
    <w:pPr>
      <w:widowControl/>
    </w:pPr>
    <w:rPr>
      <w:color w:val="auto"/>
      <w:sz w:val="20"/>
      <w:lang w:val="en-US" w:eastAsia="pl-PL" w:bidi="ar-SA"/>
    </w:rPr>
  </w:style>
  <w:style w:type="character" w:customStyle="1" w:styleId="ZkladntextChar">
    <w:name w:val="Základní text Char"/>
    <w:basedOn w:val="Standardnpsmoodstavce"/>
    <w:link w:val="Zkladntext"/>
    <w:rsid w:val="00615C34"/>
    <w:rPr>
      <w:sz w:val="20"/>
      <w:lang w:val="en-US" w:eastAsia="pl-PL" w:bidi="ar-SA"/>
    </w:rPr>
  </w:style>
  <w:style w:type="paragraph" w:styleId="Odstavecseseznamem">
    <w:name w:val="List Paragraph"/>
    <w:basedOn w:val="Normln"/>
    <w:uiPriority w:val="34"/>
    <w:qFormat/>
    <w:rsid w:val="00D1055B"/>
    <w:pPr>
      <w:widowControl/>
      <w:ind w:left="720"/>
    </w:pPr>
    <w:rPr>
      <w:rFonts w:ascii="Calibri" w:eastAsiaTheme="minorHAnsi" w:hAnsi="Calibri"/>
      <w:color w:val="auto"/>
      <w:sz w:val="22"/>
      <w:szCs w:val="22"/>
      <w:lang w:val="en-US" w:eastAsia="en-US" w:bidi="ar-SA"/>
    </w:rPr>
  </w:style>
  <w:style w:type="table" w:styleId="Mkatabulky">
    <w:name w:val="Table Grid"/>
    <w:basedOn w:val="Normlntabulka"/>
    <w:uiPriority w:val="59"/>
    <w:rsid w:val="0084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prvnodsazen">
    <w:name w:val="Body Text First Indent"/>
    <w:basedOn w:val="Zkladntext"/>
    <w:link w:val="Zkladntext-prvnodsazenChar"/>
    <w:uiPriority w:val="99"/>
    <w:semiHidden/>
    <w:unhideWhenUsed/>
    <w:rsid w:val="000770B3"/>
    <w:pPr>
      <w:widowControl w:val="0"/>
      <w:ind w:firstLine="360"/>
    </w:pPr>
    <w:rPr>
      <w:color w:val="000000"/>
      <w:sz w:val="24"/>
      <w:lang w:val="cs-CZ" w:eastAsia="cs-CZ" w:bidi="cs-CZ"/>
    </w:rPr>
  </w:style>
  <w:style w:type="character" w:customStyle="1" w:styleId="Zkladntext-prvnodsazenChar">
    <w:name w:val="Základní text - první odsazený Char"/>
    <w:basedOn w:val="ZkladntextChar"/>
    <w:link w:val="Zkladntext-prvnodsazen"/>
    <w:uiPriority w:val="99"/>
    <w:semiHidden/>
    <w:rsid w:val="000770B3"/>
    <w:rPr>
      <w:color w:val="000000"/>
      <w:sz w:val="20"/>
      <w:lang w:val="en-US"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9428">
      <w:bodyDiv w:val="1"/>
      <w:marLeft w:val="0"/>
      <w:marRight w:val="0"/>
      <w:marTop w:val="0"/>
      <w:marBottom w:val="0"/>
      <w:divBdr>
        <w:top w:val="none" w:sz="0" w:space="0" w:color="auto"/>
        <w:left w:val="none" w:sz="0" w:space="0" w:color="auto"/>
        <w:bottom w:val="none" w:sz="0" w:space="0" w:color="auto"/>
        <w:right w:val="none" w:sz="0" w:space="0" w:color="auto"/>
      </w:divBdr>
    </w:div>
    <w:div w:id="482934911">
      <w:bodyDiv w:val="1"/>
      <w:marLeft w:val="0"/>
      <w:marRight w:val="0"/>
      <w:marTop w:val="0"/>
      <w:marBottom w:val="0"/>
      <w:divBdr>
        <w:top w:val="none" w:sz="0" w:space="0" w:color="auto"/>
        <w:left w:val="none" w:sz="0" w:space="0" w:color="auto"/>
        <w:bottom w:val="none" w:sz="0" w:space="0" w:color="auto"/>
        <w:right w:val="none" w:sz="0" w:space="0" w:color="auto"/>
      </w:divBdr>
    </w:div>
    <w:div w:id="646932128">
      <w:bodyDiv w:val="1"/>
      <w:marLeft w:val="0"/>
      <w:marRight w:val="0"/>
      <w:marTop w:val="0"/>
      <w:marBottom w:val="0"/>
      <w:divBdr>
        <w:top w:val="none" w:sz="0" w:space="0" w:color="auto"/>
        <w:left w:val="none" w:sz="0" w:space="0" w:color="auto"/>
        <w:bottom w:val="none" w:sz="0" w:space="0" w:color="auto"/>
        <w:right w:val="none" w:sz="0" w:space="0" w:color="auto"/>
      </w:divBdr>
    </w:div>
    <w:div w:id="959453190">
      <w:bodyDiv w:val="1"/>
      <w:marLeft w:val="0"/>
      <w:marRight w:val="0"/>
      <w:marTop w:val="0"/>
      <w:marBottom w:val="0"/>
      <w:divBdr>
        <w:top w:val="none" w:sz="0" w:space="0" w:color="auto"/>
        <w:left w:val="none" w:sz="0" w:space="0" w:color="auto"/>
        <w:bottom w:val="none" w:sz="0" w:space="0" w:color="auto"/>
        <w:right w:val="none" w:sz="0" w:space="0" w:color="auto"/>
      </w:divBdr>
    </w:div>
    <w:div w:id="1244102069">
      <w:bodyDiv w:val="1"/>
      <w:marLeft w:val="0"/>
      <w:marRight w:val="0"/>
      <w:marTop w:val="0"/>
      <w:marBottom w:val="0"/>
      <w:divBdr>
        <w:top w:val="none" w:sz="0" w:space="0" w:color="auto"/>
        <w:left w:val="none" w:sz="0" w:space="0" w:color="auto"/>
        <w:bottom w:val="none" w:sz="0" w:space="0" w:color="auto"/>
        <w:right w:val="none" w:sz="0" w:space="0" w:color="auto"/>
      </w:divBdr>
    </w:div>
    <w:div w:id="2012950332">
      <w:bodyDiv w:val="1"/>
      <w:marLeft w:val="0"/>
      <w:marRight w:val="0"/>
      <w:marTop w:val="0"/>
      <w:marBottom w:val="0"/>
      <w:divBdr>
        <w:top w:val="none" w:sz="0" w:space="0" w:color="auto"/>
        <w:left w:val="none" w:sz="0" w:space="0" w:color="auto"/>
        <w:bottom w:val="none" w:sz="0" w:space="0" w:color="auto"/>
        <w:right w:val="none" w:sz="0" w:space="0" w:color="auto"/>
      </w:divBdr>
    </w:div>
    <w:div w:id="202100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7B7AC9-EEAA-4182-9103-1EAD7E35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1262</Words>
  <Characters>7194</Characters>
  <Application>Microsoft Office Word</Application>
  <DocSecurity>0</DocSecurity>
  <Lines>59</Lines>
  <Paragraphs>16</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Raiffeisenbank a.s.</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Kolařík</dc:creator>
  <cp:lastModifiedBy>Krausová Petra</cp:lastModifiedBy>
  <cp:revision>11</cp:revision>
  <cp:lastPrinted>2017-08-11T08:58:00Z</cp:lastPrinted>
  <dcterms:created xsi:type="dcterms:W3CDTF">2021-02-03T12:08:00Z</dcterms:created>
  <dcterms:modified xsi:type="dcterms:W3CDTF">2021-03-19T08:44:00Z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M12777202/1</vt:lpwstr>
  </property>
  <property fmtid="{D5CDD505-2E9C-101B-9397-08002B2CF9AE}" pid="3" name="WS_REF_OLD">
    <vt:lpwstr>M12214541/3</vt:lpwstr>
  </property>
</Properties>
</file>