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4840" w14:textId="5292E094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AGRO - Měřín, a.s.</w:t>
      </w:r>
      <w:r w:rsidRPr="00C23BB6">
        <w:rPr>
          <w:rFonts w:ascii="Arial" w:hAnsi="Arial" w:cs="Arial"/>
          <w:sz w:val="22"/>
          <w:szCs w:val="22"/>
        </w:rPr>
        <w:t>, sídlo Zarybník 516, Měřín, PSČ 594</w:t>
      </w:r>
      <w:r w:rsidR="00156DE5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>42, IČO 49434179, zapsán</w:t>
      </w:r>
      <w:r w:rsidR="00156DE5">
        <w:rPr>
          <w:rFonts w:ascii="Arial" w:hAnsi="Arial" w:cs="Arial"/>
          <w:sz w:val="22"/>
          <w:szCs w:val="22"/>
        </w:rPr>
        <w:t>a</w:t>
      </w:r>
      <w:r w:rsidRPr="00C23BB6">
        <w:rPr>
          <w:rFonts w:ascii="Arial" w:hAnsi="Arial" w:cs="Arial"/>
          <w:sz w:val="22"/>
          <w:szCs w:val="22"/>
        </w:rPr>
        <w:t xml:space="preserve"> v obchodním rejstříku Krajského soudu v Brně, oddíl B, vložka 1085, </w:t>
      </w:r>
    </w:p>
    <w:p w14:paraId="5D3993FE" w14:textId="0BA46E21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 xml:space="preserve">zast. místopředseda představenstva Večeřová Lucie Mgr., bytem </w:t>
      </w:r>
      <w:r w:rsidR="00634DF3">
        <w:rPr>
          <w:rFonts w:ascii="Arial" w:hAnsi="Arial" w:cs="Arial"/>
          <w:sz w:val="22"/>
          <w:szCs w:val="22"/>
        </w:rPr>
        <w:t>XXXXXXXXXXXXXXXXXXX</w:t>
      </w:r>
    </w:p>
    <w:p w14:paraId="04EF61D3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0996E344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7C995661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2193CDA9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E45A124" w14:textId="41D486E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Večeřa Gabriel, Ing.</w:t>
      </w:r>
      <w:r w:rsidRPr="00C23BB6">
        <w:rPr>
          <w:rFonts w:ascii="Arial" w:hAnsi="Arial" w:cs="Arial"/>
          <w:sz w:val="22"/>
          <w:szCs w:val="22"/>
        </w:rPr>
        <w:t>, r.č. 56</w:t>
      </w:r>
      <w:r w:rsidR="00634DF3">
        <w:rPr>
          <w:rFonts w:ascii="Arial" w:hAnsi="Arial" w:cs="Arial"/>
          <w:sz w:val="22"/>
          <w:szCs w:val="22"/>
        </w:rPr>
        <w:t>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634DF3">
        <w:rPr>
          <w:rFonts w:ascii="Arial" w:hAnsi="Arial" w:cs="Arial"/>
          <w:sz w:val="22"/>
          <w:szCs w:val="22"/>
        </w:rPr>
        <w:t>XXXXXXXXXXXXXXX</w:t>
      </w:r>
      <w:r w:rsidRPr="00C23BB6">
        <w:rPr>
          <w:rFonts w:ascii="Arial" w:hAnsi="Arial" w:cs="Arial"/>
          <w:sz w:val="22"/>
          <w:szCs w:val="22"/>
        </w:rPr>
        <w:t>, Velké Meziříčí, PSČ 594</w:t>
      </w:r>
      <w:r w:rsidR="00156DE5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>01</w:t>
      </w:r>
    </w:p>
    <w:p w14:paraId="1043A644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6A970CFB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</w:p>
    <w:p w14:paraId="3FD9F497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278924EA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5359F99A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DC9658F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1024/11a, 130 00 Praha 3 – Žižkov,</w:t>
      </w:r>
    </w:p>
    <w:p w14:paraId="7249E5E7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1805CFA6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31FBC92E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2361B431" w14:textId="249087C4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764A8467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23C663FF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26392A" w14:textId="0BB5DFE5" w:rsidR="00553941" w:rsidRPr="00A807E6" w:rsidRDefault="00553941" w:rsidP="00156D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uzavírají podle ust. § 1888 a násl. zákona č. 89/2012 Sb., občanského zákoníku, v platném znění, tuto:</w:t>
      </w:r>
    </w:p>
    <w:p w14:paraId="276BF6B9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2C43219C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266D1D70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430F1B44" w14:textId="4447BC8C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29.11.2006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156DE5">
        <w:rPr>
          <w:rFonts w:ascii="Arial" w:hAnsi="Arial" w:cs="Arial"/>
          <w:sz w:val="22"/>
          <w:szCs w:val="22"/>
        </w:rPr>
        <w:t>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156DE5">
        <w:rPr>
          <w:rFonts w:ascii="Arial" w:hAnsi="Arial" w:cs="Arial"/>
          <w:sz w:val="22"/>
          <w:szCs w:val="22"/>
        </w:rPr>
        <w:t>Ing. Jaroslavem Hajátkem, vedoucím územního pracoviště Žďár nad Sázavou,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kupní smlouvu č. 1016770651 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ceny dle této smlouvy činí ke dni </w:t>
      </w:r>
      <w:r w:rsidR="00E15777">
        <w:rPr>
          <w:rFonts w:ascii="Arial" w:hAnsi="Arial" w:cs="Arial"/>
          <w:sz w:val="22"/>
          <w:szCs w:val="22"/>
        </w:rPr>
        <w:t>9.3.2021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>
        <w:rPr>
          <w:rFonts w:ascii="Arial" w:hAnsi="Arial" w:cs="Arial"/>
          <w:sz w:val="22"/>
          <w:szCs w:val="22"/>
        </w:rPr>
        <w:t>105 165,00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jedno sto pět tisíc jedno sto šedesát pět korun českých</w:t>
      </w:r>
      <w:r w:rsidRPr="00A807E6">
        <w:rPr>
          <w:rFonts w:ascii="Arial" w:hAnsi="Arial" w:cs="Arial"/>
          <w:sz w:val="22"/>
          <w:szCs w:val="22"/>
        </w:rPr>
        <w:t>)</w:t>
      </w:r>
    </w:p>
    <w:p w14:paraId="3595E7C8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2E9A298" w14:textId="0F19111E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105 165,00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680F913C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1471AE4A" w14:textId="5B5B0498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1.12.2021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1.12.2022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1.12.2023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1.12.2024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1.12.2025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1.12.2026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1.12.2027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1.12.2028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1.12.2029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1.12.2030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1.12.2031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1.12.2032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1.12.2033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1.12.2034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1.12.2035</w:t>
      </w:r>
      <w:r>
        <w:rPr>
          <w:rFonts w:ascii="Arial" w:hAnsi="Arial" w:cs="Arial"/>
          <w:sz w:val="22"/>
          <w:szCs w:val="22"/>
        </w:rPr>
        <w:tab/>
        <w:t>6 572,00 Kč</w:t>
      </w:r>
      <w:r>
        <w:rPr>
          <w:rFonts w:ascii="Arial" w:hAnsi="Arial" w:cs="Arial"/>
          <w:sz w:val="22"/>
          <w:szCs w:val="22"/>
        </w:rPr>
        <w:br/>
        <w:t>30.11.2036</w:t>
      </w:r>
      <w:r>
        <w:rPr>
          <w:rFonts w:ascii="Arial" w:hAnsi="Arial" w:cs="Arial"/>
          <w:sz w:val="22"/>
          <w:szCs w:val="22"/>
        </w:rPr>
        <w:tab/>
        <w:t>6 585,00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683816E9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14:paraId="4AD3D42B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3B7F4233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62CED7E0" w14:textId="0778E487" w:rsidR="00FF50F6" w:rsidRPr="00156DE5" w:rsidRDefault="00CE7C4E" w:rsidP="00156DE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1016770651</w:t>
      </w:r>
      <w:r w:rsidR="00475787">
        <w:rPr>
          <w:rFonts w:ascii="Arial" w:hAnsi="Arial" w:cs="Arial"/>
          <w:sz w:val="22"/>
          <w:szCs w:val="22"/>
        </w:rPr>
        <w:t>.</w:t>
      </w:r>
    </w:p>
    <w:p w14:paraId="343C8504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10C7BFBA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>Tato smlouva je vyhotovena ve 3 stejnopisech, z nichž každý má platnost originálu. Dlužník obdrží 2 stejnopisy, z toho 1 stejnopis pro potřeby přejímatele, vedlejší účastník obdrží 1 stejnopis této smlouvy.</w:t>
      </w:r>
    </w:p>
    <w:p w14:paraId="5A12EACE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22C6CF6F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0108CB2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55F26B6B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00FD125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3410F3" w14:textId="484A9908" w:rsidR="00156DE5" w:rsidRPr="00B05308" w:rsidRDefault="00156DE5" w:rsidP="00156DE5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</w:t>
      </w:r>
      <w:r w:rsidR="00634DF3">
        <w:rPr>
          <w:rFonts w:ascii="Arial" w:hAnsi="Arial" w:cs="Arial"/>
          <w:sz w:val="22"/>
          <w:szCs w:val="22"/>
        </w:rPr>
        <w:t>Měříně</w:t>
      </w:r>
      <w:r w:rsidRPr="00B05308">
        <w:rPr>
          <w:rFonts w:ascii="Arial" w:hAnsi="Arial" w:cs="Arial"/>
          <w:sz w:val="22"/>
          <w:szCs w:val="22"/>
        </w:rPr>
        <w:t xml:space="preserve"> dne</w:t>
      </w:r>
      <w:r w:rsidR="00634DF3">
        <w:rPr>
          <w:rFonts w:ascii="Arial" w:hAnsi="Arial" w:cs="Arial"/>
          <w:sz w:val="22"/>
          <w:szCs w:val="22"/>
        </w:rPr>
        <w:t xml:space="preserve"> 22.3.2021</w:t>
      </w:r>
      <w:r w:rsidRPr="00B05308">
        <w:rPr>
          <w:rFonts w:ascii="Arial" w:hAnsi="Arial" w:cs="Arial"/>
          <w:sz w:val="22"/>
          <w:szCs w:val="22"/>
        </w:rPr>
        <w:tab/>
        <w:t xml:space="preserve">V </w:t>
      </w:r>
      <w:r w:rsidR="00634DF3">
        <w:rPr>
          <w:rFonts w:ascii="Arial" w:hAnsi="Arial" w:cs="Arial"/>
          <w:sz w:val="22"/>
          <w:szCs w:val="22"/>
        </w:rPr>
        <w:t>Měříně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634DF3">
        <w:rPr>
          <w:rFonts w:ascii="Arial" w:hAnsi="Arial" w:cs="Arial"/>
          <w:sz w:val="22"/>
          <w:szCs w:val="22"/>
        </w:rPr>
        <w:t>22.3.2021</w:t>
      </w:r>
    </w:p>
    <w:p w14:paraId="157AECC8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27DA7878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034C55D6" w14:textId="1EAE0FC1" w:rsidR="00156DE5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169F3283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228595BC" w14:textId="77777777" w:rsidR="00156DE5" w:rsidRDefault="00156DE5" w:rsidP="00156DE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9CE2077" w14:textId="77777777" w:rsidR="00156DE5" w:rsidRDefault="00156DE5" w:rsidP="00156DE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- Měřín, a.s.</w:t>
      </w:r>
      <w:r>
        <w:rPr>
          <w:rFonts w:ascii="Arial" w:hAnsi="Arial" w:cs="Arial"/>
          <w:sz w:val="22"/>
          <w:szCs w:val="22"/>
        </w:rPr>
        <w:tab/>
        <w:t>Večeřa Gabriel, Ing.</w:t>
      </w:r>
    </w:p>
    <w:p w14:paraId="73C07DE6" w14:textId="77777777" w:rsidR="00156DE5" w:rsidRDefault="00156DE5" w:rsidP="00156DE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místopředseda představenstva</w:t>
      </w:r>
      <w:r>
        <w:rPr>
          <w:rFonts w:ascii="Arial" w:hAnsi="Arial" w:cs="Arial"/>
          <w:sz w:val="22"/>
          <w:szCs w:val="22"/>
        </w:rPr>
        <w:tab/>
        <w:t>dlužník</w:t>
      </w:r>
    </w:p>
    <w:p w14:paraId="3AAAC662" w14:textId="77777777" w:rsidR="00156DE5" w:rsidRDefault="00156DE5" w:rsidP="00156DE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Večeřová Lucie Mgr.</w:t>
      </w:r>
      <w:r>
        <w:rPr>
          <w:rFonts w:ascii="Arial" w:hAnsi="Arial" w:cs="Arial"/>
          <w:sz w:val="22"/>
          <w:szCs w:val="22"/>
        </w:rPr>
        <w:tab/>
      </w:r>
    </w:p>
    <w:p w14:paraId="448971BF" w14:textId="77777777" w:rsidR="00156DE5" w:rsidRDefault="00156DE5" w:rsidP="00156DE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</w:p>
    <w:p w14:paraId="67DD858D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385951E8" w14:textId="7CCA6C54" w:rsidR="00156DE5" w:rsidRPr="00A807E6" w:rsidRDefault="00156DE5" w:rsidP="00156DE5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Jihlavě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634DF3">
        <w:rPr>
          <w:rFonts w:ascii="Arial" w:hAnsi="Arial" w:cs="Arial"/>
          <w:sz w:val="22"/>
          <w:szCs w:val="22"/>
        </w:rPr>
        <w:t>30.3.2021</w:t>
      </w:r>
    </w:p>
    <w:p w14:paraId="55A80965" w14:textId="77777777" w:rsidR="00156DE5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2A7D58E9" w14:textId="77777777" w:rsidR="00156DE5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25C8A7BB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p w14:paraId="1DD7768B" w14:textId="77777777" w:rsidR="00156DE5" w:rsidRPr="00B05308" w:rsidRDefault="00156DE5" w:rsidP="00156DE5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6DEB8284" w14:textId="77777777" w:rsidR="00156DE5" w:rsidRPr="00A807E6" w:rsidRDefault="00156DE5" w:rsidP="00156DE5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EFB01DA" w14:textId="77777777" w:rsidR="00156DE5" w:rsidRPr="00091363" w:rsidRDefault="00156DE5" w:rsidP="00156DE5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Mgr. Silvie Hawerlandová, LL.M.</w:t>
      </w:r>
    </w:p>
    <w:p w14:paraId="7E830ACB" w14:textId="77777777" w:rsidR="00156DE5" w:rsidRDefault="00156DE5" w:rsidP="00156DE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0441FEAB" w14:textId="77777777" w:rsidR="00156DE5" w:rsidRDefault="00156DE5" w:rsidP="00156DE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</w:p>
    <w:p w14:paraId="72D38F67" w14:textId="77777777" w:rsidR="00156DE5" w:rsidRDefault="00156DE5" w:rsidP="00156DE5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01451B2F" w14:textId="7461856E" w:rsidR="00FF50F6" w:rsidRDefault="00FF50F6" w:rsidP="00077ACD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5C48D5DB" w14:textId="76411C9B" w:rsidR="00156DE5" w:rsidRDefault="00156DE5" w:rsidP="00077ACD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29C9C5D5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3CB74E5A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5F45A198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D552854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</w:p>
    <w:p w14:paraId="16F8C568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0B9E4AC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68675AC" w14:textId="77777777" w:rsidR="00156DE5" w:rsidRPr="00D87E4D" w:rsidRDefault="00156DE5" w:rsidP="00156DE5">
      <w:pPr>
        <w:jc w:val="both"/>
        <w:rPr>
          <w:rFonts w:ascii="Arial" w:hAnsi="Arial" w:cs="Arial"/>
          <w:i/>
          <w:sz w:val="22"/>
          <w:szCs w:val="22"/>
        </w:rPr>
      </w:pPr>
    </w:p>
    <w:p w14:paraId="7F5D237E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3279B13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174FCF3" w14:textId="77777777" w:rsidR="00156DE5" w:rsidRDefault="00156DE5" w:rsidP="00156DE5">
      <w:pPr>
        <w:jc w:val="both"/>
        <w:rPr>
          <w:rFonts w:ascii="Arial" w:hAnsi="Arial" w:cs="Arial"/>
          <w:sz w:val="22"/>
          <w:szCs w:val="22"/>
        </w:rPr>
      </w:pPr>
    </w:p>
    <w:p w14:paraId="5018AFF9" w14:textId="77777777" w:rsidR="00156DE5" w:rsidRDefault="00156DE5" w:rsidP="00156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E23B80D" w14:textId="77777777" w:rsidR="00156DE5" w:rsidRDefault="00156DE5" w:rsidP="00156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B58A756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</w:p>
    <w:p w14:paraId="33185533" w14:textId="77777777" w:rsidR="00156DE5" w:rsidRPr="002653C3" w:rsidRDefault="00156DE5" w:rsidP="00156DE5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47895FE4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C3089E9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</w:p>
    <w:p w14:paraId="6D27B8E9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</w:p>
    <w:p w14:paraId="27EDB9DB" w14:textId="77777777" w:rsidR="00156DE5" w:rsidRPr="00D87E4D" w:rsidRDefault="00156DE5" w:rsidP="00156DE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Jihlavě</w:t>
      </w:r>
      <w:r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5FFE019" w14:textId="77777777" w:rsidR="00156DE5" w:rsidRPr="00D87E4D" w:rsidRDefault="00156DE5" w:rsidP="00156DE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444FB3F" w14:textId="77777777" w:rsidR="00156DE5" w:rsidRPr="00D87E4D" w:rsidRDefault="00156DE5" w:rsidP="00156DE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14:paraId="05676367" w14:textId="77777777" w:rsidR="00156DE5" w:rsidRPr="00B05308" w:rsidRDefault="00156DE5" w:rsidP="00156DE5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</w:p>
    <w:p w14:paraId="3AF357D4" w14:textId="77777777" w:rsidR="00156DE5" w:rsidRPr="00B05308" w:rsidRDefault="00156DE5" w:rsidP="00156DE5">
      <w:pPr>
        <w:widowControl/>
        <w:rPr>
          <w:rFonts w:ascii="Arial" w:hAnsi="Arial" w:cs="Arial"/>
          <w:sz w:val="22"/>
          <w:szCs w:val="22"/>
        </w:rPr>
      </w:pPr>
    </w:p>
    <w:sectPr w:rsidR="00156DE5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AEB8D" w14:textId="77777777" w:rsidR="00156DE5" w:rsidRDefault="00156DE5">
      <w:r>
        <w:separator/>
      </w:r>
    </w:p>
  </w:endnote>
  <w:endnote w:type="continuationSeparator" w:id="0">
    <w:p w14:paraId="6A173023" w14:textId="77777777" w:rsidR="00156DE5" w:rsidRDefault="0015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9425" w14:textId="77777777" w:rsidR="00156DE5" w:rsidRDefault="00156DE5">
      <w:r>
        <w:separator/>
      </w:r>
    </w:p>
  </w:footnote>
  <w:footnote w:type="continuationSeparator" w:id="0">
    <w:p w14:paraId="44DC3B6C" w14:textId="77777777" w:rsidR="00156DE5" w:rsidRDefault="0015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01D5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105699"/>
    <w:rsid w:val="001330EA"/>
    <w:rsid w:val="00156DE5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34DF3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F49"/>
    <w:rsid w:val="008B368B"/>
    <w:rsid w:val="008C71FB"/>
    <w:rsid w:val="008F4DE0"/>
    <w:rsid w:val="00915F44"/>
    <w:rsid w:val="009251E6"/>
    <w:rsid w:val="00955B5A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65C5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10AAD"/>
  <w14:defaultImageDpi w14:val="0"/>
  <w15:docId w15:val="{E2FB80FA-7449-45B0-8F7F-0AA9C82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4160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Alena Ing.</dc:creator>
  <cp:keywords/>
  <dc:description/>
  <cp:lastModifiedBy>Procházková Alena Ing.</cp:lastModifiedBy>
  <cp:revision>2</cp:revision>
  <cp:lastPrinted>2000-06-20T10:00:00Z</cp:lastPrinted>
  <dcterms:created xsi:type="dcterms:W3CDTF">2021-03-09T07:47:00Z</dcterms:created>
  <dcterms:modified xsi:type="dcterms:W3CDTF">2021-03-31T08:32:00Z</dcterms:modified>
</cp:coreProperties>
</file>