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37C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E37C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37C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2016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2016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016E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37CD1">
        <w:rPr>
          <w:snapToGrid w:val="0"/>
          <w:sz w:val="18"/>
        </w:rPr>
        <w:t xml:space="preserve">Číslo </w:t>
      </w:r>
      <w:r w:rsidR="00DB577C" w:rsidRPr="00E37CD1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E37CD1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2016E8">
        <w:rPr>
          <w:b/>
          <w:snapToGrid w:val="0"/>
          <w:sz w:val="28"/>
          <w:szCs w:val="28"/>
        </w:rPr>
        <w:t>250</w:t>
      </w:r>
      <w:r w:rsidR="008F536D">
        <w:rPr>
          <w:b/>
          <w:snapToGrid w:val="0"/>
          <w:sz w:val="28"/>
          <w:szCs w:val="28"/>
        </w:rPr>
        <w:t>/201</w:t>
      </w:r>
      <w:r w:rsidR="00E37CD1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37CD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37CD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37CD1">
        <w:rPr>
          <w:rFonts w:ascii="Times New Roman" w:hAnsi="Times New Roman"/>
          <w:sz w:val="24"/>
          <w:szCs w:val="24"/>
        </w:rPr>
        <w:t>ust</w:t>
      </w:r>
      <w:proofErr w:type="spellEnd"/>
      <w:r w:rsidRPr="00E37CD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37CD1">
        <w:rPr>
          <w:rFonts w:ascii="Times New Roman" w:hAnsi="Times New Roman"/>
          <w:sz w:val="24"/>
          <w:szCs w:val="24"/>
        </w:rPr>
        <w:t>ZoPS</w:t>
      </w:r>
      <w:proofErr w:type="spellEnd"/>
      <w:r w:rsidRPr="00E37CD1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37CD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37CD1">
        <w:rPr>
          <w:b/>
          <w:snapToGrid w:val="0"/>
          <w:sz w:val="24"/>
        </w:rPr>
        <w:t>1.</w:t>
      </w:r>
      <w:r w:rsidRPr="00E37CD1">
        <w:rPr>
          <w:b/>
          <w:snapToGrid w:val="0"/>
          <w:sz w:val="24"/>
        </w:rPr>
        <w:tab/>
        <w:t>Česká pošta, s. p.</w:t>
      </w:r>
    </w:p>
    <w:p w:rsidR="00BA53A8" w:rsidRPr="00E37CD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37CD1">
        <w:rPr>
          <w:b/>
          <w:snapToGrid w:val="0"/>
          <w:sz w:val="24"/>
        </w:rPr>
        <w:t>se sídlem Praha 1, Politických vězňů 909/4, PSČ 225 99</w:t>
      </w:r>
    </w:p>
    <w:p w:rsidR="00C208CB" w:rsidRPr="00E37CD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37CD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37CD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37CD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37CD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37CD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37CD1">
        <w:rPr>
          <w:rFonts w:ascii="Times New Roman" w:hAnsi="Times New Roman"/>
          <w:snapToGrid w:val="0"/>
          <w:sz w:val="24"/>
        </w:rPr>
        <w:t xml:space="preserve">IČO: </w:t>
      </w:r>
      <w:r w:rsidRPr="00E37CD1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37CD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37CD1">
        <w:rPr>
          <w:rFonts w:ascii="Times New Roman" w:hAnsi="Times New Roman"/>
          <w:snapToGrid w:val="0"/>
          <w:sz w:val="24"/>
        </w:rPr>
        <w:t>DIČ:</w:t>
      </w:r>
      <w:r w:rsidRPr="00E37CD1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37CD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37CD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37CD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37CD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37CD1">
        <w:rPr>
          <w:rFonts w:ascii="Times New Roman" w:hAnsi="Times New Roman"/>
          <w:b/>
          <w:snapToGrid w:val="0"/>
          <w:sz w:val="24"/>
        </w:rPr>
        <w:tab/>
      </w:r>
      <w:r w:rsidRPr="00E37CD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37CD1">
        <w:rPr>
          <w:rFonts w:ascii="Times New Roman" w:hAnsi="Times New Roman"/>
          <w:snapToGrid w:val="0"/>
          <w:sz w:val="24"/>
        </w:rPr>
        <w:t>s.p</w:t>
      </w:r>
      <w:proofErr w:type="spellEnd"/>
      <w:r w:rsidRPr="00E37CD1">
        <w:rPr>
          <w:rFonts w:ascii="Times New Roman" w:hAnsi="Times New Roman"/>
          <w:snapToGrid w:val="0"/>
          <w:sz w:val="24"/>
        </w:rPr>
        <w:t>.</w:t>
      </w:r>
      <w:proofErr w:type="gramEnd"/>
      <w:r w:rsidRPr="00E37CD1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37CD1">
        <w:rPr>
          <w:rFonts w:ascii="Times New Roman" w:hAnsi="Times New Roman"/>
          <w:b/>
          <w:snapToGrid w:val="0"/>
          <w:sz w:val="24"/>
        </w:rPr>
        <w:tab/>
      </w:r>
      <w:r w:rsidRPr="00E37CD1">
        <w:rPr>
          <w:rFonts w:ascii="Times New Roman" w:hAnsi="Times New Roman"/>
          <w:b/>
          <w:snapToGrid w:val="0"/>
          <w:sz w:val="24"/>
        </w:rPr>
        <w:tab/>
      </w:r>
      <w:r w:rsidRPr="00E37CD1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7212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2016E8">
        <w:rPr>
          <w:snapToGrid w:val="0"/>
          <w:sz w:val="24"/>
        </w:rPr>
        <w:t>30986001</w:t>
      </w:r>
    </w:p>
    <w:p w:rsidR="002016E8" w:rsidRPr="00573AEB" w:rsidRDefault="002016E8" w:rsidP="002016E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bCs/>
          <w:snapToGrid w:val="0"/>
          <w:sz w:val="24"/>
        </w:rPr>
        <w:tab/>
      </w:r>
      <w:r w:rsidRPr="00573AEB">
        <w:rPr>
          <w:b/>
          <w:bCs/>
          <w:snapToGrid w:val="0"/>
          <w:sz w:val="24"/>
        </w:rPr>
        <w:t>Domov seniorů Břeclav, příspěvková organizace</w:t>
      </w:r>
    </w:p>
    <w:p w:rsidR="002016E8" w:rsidRPr="00573AEB" w:rsidRDefault="002016E8" w:rsidP="002016E8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Pr="00573AEB">
        <w:rPr>
          <w:b/>
          <w:snapToGrid w:val="0"/>
          <w:sz w:val="24"/>
        </w:rPr>
        <w:t>Břeclav, Na Pěšině 2842/13, PSČ 69003</w:t>
      </w:r>
      <w:r w:rsidRPr="00573AEB">
        <w:rPr>
          <w:sz w:val="24"/>
          <w:szCs w:val="24"/>
        </w:rPr>
        <w:t xml:space="preserve"> </w:t>
      </w:r>
    </w:p>
    <w:p w:rsidR="002016E8" w:rsidRPr="00206D3F" w:rsidRDefault="002016E8" w:rsidP="002016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PhDr</w:t>
      </w:r>
      <w:r w:rsidRPr="00D1020F">
        <w:rPr>
          <w:rFonts w:ascii="Times New Roman" w:hAnsi="Times New Roman"/>
          <w:snapToGrid w:val="0"/>
          <w:sz w:val="24"/>
        </w:rPr>
        <w:t xml:space="preserve">. Davidem </w:t>
      </w:r>
      <w:proofErr w:type="spellStart"/>
      <w:r w:rsidRPr="00D1020F">
        <w:rPr>
          <w:rFonts w:ascii="Times New Roman" w:hAnsi="Times New Roman"/>
          <w:snapToGrid w:val="0"/>
          <w:sz w:val="24"/>
        </w:rPr>
        <w:t>Malinkovičem</w:t>
      </w:r>
      <w:proofErr w:type="spellEnd"/>
      <w:r w:rsidRPr="00D1020F">
        <w:rPr>
          <w:rFonts w:ascii="Times New Roman" w:hAnsi="Times New Roman"/>
          <w:snapToGrid w:val="0"/>
          <w:sz w:val="24"/>
        </w:rPr>
        <w:t>, ředitelem</w:t>
      </w:r>
    </w:p>
    <w:p w:rsidR="002016E8" w:rsidRDefault="002016E8" w:rsidP="002016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48452734</w:t>
      </w:r>
    </w:p>
    <w:p w:rsidR="002016E8" w:rsidRDefault="002016E8" w:rsidP="002016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48452734</w:t>
      </w:r>
    </w:p>
    <w:p w:rsidR="002016E8" w:rsidRDefault="002016E8" w:rsidP="002016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zapsána v obchodním rejstříku vedeném Krajským soudem v Brně, oddíl </w:t>
      </w:r>
      <w:proofErr w:type="spellStart"/>
      <w:r>
        <w:rPr>
          <w:rFonts w:ascii="Times New Roman" w:hAnsi="Times New Roman"/>
          <w:snapToGrid w:val="0"/>
          <w:sz w:val="24"/>
        </w:rPr>
        <w:t>Pr</w:t>
      </w:r>
      <w:proofErr w:type="spellEnd"/>
      <w:r>
        <w:rPr>
          <w:rFonts w:ascii="Times New Roman" w:hAnsi="Times New Roman"/>
          <w:snapToGrid w:val="0"/>
          <w:sz w:val="24"/>
        </w:rPr>
        <w:t>, vložka 1458</w:t>
      </w:r>
    </w:p>
    <w:p w:rsidR="002016E8" w:rsidRPr="003721EA" w:rsidRDefault="002016E8" w:rsidP="002016E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016E8" w:rsidRPr="00C62FB9" w:rsidRDefault="002016E8" w:rsidP="002016E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7212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016E8" w:rsidRDefault="002016E8" w:rsidP="002016E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016E8" w:rsidRPr="00DE2BC9" w:rsidRDefault="002016E8" w:rsidP="002016E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016E8" w:rsidRDefault="002016E8" w:rsidP="002016E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2016E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016E8">
        <w:rPr>
          <w:rFonts w:ascii="Times New Roman" w:hAnsi="Times New Roman"/>
          <w:b/>
          <w:sz w:val="24"/>
        </w:rPr>
        <w:t>14</w:t>
      </w:r>
      <w:r w:rsidR="007C328F">
        <w:rPr>
          <w:rFonts w:ascii="Times New Roman" w:hAnsi="Times New Roman"/>
          <w:b/>
          <w:sz w:val="24"/>
        </w:rPr>
        <w:t>.</w:t>
      </w:r>
      <w:r w:rsidR="002016E8">
        <w:rPr>
          <w:rFonts w:ascii="Times New Roman" w:hAnsi="Times New Roman"/>
          <w:b/>
          <w:sz w:val="24"/>
        </w:rPr>
        <w:t>1</w:t>
      </w:r>
      <w:r w:rsidR="007C328F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E37CD1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E37CD1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016E8">
        <w:rPr>
          <w:rFonts w:ascii="Times New Roman" w:hAnsi="Times New Roman"/>
          <w:b/>
          <w:snapToGrid w:val="0"/>
          <w:sz w:val="24"/>
          <w:szCs w:val="24"/>
        </w:rPr>
        <w:t>250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E37CD1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2016E8" w:rsidRDefault="002016E8" w:rsidP="002016E8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2016E8" w:rsidRPr="00524CFC" w:rsidRDefault="002016E8" w:rsidP="002016E8">
      <w:pPr>
        <w:pStyle w:val="Codstavec"/>
        <w:numPr>
          <w:ilvl w:val="1"/>
          <w:numId w:val="25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24CFC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524CFC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524CFC">
        <w:rPr>
          <w:rFonts w:ascii="Times New Roman" w:hAnsi="Times New Roman"/>
          <w:snapToGrid w:val="0"/>
          <w:sz w:val="24"/>
        </w:rPr>
        <w:t xml:space="preserve">) </w:t>
      </w:r>
      <w:r w:rsidRPr="00524CFC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Domov seniorů Břeclav, příspěvková organizace, Na Pěšině 2842/13, 690 03 Břeclav</w:t>
      </w:r>
    </w:p>
    <w:p w:rsidR="002016E8" w:rsidRDefault="002016E8" w:rsidP="002016E8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2016E8" w:rsidRPr="002016E8" w:rsidRDefault="002016E8" w:rsidP="002016E8">
      <w:pPr>
        <w:pStyle w:val="Codstavec"/>
        <w:numPr>
          <w:ilvl w:val="1"/>
          <w:numId w:val="26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016E8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2016E8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2016E8">
        <w:rPr>
          <w:rFonts w:ascii="Times New Roman" w:hAnsi="Times New Roman"/>
          <w:snapToGrid w:val="0"/>
          <w:sz w:val="24"/>
        </w:rPr>
        <w:t xml:space="preserve">) </w:t>
      </w:r>
      <w:r w:rsidRPr="002016E8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016E8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016E8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016E8" w:rsidRDefault="002016E8" w:rsidP="002016E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2016E8" w:rsidRPr="002016E8" w:rsidRDefault="002016E8" w:rsidP="002016E8">
      <w:pPr>
        <w:pStyle w:val="Codstavec"/>
        <w:numPr>
          <w:ilvl w:val="2"/>
          <w:numId w:val="27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524CFC">
        <w:rPr>
          <w:rFonts w:ascii="Times New Roman" w:hAnsi="Times New Roman"/>
          <w:b/>
          <w:snapToGrid w:val="0"/>
          <w:sz w:val="24"/>
        </w:rPr>
        <w:t>Domov seniorů Břeclav, příspěvková organizace, Na Pěšině 2842/13, 690 03 Břeclav</w:t>
      </w:r>
    </w:p>
    <w:p w:rsidR="002016E8" w:rsidRDefault="002016E8" w:rsidP="002016E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2016E8" w:rsidRPr="009A7F97" w:rsidRDefault="002016E8" w:rsidP="002016E8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9A7F97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E37CD1" w:rsidRDefault="002016E8" w:rsidP="002016E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E37CD1">
        <w:rPr>
          <w:rFonts w:ascii="Times New Roman" w:hAnsi="Times New Roman"/>
          <w:b/>
          <w:sz w:val="24"/>
        </w:rPr>
        <w:t>.</w:t>
      </w:r>
      <w:r w:rsidR="00E37CD1">
        <w:rPr>
          <w:rFonts w:ascii="Times New Roman" w:hAnsi="Times New Roman"/>
          <w:b/>
          <w:sz w:val="24"/>
        </w:rPr>
        <w:tab/>
      </w:r>
      <w:r w:rsidR="00E37CD1" w:rsidRPr="002D570B">
        <w:rPr>
          <w:rFonts w:ascii="Times New Roman" w:hAnsi="Times New Roman"/>
          <w:b/>
          <w:sz w:val="24"/>
        </w:rPr>
        <w:t xml:space="preserve">Dosavadní ustanovení </w:t>
      </w:r>
      <w:r w:rsidR="00E37CD1">
        <w:rPr>
          <w:rFonts w:ascii="Times New Roman" w:hAnsi="Times New Roman"/>
          <w:b/>
          <w:sz w:val="24"/>
        </w:rPr>
        <w:t>čl. V. Zvláštní ujednání</w:t>
      </w:r>
      <w:r w:rsidR="00E37CD1" w:rsidRPr="002D570B">
        <w:rPr>
          <w:rFonts w:ascii="Times New Roman" w:hAnsi="Times New Roman"/>
          <w:b/>
          <w:sz w:val="24"/>
        </w:rPr>
        <w:t xml:space="preserve">, </w:t>
      </w:r>
      <w:r w:rsidR="00E37CD1">
        <w:rPr>
          <w:rFonts w:ascii="Times New Roman" w:hAnsi="Times New Roman"/>
          <w:b/>
          <w:sz w:val="24"/>
        </w:rPr>
        <w:t xml:space="preserve">odst. 5.4, </w:t>
      </w:r>
      <w:r w:rsidR="00E37CD1" w:rsidRPr="002D570B">
        <w:rPr>
          <w:rFonts w:ascii="Times New Roman" w:hAnsi="Times New Roman"/>
          <w:b/>
          <w:sz w:val="24"/>
        </w:rPr>
        <w:t xml:space="preserve">Smlouvy </w:t>
      </w:r>
      <w:r w:rsidR="00E37CD1" w:rsidRPr="002D570B">
        <w:rPr>
          <w:rFonts w:ascii="Times New Roman" w:hAnsi="Times New Roman"/>
          <w:b/>
          <w:sz w:val="24"/>
          <w:u w:val="single"/>
        </w:rPr>
        <w:t>se ruší</w:t>
      </w:r>
      <w:r w:rsidR="00E37CD1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E37CD1" w:rsidRDefault="00E37CD1" w:rsidP="00E37CD1">
      <w:pPr>
        <w:pStyle w:val="Codstavec"/>
        <w:tabs>
          <w:tab w:val="left" w:pos="567"/>
        </w:tabs>
        <w:spacing w:before="120"/>
        <w:ind w:left="708" w:right="23" w:hanging="708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E37CD1" w:rsidRDefault="002016E8" w:rsidP="002016E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E37CD1">
        <w:rPr>
          <w:rFonts w:ascii="Times New Roman" w:hAnsi="Times New Roman"/>
          <w:b/>
          <w:sz w:val="24"/>
        </w:rPr>
        <w:t>.</w:t>
      </w:r>
      <w:r w:rsidR="00E37CD1">
        <w:rPr>
          <w:rFonts w:ascii="Times New Roman" w:hAnsi="Times New Roman"/>
          <w:b/>
          <w:sz w:val="24"/>
        </w:rPr>
        <w:tab/>
      </w:r>
      <w:r w:rsidR="00E37CD1" w:rsidRPr="002D570B">
        <w:rPr>
          <w:rFonts w:ascii="Times New Roman" w:hAnsi="Times New Roman"/>
          <w:b/>
          <w:sz w:val="24"/>
        </w:rPr>
        <w:t xml:space="preserve">Dosavadní ustanovení </w:t>
      </w:r>
      <w:r w:rsidR="00E37CD1">
        <w:rPr>
          <w:rFonts w:ascii="Times New Roman" w:hAnsi="Times New Roman"/>
          <w:b/>
          <w:sz w:val="24"/>
        </w:rPr>
        <w:t>čl. V. Zvláštní ujednání</w:t>
      </w:r>
      <w:r w:rsidR="00E37CD1" w:rsidRPr="002D570B">
        <w:rPr>
          <w:rFonts w:ascii="Times New Roman" w:hAnsi="Times New Roman"/>
          <w:b/>
          <w:sz w:val="24"/>
        </w:rPr>
        <w:t xml:space="preserve">, </w:t>
      </w:r>
      <w:r w:rsidR="00E37CD1">
        <w:rPr>
          <w:rFonts w:ascii="Times New Roman" w:hAnsi="Times New Roman"/>
          <w:b/>
          <w:sz w:val="24"/>
        </w:rPr>
        <w:t xml:space="preserve">odst. 5.4, </w:t>
      </w:r>
      <w:r w:rsidR="00E37CD1" w:rsidRPr="002D570B">
        <w:rPr>
          <w:rFonts w:ascii="Times New Roman" w:hAnsi="Times New Roman"/>
          <w:b/>
          <w:sz w:val="24"/>
        </w:rPr>
        <w:t xml:space="preserve">Smlouvy </w:t>
      </w:r>
      <w:r w:rsidR="00E37CD1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E37CD1">
        <w:rPr>
          <w:rFonts w:ascii="Times New Roman" w:hAnsi="Times New Roman"/>
          <w:b/>
          <w:sz w:val="24"/>
          <w:u w:val="single"/>
        </w:rPr>
        <w:t>nahrazuje</w:t>
      </w:r>
      <w:r w:rsidR="00E37CD1" w:rsidRPr="002D570B">
        <w:rPr>
          <w:rFonts w:ascii="Times New Roman" w:hAnsi="Times New Roman"/>
          <w:b/>
          <w:sz w:val="24"/>
        </w:rPr>
        <w:t xml:space="preserve"> v tomto úplném</w:t>
      </w:r>
      <w:r w:rsidR="00E37CD1">
        <w:rPr>
          <w:rFonts w:ascii="Times New Roman" w:hAnsi="Times New Roman"/>
          <w:b/>
          <w:sz w:val="24"/>
        </w:rPr>
        <w:t xml:space="preserve"> novém</w:t>
      </w:r>
      <w:r w:rsidR="00E37CD1" w:rsidRPr="002D570B">
        <w:rPr>
          <w:rFonts w:ascii="Times New Roman" w:hAnsi="Times New Roman"/>
          <w:b/>
          <w:sz w:val="24"/>
        </w:rPr>
        <w:t xml:space="preserve"> znění:</w:t>
      </w:r>
    </w:p>
    <w:p w:rsidR="00E37CD1" w:rsidRPr="009A7F97" w:rsidRDefault="00E37CD1" w:rsidP="00E37CD1">
      <w:pPr>
        <w:pStyle w:val="Codstavec"/>
        <w:spacing w:before="120"/>
        <w:ind w:left="708" w:hanging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Pr="0090644A" w:rsidRDefault="002016E8" w:rsidP="002016E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E72128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2016E8" w:rsidP="002016E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E72128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0644A" w:rsidRDefault="002016E8" w:rsidP="002016E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10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podpisu oběma smluvními stranami. </w:t>
      </w:r>
      <w:r w:rsidR="0090644A" w:rsidRPr="00E40DAC">
        <w:rPr>
          <w:b/>
        </w:rPr>
        <w:t xml:space="preserve">Dodatek nabývá účinnosti 1. kalendářním dnem měsíce následujícího po </w:t>
      </w:r>
      <w:r w:rsidR="0090644A">
        <w:rPr>
          <w:b/>
        </w:rPr>
        <w:t xml:space="preserve">datu nabytí platnosti </w:t>
      </w:r>
      <w:r w:rsidR="0090644A" w:rsidRPr="00E40DAC">
        <w:rPr>
          <w:b/>
        </w:rPr>
        <w:t>dodatku.</w:t>
      </w:r>
    </w:p>
    <w:p w:rsidR="00922CA7" w:rsidRDefault="002016E8" w:rsidP="002016E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11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5C66DD" w:rsidP="002016E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2016E8">
        <w:rPr>
          <w:rFonts w:ascii="Times New Roman" w:hAnsi="Times New Roman"/>
          <w:b/>
          <w:sz w:val="24"/>
        </w:rPr>
        <w:t>2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E85628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016E8">
        <w:rPr>
          <w:rFonts w:ascii="Times New Roman" w:hAnsi="Times New Roman"/>
          <w:sz w:val="24"/>
        </w:rPr>
        <w:t>Břeclavi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7212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</w:t>
      </w:r>
      <w:bookmarkStart w:id="0" w:name="_GoBack"/>
      <w:bookmarkEnd w:id="0"/>
      <w:r w:rsidRPr="00DE2BC9">
        <w:rPr>
          <w:rFonts w:ascii="Times New Roman" w:hAnsi="Times New Roman"/>
          <w:sz w:val="24"/>
        </w:rPr>
        <w:t>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2016E8">
        <w:rPr>
          <w:rFonts w:ascii="Times New Roman" w:hAnsi="Times New Roman"/>
          <w:snapToGrid w:val="0"/>
          <w:sz w:val="24"/>
        </w:rPr>
        <w:t xml:space="preserve">PhDr. David </w:t>
      </w:r>
      <w:proofErr w:type="spellStart"/>
      <w:r w:rsidR="002016E8">
        <w:rPr>
          <w:rFonts w:ascii="Times New Roman" w:hAnsi="Times New Roman"/>
          <w:snapToGrid w:val="0"/>
          <w:sz w:val="24"/>
        </w:rPr>
        <w:t>Malinkovič</w:t>
      </w:r>
      <w:proofErr w:type="spellEnd"/>
    </w:p>
    <w:p w:rsidR="001500DE" w:rsidRPr="005C66DD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5C66DD">
        <w:rPr>
          <w:rFonts w:ascii="Times New Roman" w:hAnsi="Times New Roman"/>
          <w:snapToGrid w:val="0"/>
          <w:sz w:val="24"/>
        </w:rPr>
        <w:t>manažer specializovaného útvaru</w:t>
      </w:r>
      <w:r w:rsidR="00E85628">
        <w:rPr>
          <w:rFonts w:ascii="Times New Roman" w:hAnsi="Times New Roman"/>
          <w:snapToGrid w:val="0"/>
          <w:sz w:val="24"/>
        </w:rPr>
        <w:tab/>
      </w:r>
      <w:r w:rsidR="002016E8">
        <w:rPr>
          <w:rFonts w:ascii="Times New Roman" w:hAnsi="Times New Roman"/>
          <w:snapToGrid w:val="0"/>
          <w:sz w:val="24"/>
        </w:rPr>
        <w:t>ředitel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5C66DD">
        <w:rPr>
          <w:rFonts w:ascii="Times New Roman" w:hAnsi="Times New Roman"/>
          <w:snapToGrid w:val="0"/>
          <w:sz w:val="24"/>
        </w:rPr>
        <w:t>zpracování centrálních úloh</w:t>
      </w:r>
      <w:r w:rsidR="005C66DD">
        <w:rPr>
          <w:rFonts w:ascii="Times New Roman" w:hAnsi="Times New Roman"/>
          <w:snapToGrid w:val="0"/>
          <w:sz w:val="24"/>
        </w:rPr>
        <w:tab/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E37CD1">
      <w:rPr>
        <w:sz w:val="16"/>
      </w:rPr>
      <w:t>6</w:t>
    </w:r>
    <w:r w:rsidR="002F71B9">
      <w:rPr>
        <w:sz w:val="16"/>
      </w:rPr>
      <w:t xml:space="preserve"> – </w:t>
    </w:r>
    <w:r w:rsidR="002016E8">
      <w:rPr>
        <w:sz w:val="16"/>
      </w:rPr>
      <w:t>250</w:t>
    </w:r>
    <w:r w:rsidR="008F536D">
      <w:rPr>
        <w:sz w:val="16"/>
      </w:rPr>
      <w:t>/201</w:t>
    </w:r>
    <w:r w:rsidR="00E37CD1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72128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1A85"/>
    <w:multiLevelType w:val="multilevel"/>
    <w:tmpl w:val="40B4CA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B43E5"/>
    <w:multiLevelType w:val="multilevel"/>
    <w:tmpl w:val="F9EA25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E19BA"/>
    <w:multiLevelType w:val="multilevel"/>
    <w:tmpl w:val="6D6067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FB7D3B"/>
    <w:multiLevelType w:val="multilevel"/>
    <w:tmpl w:val="1FBCCC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510DDA"/>
    <w:multiLevelType w:val="multilevel"/>
    <w:tmpl w:val="346C9D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1391A01"/>
    <w:multiLevelType w:val="multilevel"/>
    <w:tmpl w:val="BA1686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0"/>
  </w:num>
  <w:num w:numId="5">
    <w:abstractNumId w:val="6"/>
  </w:num>
  <w:num w:numId="6">
    <w:abstractNumId w:val="20"/>
  </w:num>
  <w:num w:numId="7">
    <w:abstractNumId w:val="5"/>
  </w:num>
  <w:num w:numId="8">
    <w:abstractNumId w:val="13"/>
  </w:num>
  <w:num w:numId="9">
    <w:abstractNumId w:val="1"/>
  </w:num>
  <w:num w:numId="10">
    <w:abstractNumId w:val="19"/>
  </w:num>
  <w:num w:numId="11">
    <w:abstractNumId w:val="17"/>
  </w:num>
  <w:num w:numId="12">
    <w:abstractNumId w:val="26"/>
  </w:num>
  <w:num w:numId="13">
    <w:abstractNumId w:val="9"/>
  </w:num>
  <w:num w:numId="14">
    <w:abstractNumId w:val="22"/>
  </w:num>
  <w:num w:numId="15">
    <w:abstractNumId w:val="16"/>
  </w:num>
  <w:num w:numId="16">
    <w:abstractNumId w:val="12"/>
  </w:num>
  <w:num w:numId="17">
    <w:abstractNumId w:val="3"/>
  </w:num>
  <w:num w:numId="18">
    <w:abstractNumId w:val="25"/>
  </w:num>
  <w:num w:numId="19">
    <w:abstractNumId w:val="4"/>
  </w:num>
  <w:num w:numId="20">
    <w:abstractNumId w:val="14"/>
  </w:num>
  <w:num w:numId="21">
    <w:abstractNumId w:val="24"/>
  </w:num>
  <w:num w:numId="22">
    <w:abstractNumId w:val="11"/>
  </w:num>
  <w:num w:numId="23">
    <w:abstractNumId w:val="2"/>
  </w:num>
  <w:num w:numId="24">
    <w:abstractNumId w:val="7"/>
  </w:num>
  <w:num w:numId="25">
    <w:abstractNumId w:val="15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16E8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4F9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6DD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1362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37CD1"/>
    <w:rsid w:val="00E409E8"/>
    <w:rsid w:val="00E56B50"/>
    <w:rsid w:val="00E57E38"/>
    <w:rsid w:val="00E64661"/>
    <w:rsid w:val="00E660C2"/>
    <w:rsid w:val="00E72128"/>
    <w:rsid w:val="00E774DD"/>
    <w:rsid w:val="00E85628"/>
    <w:rsid w:val="00E90F75"/>
    <w:rsid w:val="00E9234B"/>
    <w:rsid w:val="00E96C63"/>
    <w:rsid w:val="00EA76C9"/>
    <w:rsid w:val="00EB1B1A"/>
    <w:rsid w:val="00ED7925"/>
    <w:rsid w:val="00EE53CD"/>
    <w:rsid w:val="00EF0FD7"/>
    <w:rsid w:val="00EF4360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E5176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owrap">
    <w:name w:val="nowrap"/>
    <w:basedOn w:val="Standardnpsmoodstavce"/>
    <w:rsid w:val="00E37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2021-03-24T07:02:00Z</dcterms:created>
  <dcterms:modified xsi:type="dcterms:W3CDTF">2021-03-31T06:59:00Z</dcterms:modified>
</cp:coreProperties>
</file>