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96" w:rsidRDefault="009F1B4C">
      <w:pPr>
        <w:spacing w:before="80"/>
        <w:ind w:left="3143" w:right="3147"/>
        <w:jc w:val="center"/>
        <w:rPr>
          <w:sz w:val="32"/>
        </w:rPr>
      </w:pPr>
      <w:r>
        <w:rPr>
          <w:color w:val="808080"/>
          <w:sz w:val="32"/>
        </w:rPr>
        <w:t>Smlouva č. 1190400311 o poskytnutí podpory</w:t>
      </w:r>
    </w:p>
    <w:p w:rsidR="004E2E96" w:rsidRDefault="009F1B4C">
      <w:pPr>
        <w:spacing w:before="1"/>
        <w:ind w:left="647" w:right="660"/>
        <w:jc w:val="center"/>
        <w:rPr>
          <w:sz w:val="32"/>
        </w:rPr>
      </w:pPr>
      <w:r>
        <w:rPr>
          <w:color w:val="808080"/>
          <w:sz w:val="32"/>
        </w:rPr>
        <w:t>ze Státního fondu životního prostředí České republiky</w:t>
      </w:r>
    </w:p>
    <w:p w:rsidR="004E2E96" w:rsidRDefault="004E2E96">
      <w:pPr>
        <w:pStyle w:val="Zkladntext"/>
        <w:spacing w:before="11"/>
        <w:ind w:left="0" w:firstLine="0"/>
        <w:rPr>
          <w:sz w:val="59"/>
        </w:rPr>
      </w:pPr>
    </w:p>
    <w:p w:rsidR="004E2E96" w:rsidRDefault="009F1B4C">
      <w:pPr>
        <w:pStyle w:val="Zkladntext"/>
        <w:ind w:left="102" w:firstLine="0"/>
      </w:pPr>
      <w:r>
        <w:t>Smluvní strany</w:t>
      </w:r>
    </w:p>
    <w:p w:rsidR="004E2E96" w:rsidRDefault="004E2E96">
      <w:pPr>
        <w:pStyle w:val="Zkladntext"/>
        <w:ind w:left="0" w:firstLine="0"/>
        <w:rPr>
          <w:sz w:val="26"/>
        </w:rPr>
      </w:pPr>
    </w:p>
    <w:p w:rsidR="004E2E96" w:rsidRDefault="009F1B4C">
      <w:pPr>
        <w:pStyle w:val="Nadpis1"/>
        <w:spacing w:before="187"/>
        <w:ind w:left="102" w:right="0"/>
        <w:jc w:val="left"/>
      </w:pPr>
      <w:r>
        <w:t>Státní fond životního prostředí České republiky</w:t>
      </w:r>
    </w:p>
    <w:p w:rsidR="004E2E96" w:rsidRDefault="009F1B4C">
      <w:pPr>
        <w:pStyle w:val="Zkladntext"/>
        <w:tabs>
          <w:tab w:val="left" w:pos="2982"/>
        </w:tabs>
        <w:spacing w:line="265" w:lineRule="exact"/>
        <w:ind w:left="102" w:firstLine="0"/>
      </w:pPr>
      <w:r>
        <w:t>se</w:t>
      </w:r>
      <w:r>
        <w:rPr>
          <w:spacing w:val="-3"/>
        </w:rPr>
        <w:t xml:space="preserve"> </w:t>
      </w:r>
      <w:r>
        <w:t>sídlem</w:t>
      </w:r>
      <w:r>
        <w:tab/>
        <w:t>Kaplanova 1931/1, 148 00 Praha</w:t>
      </w:r>
      <w:r>
        <w:rPr>
          <w:spacing w:val="-15"/>
        </w:rPr>
        <w:t xml:space="preserve"> </w:t>
      </w:r>
      <w:r>
        <w:t>11</w:t>
      </w:r>
    </w:p>
    <w:p w:rsidR="004E2E96" w:rsidRDefault="009F1B4C">
      <w:pPr>
        <w:pStyle w:val="Zkladntext"/>
        <w:tabs>
          <w:tab w:val="left" w:pos="2982"/>
        </w:tabs>
        <w:spacing w:line="265" w:lineRule="exact"/>
        <w:ind w:left="102" w:firstLine="0"/>
      </w:pPr>
      <w:r>
        <w:t>korespondenční</w:t>
      </w:r>
      <w:r>
        <w:rPr>
          <w:spacing w:val="-3"/>
        </w:rPr>
        <w:t xml:space="preserve"> </w:t>
      </w:r>
      <w:r>
        <w:t>adresa:</w:t>
      </w:r>
      <w:r>
        <w:tab/>
      </w:r>
      <w:r>
        <w:t>Olbrachtova 2006/9, 140 00 Praha</w:t>
      </w:r>
      <w:r>
        <w:rPr>
          <w:spacing w:val="-18"/>
        </w:rPr>
        <w:t xml:space="preserve"> </w:t>
      </w:r>
      <w:r>
        <w:t>4</w:t>
      </w:r>
    </w:p>
    <w:p w:rsidR="004E2E96" w:rsidRDefault="009F1B4C">
      <w:pPr>
        <w:pStyle w:val="Zkladntext"/>
        <w:tabs>
          <w:tab w:val="left" w:pos="2982"/>
        </w:tabs>
        <w:spacing w:before="1"/>
        <w:ind w:left="102" w:firstLine="0"/>
      </w:pPr>
      <w:r>
        <w:t>IČO:</w:t>
      </w:r>
      <w:r>
        <w:tab/>
        <w:t>00020729</w:t>
      </w:r>
    </w:p>
    <w:p w:rsidR="004E2E96" w:rsidRDefault="009F1B4C">
      <w:pPr>
        <w:pStyle w:val="Zkladntext"/>
        <w:tabs>
          <w:tab w:val="left" w:pos="2982"/>
        </w:tabs>
        <w:ind w:left="102" w:firstLine="0"/>
      </w:pPr>
      <w:r>
        <w:t>zastoupený:</w:t>
      </w:r>
      <w:r>
        <w:tab/>
        <w:t>Ing. Petrem V a l d m a n e m, ředitelem SFŽP</w:t>
      </w:r>
      <w:r>
        <w:rPr>
          <w:spacing w:val="-18"/>
        </w:rPr>
        <w:t xml:space="preserve"> </w:t>
      </w:r>
      <w:r>
        <w:t>ČR</w:t>
      </w:r>
    </w:p>
    <w:p w:rsidR="004E2E96" w:rsidRDefault="009F1B4C">
      <w:pPr>
        <w:pStyle w:val="Zkladntext"/>
        <w:tabs>
          <w:tab w:val="left" w:pos="2982"/>
        </w:tabs>
        <w:ind w:left="102" w:firstLine="0"/>
      </w:pPr>
      <w:r>
        <w:t>bankovní</w:t>
      </w:r>
      <w:r>
        <w:rPr>
          <w:spacing w:val="-3"/>
        </w:rPr>
        <w:t xml:space="preserve"> </w:t>
      </w:r>
      <w:r>
        <w:t>spojení:</w:t>
      </w:r>
      <w:r>
        <w:tab/>
        <w:t>Česká národní</w:t>
      </w:r>
      <w:r>
        <w:rPr>
          <w:spacing w:val="-8"/>
        </w:rPr>
        <w:t xml:space="preserve"> </w:t>
      </w:r>
      <w:r>
        <w:t>banka</w:t>
      </w:r>
    </w:p>
    <w:p w:rsidR="004E2E96" w:rsidRDefault="009F1B4C">
      <w:pPr>
        <w:pStyle w:val="Zkladntext"/>
        <w:tabs>
          <w:tab w:val="left" w:pos="2982"/>
        </w:tabs>
        <w:ind w:left="102" w:right="4751" w:firstLine="0"/>
      </w:pPr>
      <w:r>
        <w:t>číslo</w:t>
      </w:r>
      <w:r>
        <w:rPr>
          <w:spacing w:val="-2"/>
        </w:rPr>
        <w:t xml:space="preserve"> </w:t>
      </w:r>
      <w:r>
        <w:t>účtu:</w:t>
      </w:r>
      <w:r>
        <w:tab/>
      </w:r>
      <w:r>
        <w:rPr>
          <w:w w:val="95"/>
        </w:rPr>
        <w:t xml:space="preserve">40002-9025001/0710 </w:t>
      </w:r>
      <w:r>
        <w:t>(dále jen</w:t>
      </w:r>
      <w:r>
        <w:rPr>
          <w:spacing w:val="-7"/>
        </w:rPr>
        <w:t xml:space="preserve"> </w:t>
      </w:r>
      <w:r>
        <w:t>„Fond")</w:t>
      </w:r>
    </w:p>
    <w:p w:rsidR="004E2E96" w:rsidRDefault="004E2E96">
      <w:pPr>
        <w:pStyle w:val="Zkladntext"/>
        <w:spacing w:before="11"/>
        <w:ind w:left="0" w:firstLine="0"/>
        <w:rPr>
          <w:sz w:val="19"/>
        </w:rPr>
      </w:pPr>
    </w:p>
    <w:p w:rsidR="004E2E96" w:rsidRDefault="009F1B4C">
      <w:pPr>
        <w:pStyle w:val="Zkladntext"/>
        <w:ind w:left="102" w:firstLine="0"/>
      </w:pPr>
      <w:r>
        <w:rPr>
          <w:w w:val="99"/>
        </w:rPr>
        <w:t>a</w:t>
      </w:r>
    </w:p>
    <w:p w:rsidR="004E2E96" w:rsidRDefault="004E2E96">
      <w:pPr>
        <w:pStyle w:val="Zkladntext"/>
        <w:ind w:left="0" w:firstLine="0"/>
      </w:pPr>
    </w:p>
    <w:p w:rsidR="004E2E96" w:rsidRDefault="009F1B4C">
      <w:pPr>
        <w:pStyle w:val="Nadpis1"/>
        <w:ind w:left="102" w:right="0"/>
        <w:jc w:val="left"/>
      </w:pPr>
      <w:r>
        <w:t>obec Dnešice</w:t>
      </w:r>
    </w:p>
    <w:p w:rsidR="004E2E96" w:rsidRDefault="009F1B4C">
      <w:pPr>
        <w:pStyle w:val="Zkladntext"/>
        <w:tabs>
          <w:tab w:val="left" w:pos="2982"/>
        </w:tabs>
        <w:ind w:left="102" w:right="2316" w:firstLine="0"/>
      </w:pPr>
      <w:r>
        <w:t>kontaktní</w:t>
      </w:r>
      <w:r>
        <w:rPr>
          <w:spacing w:val="-3"/>
        </w:rPr>
        <w:t xml:space="preserve"> </w:t>
      </w:r>
      <w:r>
        <w:t>adresa:</w:t>
      </w:r>
      <w:r>
        <w:tab/>
      </w:r>
      <w:r>
        <w:t>Obecní úřad Dnešice, Dnešice 53, 334</w:t>
      </w:r>
      <w:r>
        <w:rPr>
          <w:spacing w:val="-14"/>
        </w:rPr>
        <w:t xml:space="preserve"> </w:t>
      </w:r>
      <w:r>
        <w:t>43</w:t>
      </w:r>
      <w:r>
        <w:rPr>
          <w:spacing w:val="-2"/>
        </w:rPr>
        <w:t xml:space="preserve"> </w:t>
      </w:r>
      <w:r>
        <w:t>Dnešice</w:t>
      </w:r>
      <w:r>
        <w:rPr>
          <w:w w:val="99"/>
        </w:rPr>
        <w:t xml:space="preserve"> </w:t>
      </w:r>
      <w:r>
        <w:t>IČO:</w:t>
      </w:r>
      <w:r>
        <w:tab/>
        <w:t>00256544</w:t>
      </w:r>
    </w:p>
    <w:p w:rsidR="004E2E96" w:rsidRDefault="009F1B4C">
      <w:pPr>
        <w:pStyle w:val="Zkladntext"/>
        <w:tabs>
          <w:tab w:val="left" w:pos="2982"/>
        </w:tabs>
        <w:spacing w:line="265" w:lineRule="exact"/>
        <w:ind w:left="102" w:firstLine="0"/>
      </w:pPr>
      <w:r>
        <w:t>zastoupená:</w:t>
      </w:r>
      <w:r>
        <w:tab/>
        <w:t>Vlastimilem P o l á k e m,</w:t>
      </w:r>
      <w:r>
        <w:rPr>
          <w:spacing w:val="-10"/>
        </w:rPr>
        <w:t xml:space="preserve"> </w:t>
      </w:r>
      <w:r>
        <w:t>starostou</w:t>
      </w:r>
    </w:p>
    <w:p w:rsidR="004E2E96" w:rsidRDefault="009F1B4C">
      <w:pPr>
        <w:pStyle w:val="Zkladntext"/>
        <w:tabs>
          <w:tab w:val="left" w:pos="2982"/>
        </w:tabs>
        <w:spacing w:line="265" w:lineRule="exact"/>
        <w:ind w:left="102" w:firstLine="0"/>
      </w:pPr>
      <w:r>
        <w:t>bankovní</w:t>
      </w:r>
      <w:r>
        <w:rPr>
          <w:spacing w:val="-3"/>
        </w:rPr>
        <w:t xml:space="preserve"> </w:t>
      </w:r>
      <w:r>
        <w:t>spojení:</w:t>
      </w:r>
      <w:r>
        <w:tab/>
      </w:r>
      <w:r w:rsidR="00247D96">
        <w:t>xxxxxxxxxxxxxxxxxxx</w:t>
      </w:r>
    </w:p>
    <w:p w:rsidR="004E2E96" w:rsidRDefault="009F1B4C">
      <w:pPr>
        <w:pStyle w:val="Zkladntext"/>
        <w:tabs>
          <w:tab w:val="left" w:pos="2982"/>
        </w:tabs>
        <w:ind w:left="102" w:right="5076" w:firstLine="0"/>
      </w:pPr>
      <w:r>
        <w:t>číslo</w:t>
      </w:r>
      <w:r>
        <w:rPr>
          <w:spacing w:val="-2"/>
        </w:rPr>
        <w:t xml:space="preserve"> </w:t>
      </w:r>
      <w:r>
        <w:t>účtu:</w:t>
      </w:r>
      <w:r>
        <w:tab/>
      </w:r>
      <w:r w:rsidR="00247D96">
        <w:t>xxxxxxxxxxxxxxx</w:t>
      </w:r>
      <w:bookmarkStart w:id="0" w:name="_GoBack"/>
      <w:bookmarkEnd w:id="0"/>
      <w:r>
        <w:rPr>
          <w:w w:val="95"/>
        </w:rPr>
        <w:t xml:space="preserve"> </w:t>
      </w:r>
      <w:r>
        <w:t>(dále jen „příjemce</w:t>
      </w:r>
      <w:r>
        <w:rPr>
          <w:spacing w:val="-6"/>
        </w:rPr>
        <w:t xml:space="preserve"> </w:t>
      </w:r>
      <w:r>
        <w:t>podpory")</w:t>
      </w:r>
    </w:p>
    <w:p w:rsidR="004E2E96" w:rsidRDefault="004E2E96">
      <w:pPr>
        <w:pStyle w:val="Zkladntext"/>
        <w:ind w:left="0" w:firstLine="0"/>
        <w:rPr>
          <w:sz w:val="26"/>
        </w:rPr>
      </w:pPr>
    </w:p>
    <w:p w:rsidR="004E2E96" w:rsidRDefault="004E2E96">
      <w:pPr>
        <w:pStyle w:val="Zkladntext"/>
        <w:spacing w:before="12"/>
        <w:ind w:left="0" w:firstLine="0"/>
        <w:rPr>
          <w:sz w:val="33"/>
        </w:rPr>
      </w:pPr>
    </w:p>
    <w:p w:rsidR="004E2E96" w:rsidRDefault="009F1B4C">
      <w:pPr>
        <w:pStyle w:val="Zkladntext"/>
        <w:ind w:left="102" w:firstLine="0"/>
      </w:pPr>
      <w:r>
        <w:t>se dohodly takto:</w:t>
      </w:r>
    </w:p>
    <w:p w:rsidR="004E2E96" w:rsidRDefault="004E2E96">
      <w:pPr>
        <w:pStyle w:val="Zkladntext"/>
        <w:ind w:left="0" w:firstLine="0"/>
        <w:rPr>
          <w:sz w:val="26"/>
        </w:rPr>
      </w:pPr>
    </w:p>
    <w:p w:rsidR="004E2E96" w:rsidRDefault="009F1B4C">
      <w:pPr>
        <w:pStyle w:val="Nadpis1"/>
        <w:spacing w:before="187"/>
        <w:ind w:left="3138"/>
      </w:pPr>
      <w:r>
        <w:t>I.</w:t>
      </w:r>
    </w:p>
    <w:p w:rsidR="004E2E96" w:rsidRDefault="009F1B4C">
      <w:pPr>
        <w:ind w:left="3134" w:right="3147"/>
        <w:jc w:val="center"/>
        <w:rPr>
          <w:b/>
          <w:sz w:val="20"/>
        </w:rPr>
      </w:pPr>
      <w:r>
        <w:rPr>
          <w:b/>
          <w:sz w:val="20"/>
        </w:rPr>
        <w:t>Předmět a účel smlouvy</w:t>
      </w:r>
    </w:p>
    <w:p w:rsidR="004E2E96" w:rsidRDefault="004E2E96">
      <w:pPr>
        <w:pStyle w:val="Zkladntext"/>
        <w:spacing w:before="11"/>
        <w:ind w:left="0" w:firstLine="0"/>
        <w:rPr>
          <w:b/>
          <w:sz w:val="19"/>
        </w:rPr>
      </w:pPr>
    </w:p>
    <w:p w:rsidR="004E2E96" w:rsidRDefault="009F1B4C">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E2E96" w:rsidRDefault="009F1B4C">
      <w:pPr>
        <w:pStyle w:val="Zkladntext"/>
        <w:ind w:left="385" w:right="111" w:firstLine="0"/>
        <w:jc w:val="both"/>
      </w:pPr>
      <w:r>
        <w:t>„Smlouva“) se uzavírá na základě Rozhodnutí ministra životního prostředí č. 1190400311 o poskytnutí finančních prostředků ze Státního fondu životního prostřed</w:t>
      </w:r>
      <w:r>
        <w:t>í ČR ze dne 20. 7. 2020 a Směrnice Ministerstva životního prostředí č. 4/2015 o poskytování finančních prostředků ze Státního fondu životního prostředí České republiky prostřednictvím Národního programu Životní prostředí (dále jen</w:t>
      </w:r>
    </w:p>
    <w:p w:rsidR="004E2E96" w:rsidRDefault="009F1B4C">
      <w:pPr>
        <w:pStyle w:val="Zkladntext"/>
        <w:ind w:left="385" w:firstLine="0"/>
        <w:jc w:val="both"/>
      </w:pPr>
      <w:r>
        <w:t>„Směrnice MŽP“), platné k</w:t>
      </w:r>
      <w:r>
        <w:t>e dni podání žádosti.</w:t>
      </w:r>
    </w:p>
    <w:p w:rsidR="004E2E96" w:rsidRDefault="009F1B4C">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w:t>
      </w:r>
      <w:r>
        <w:rPr>
          <w:sz w:val="20"/>
        </w:rPr>
        <w:t>n „Výzva“), a že náležitosti akce odpovídají podmínkám stanoveným touto Směrnicí MŽP a</w:t>
      </w:r>
      <w:r>
        <w:rPr>
          <w:spacing w:val="-7"/>
          <w:sz w:val="20"/>
        </w:rPr>
        <w:t xml:space="preserve"> </w:t>
      </w:r>
      <w:r>
        <w:rPr>
          <w:sz w:val="20"/>
        </w:rPr>
        <w:t>Výzvou.</w:t>
      </w:r>
    </w:p>
    <w:p w:rsidR="004E2E96" w:rsidRDefault="004E2E96">
      <w:pPr>
        <w:jc w:val="both"/>
        <w:rPr>
          <w:sz w:val="20"/>
        </w:rPr>
        <w:sectPr w:rsidR="004E2E96">
          <w:footerReference w:type="default" r:id="rId7"/>
          <w:type w:val="continuous"/>
          <w:pgSz w:w="12240" w:h="15840"/>
          <w:pgMar w:top="1480" w:right="1020" w:bottom="1100" w:left="1600" w:header="708" w:footer="902" w:gutter="0"/>
          <w:pgNumType w:start="1"/>
          <w:cols w:space="708"/>
        </w:sectPr>
      </w:pPr>
    </w:p>
    <w:p w:rsidR="004E2E96" w:rsidRDefault="009F1B4C">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4E2E96" w:rsidRDefault="009F1B4C">
      <w:pPr>
        <w:pStyle w:val="Nadpis1"/>
        <w:spacing w:before="120"/>
        <w:ind w:left="3138"/>
      </w:pPr>
      <w:r>
        <w:t>„Splašková kanalizace Černotín“</w:t>
      </w:r>
    </w:p>
    <w:p w:rsidR="004E2E96" w:rsidRDefault="009F1B4C">
      <w:pPr>
        <w:pStyle w:val="Zkladntext"/>
        <w:spacing w:before="120"/>
        <w:ind w:left="385" w:firstLine="0"/>
      </w:pPr>
      <w:r>
        <w:t>(dále jen „projekt“ nebo „akce“) realizovanou v letech 2021 až 2023. Akce je investiční.</w:t>
      </w:r>
    </w:p>
    <w:p w:rsidR="004E2E96" w:rsidRDefault="004E2E96">
      <w:pPr>
        <w:pStyle w:val="Zkladntext"/>
        <w:ind w:left="0" w:firstLine="0"/>
        <w:rPr>
          <w:sz w:val="26"/>
        </w:rPr>
      </w:pPr>
    </w:p>
    <w:p w:rsidR="004E2E96" w:rsidRDefault="009F1B4C">
      <w:pPr>
        <w:pStyle w:val="Nadpis1"/>
        <w:spacing w:before="187" w:line="265" w:lineRule="exact"/>
        <w:ind w:left="3143" w:right="2799"/>
      </w:pPr>
      <w:r>
        <w:t>II.</w:t>
      </w:r>
    </w:p>
    <w:p w:rsidR="004E2E96" w:rsidRDefault="009F1B4C">
      <w:pPr>
        <w:spacing w:line="265" w:lineRule="exact"/>
        <w:ind w:left="3143" w:right="2798"/>
        <w:jc w:val="center"/>
        <w:rPr>
          <w:b/>
          <w:sz w:val="20"/>
        </w:rPr>
      </w:pPr>
      <w:r>
        <w:rPr>
          <w:b/>
          <w:sz w:val="20"/>
        </w:rPr>
        <w:t>Výše dotace</w:t>
      </w:r>
    </w:p>
    <w:p w:rsidR="004E2E96" w:rsidRDefault="004E2E96">
      <w:pPr>
        <w:pStyle w:val="Zkladntext"/>
        <w:ind w:left="0" w:firstLine="0"/>
        <w:rPr>
          <w:b/>
        </w:rPr>
      </w:pPr>
    </w:p>
    <w:p w:rsidR="004E2E96" w:rsidRDefault="009F1B4C">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2"/>
          <w:sz w:val="20"/>
        </w:rPr>
        <w:t xml:space="preserve"> </w:t>
      </w:r>
      <w:r>
        <w:rPr>
          <w:b/>
          <w:sz w:val="20"/>
        </w:rPr>
        <w:t>17</w:t>
      </w:r>
      <w:r>
        <w:rPr>
          <w:b/>
          <w:spacing w:val="1"/>
          <w:sz w:val="20"/>
        </w:rPr>
        <w:t xml:space="preserve"> </w:t>
      </w:r>
      <w:r>
        <w:rPr>
          <w:b/>
          <w:sz w:val="20"/>
        </w:rPr>
        <w:t>866</w:t>
      </w:r>
      <w:r>
        <w:rPr>
          <w:b/>
          <w:spacing w:val="-1"/>
          <w:sz w:val="20"/>
        </w:rPr>
        <w:t xml:space="preserve"> </w:t>
      </w:r>
      <w:r>
        <w:rPr>
          <w:b/>
          <w:sz w:val="20"/>
        </w:rPr>
        <w:t>932,12</w:t>
      </w:r>
      <w:r>
        <w:rPr>
          <w:b/>
          <w:spacing w:val="-6"/>
          <w:sz w:val="20"/>
        </w:rPr>
        <w:t xml:space="preserve"> </w:t>
      </w:r>
      <w:r>
        <w:rPr>
          <w:b/>
          <w:sz w:val="20"/>
        </w:rPr>
        <w:t>Kč</w:t>
      </w:r>
      <w:r>
        <w:rPr>
          <w:b/>
          <w:spacing w:val="-7"/>
          <w:sz w:val="20"/>
        </w:rPr>
        <w:t xml:space="preserve"> </w:t>
      </w:r>
      <w:r>
        <w:rPr>
          <w:sz w:val="20"/>
        </w:rPr>
        <w:t xml:space="preserve">(slovy: sedmnáct miliónů </w:t>
      </w:r>
      <w:r>
        <w:rPr>
          <w:sz w:val="20"/>
        </w:rPr>
        <w:t>osm set šedesát šest tisíc devět set třicet dva korun českých a dvanáct</w:t>
      </w:r>
      <w:r>
        <w:rPr>
          <w:spacing w:val="-32"/>
          <w:sz w:val="20"/>
        </w:rPr>
        <w:t xml:space="preserve"> </w:t>
      </w:r>
      <w:r>
        <w:rPr>
          <w:sz w:val="20"/>
        </w:rPr>
        <w:t>haléřů).</w:t>
      </w:r>
    </w:p>
    <w:p w:rsidR="004E2E96" w:rsidRDefault="009F1B4C">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a činí 28 026 560,20</w:t>
      </w:r>
      <w:r>
        <w:rPr>
          <w:spacing w:val="-13"/>
          <w:sz w:val="20"/>
        </w:rPr>
        <w:t xml:space="preserve"> </w:t>
      </w:r>
      <w:r>
        <w:rPr>
          <w:sz w:val="20"/>
        </w:rPr>
        <w:t>Kč.</w:t>
      </w:r>
    </w:p>
    <w:p w:rsidR="004E2E96" w:rsidRDefault="009F1B4C">
      <w:pPr>
        <w:pStyle w:val="Odstavecseseznamem"/>
        <w:numPr>
          <w:ilvl w:val="0"/>
          <w:numId w:val="6"/>
        </w:numPr>
        <w:tabs>
          <w:tab w:val="left" w:pos="386"/>
        </w:tabs>
        <w:spacing w:before="118"/>
        <w:ind w:hanging="283"/>
        <w:rPr>
          <w:sz w:val="20"/>
        </w:rPr>
      </w:pPr>
      <w:r>
        <w:rPr>
          <w:sz w:val="20"/>
        </w:rPr>
        <w:t>Podpora představuje 63,75 % základ</w:t>
      </w:r>
      <w:r>
        <w:rPr>
          <w:sz w:val="20"/>
        </w:rPr>
        <w:t>u pro stanovení</w:t>
      </w:r>
      <w:r>
        <w:rPr>
          <w:spacing w:val="-20"/>
          <w:sz w:val="20"/>
        </w:rPr>
        <w:t xml:space="preserve"> </w:t>
      </w:r>
      <w:r>
        <w:rPr>
          <w:sz w:val="20"/>
        </w:rPr>
        <w:t>podpory.</w:t>
      </w:r>
    </w:p>
    <w:p w:rsidR="004E2E96" w:rsidRDefault="009F1B4C">
      <w:pPr>
        <w:pStyle w:val="Odstavecseseznamem"/>
        <w:numPr>
          <w:ilvl w:val="0"/>
          <w:numId w:val="6"/>
        </w:numPr>
        <w:tabs>
          <w:tab w:val="left" w:pos="386"/>
        </w:tabs>
        <w:spacing w:before="121"/>
        <w:ind w:right="118"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w:t>
      </w:r>
      <w:r>
        <w:rPr>
          <w:sz w:val="20"/>
        </w:rPr>
        <w:t>pory částku tohoto překročení z vlastních zdrojů.</w:t>
      </w:r>
    </w:p>
    <w:p w:rsidR="004E2E96" w:rsidRDefault="009F1B4C">
      <w:pPr>
        <w:pStyle w:val="Odstavecseseznamem"/>
        <w:numPr>
          <w:ilvl w:val="0"/>
          <w:numId w:val="6"/>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4E2E96" w:rsidRDefault="009F1B4C">
      <w:pPr>
        <w:pStyle w:val="Odstavecseseznamem"/>
        <w:numPr>
          <w:ilvl w:val="0"/>
          <w:numId w:val="6"/>
        </w:numPr>
        <w:tabs>
          <w:tab w:val="left" w:pos="386"/>
        </w:tabs>
        <w:ind w:right="113" w:hanging="283"/>
        <w:jc w:val="both"/>
        <w:rPr>
          <w:sz w:val="20"/>
        </w:rPr>
      </w:pPr>
      <w:r>
        <w:rPr>
          <w:sz w:val="20"/>
        </w:rPr>
        <w:t>Z podpory poskytované Fondem lze hradit pouze platby požadované dodavatelem za práce, služby      a dodávky na realizaci</w:t>
      </w:r>
      <w:r>
        <w:rPr>
          <w:spacing w:val="-13"/>
          <w:sz w:val="20"/>
        </w:rPr>
        <w:t xml:space="preserve"> </w:t>
      </w:r>
      <w:r>
        <w:rPr>
          <w:sz w:val="20"/>
        </w:rPr>
        <w:t>akce.</w:t>
      </w:r>
    </w:p>
    <w:p w:rsidR="004E2E96" w:rsidRDefault="009F1B4C">
      <w:pPr>
        <w:pStyle w:val="Odstavecseseznamem"/>
        <w:numPr>
          <w:ilvl w:val="0"/>
          <w:numId w:val="6"/>
        </w:numPr>
        <w:tabs>
          <w:tab w:val="left" w:pos="386"/>
        </w:tabs>
        <w:spacing w:before="125" w:line="264" w:lineRule="exact"/>
        <w:ind w:right="112" w:hanging="283"/>
        <w:jc w:val="both"/>
        <w:rPr>
          <w:sz w:val="20"/>
        </w:rPr>
      </w:pPr>
      <w:r>
        <w:rPr>
          <w:sz w:val="20"/>
        </w:rPr>
        <w:t>P</w:t>
      </w:r>
      <w:r>
        <w:rPr>
          <w:sz w:val="20"/>
        </w:rPr>
        <w:t>ři určování způsobilých výdajů akce a z nich odvozené výše podpory se bude vycházet ze znění čl. 9 Výzvy.</w:t>
      </w:r>
    </w:p>
    <w:p w:rsidR="004E2E96" w:rsidRDefault="004E2E96">
      <w:pPr>
        <w:pStyle w:val="Zkladntext"/>
        <w:ind w:left="0" w:firstLine="0"/>
        <w:rPr>
          <w:sz w:val="26"/>
        </w:rPr>
      </w:pPr>
    </w:p>
    <w:p w:rsidR="004E2E96" w:rsidRDefault="009F1B4C">
      <w:pPr>
        <w:pStyle w:val="Nadpis1"/>
        <w:spacing w:before="185"/>
        <w:ind w:left="3137"/>
      </w:pPr>
      <w:r>
        <w:t>III.</w:t>
      </w:r>
    </w:p>
    <w:p w:rsidR="004E2E96" w:rsidRDefault="009F1B4C">
      <w:pPr>
        <w:ind w:left="3134" w:right="3147"/>
        <w:jc w:val="center"/>
        <w:rPr>
          <w:b/>
          <w:sz w:val="20"/>
        </w:rPr>
      </w:pPr>
      <w:r>
        <w:rPr>
          <w:b/>
          <w:sz w:val="20"/>
        </w:rPr>
        <w:t>Platební podmínky</w:t>
      </w:r>
    </w:p>
    <w:p w:rsidR="004E2E96" w:rsidRDefault="004E2E96">
      <w:pPr>
        <w:pStyle w:val="Zkladntext"/>
        <w:ind w:left="0" w:firstLine="0"/>
        <w:rPr>
          <w:b/>
        </w:rPr>
      </w:pPr>
    </w:p>
    <w:p w:rsidR="004E2E96" w:rsidRDefault="009F1B4C">
      <w:pPr>
        <w:pStyle w:val="Odstavecseseznamem"/>
        <w:numPr>
          <w:ilvl w:val="0"/>
          <w:numId w:val="5"/>
        </w:numPr>
        <w:tabs>
          <w:tab w:val="left" w:pos="38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w:t>
      </w:r>
      <w:r>
        <w:rPr>
          <w:sz w:val="20"/>
        </w:rPr>
        <w:t>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4E2E96" w:rsidRDefault="009F1B4C">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4E2E96" w:rsidRDefault="009F1B4C">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4E2E96" w:rsidRDefault="004E2E96">
      <w:pPr>
        <w:pStyle w:val="Zkladntext"/>
        <w:spacing w:after="1"/>
        <w:ind w:left="0" w:firstLine="0"/>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4E2E96">
        <w:trPr>
          <w:trHeight w:hRule="exact" w:val="397"/>
        </w:trPr>
        <w:tc>
          <w:tcPr>
            <w:tcW w:w="4779" w:type="dxa"/>
          </w:tcPr>
          <w:p w:rsidR="004E2E96" w:rsidRDefault="009F1B4C">
            <w:pPr>
              <w:pStyle w:val="TableParagraph"/>
              <w:spacing w:before="120"/>
              <w:ind w:left="2116"/>
              <w:rPr>
                <w:sz w:val="20"/>
              </w:rPr>
            </w:pPr>
            <w:r>
              <w:rPr>
                <w:sz w:val="20"/>
              </w:rPr>
              <w:t>v roce</w:t>
            </w:r>
          </w:p>
        </w:tc>
        <w:tc>
          <w:tcPr>
            <w:tcW w:w="4571" w:type="dxa"/>
          </w:tcPr>
          <w:p w:rsidR="004E2E96" w:rsidRDefault="009F1B4C">
            <w:pPr>
              <w:pStyle w:val="TableParagraph"/>
              <w:spacing w:before="120"/>
              <w:ind w:left="1693" w:right="1698"/>
              <w:jc w:val="center"/>
              <w:rPr>
                <w:sz w:val="20"/>
              </w:rPr>
            </w:pPr>
            <w:r>
              <w:rPr>
                <w:sz w:val="20"/>
              </w:rPr>
              <w:t>ve výši (Kč)</w:t>
            </w:r>
          </w:p>
        </w:tc>
      </w:tr>
      <w:tr w:rsidR="004E2E96">
        <w:trPr>
          <w:trHeight w:hRule="exact" w:val="396"/>
        </w:trPr>
        <w:tc>
          <w:tcPr>
            <w:tcW w:w="4779" w:type="dxa"/>
          </w:tcPr>
          <w:p w:rsidR="004E2E96" w:rsidRDefault="009F1B4C">
            <w:pPr>
              <w:pStyle w:val="TableParagraph"/>
              <w:spacing w:before="120"/>
              <w:ind w:left="2167"/>
              <w:rPr>
                <w:sz w:val="20"/>
              </w:rPr>
            </w:pPr>
            <w:r>
              <w:rPr>
                <w:sz w:val="20"/>
              </w:rPr>
              <w:t>2021</w:t>
            </w:r>
          </w:p>
        </w:tc>
        <w:tc>
          <w:tcPr>
            <w:tcW w:w="4571" w:type="dxa"/>
          </w:tcPr>
          <w:p w:rsidR="004E2E96" w:rsidRDefault="009F1B4C">
            <w:pPr>
              <w:pStyle w:val="TableParagraph"/>
              <w:spacing w:before="120"/>
              <w:ind w:left="1697" w:right="1698"/>
              <w:jc w:val="center"/>
              <w:rPr>
                <w:sz w:val="20"/>
              </w:rPr>
            </w:pPr>
            <w:r>
              <w:rPr>
                <w:sz w:val="20"/>
              </w:rPr>
              <w:t>8 835 764,58</w:t>
            </w:r>
          </w:p>
        </w:tc>
      </w:tr>
      <w:tr w:rsidR="004E2E96">
        <w:trPr>
          <w:trHeight w:hRule="exact" w:val="396"/>
        </w:trPr>
        <w:tc>
          <w:tcPr>
            <w:tcW w:w="4779" w:type="dxa"/>
          </w:tcPr>
          <w:p w:rsidR="004E2E96" w:rsidRDefault="009F1B4C">
            <w:pPr>
              <w:pStyle w:val="TableParagraph"/>
              <w:spacing w:before="120"/>
              <w:ind w:left="2167"/>
              <w:rPr>
                <w:sz w:val="20"/>
              </w:rPr>
            </w:pPr>
            <w:r>
              <w:rPr>
                <w:sz w:val="20"/>
              </w:rPr>
              <w:t>2022</w:t>
            </w:r>
          </w:p>
        </w:tc>
        <w:tc>
          <w:tcPr>
            <w:tcW w:w="4571" w:type="dxa"/>
          </w:tcPr>
          <w:p w:rsidR="004E2E96" w:rsidRDefault="009F1B4C">
            <w:pPr>
              <w:pStyle w:val="TableParagraph"/>
              <w:spacing w:before="120"/>
              <w:ind w:left="1698" w:right="1698"/>
              <w:jc w:val="center"/>
              <w:rPr>
                <w:sz w:val="20"/>
              </w:rPr>
            </w:pPr>
            <w:r>
              <w:rPr>
                <w:sz w:val="20"/>
              </w:rPr>
              <w:t>7 992 047,46</w:t>
            </w:r>
          </w:p>
        </w:tc>
      </w:tr>
      <w:tr w:rsidR="004E2E96">
        <w:trPr>
          <w:trHeight w:hRule="exact" w:val="396"/>
        </w:trPr>
        <w:tc>
          <w:tcPr>
            <w:tcW w:w="4779" w:type="dxa"/>
          </w:tcPr>
          <w:p w:rsidR="004E2E96" w:rsidRDefault="009F1B4C">
            <w:pPr>
              <w:pStyle w:val="TableParagraph"/>
              <w:spacing w:before="120"/>
              <w:ind w:left="2167"/>
              <w:rPr>
                <w:sz w:val="20"/>
              </w:rPr>
            </w:pPr>
            <w:r>
              <w:rPr>
                <w:sz w:val="20"/>
              </w:rPr>
              <w:t>2023</w:t>
            </w:r>
          </w:p>
        </w:tc>
        <w:tc>
          <w:tcPr>
            <w:tcW w:w="4571" w:type="dxa"/>
          </w:tcPr>
          <w:p w:rsidR="004E2E96" w:rsidRDefault="009F1B4C">
            <w:pPr>
              <w:pStyle w:val="TableParagraph"/>
              <w:spacing w:before="120"/>
              <w:ind w:left="1697" w:right="1698"/>
              <w:jc w:val="center"/>
              <w:rPr>
                <w:sz w:val="20"/>
              </w:rPr>
            </w:pPr>
            <w:r>
              <w:rPr>
                <w:sz w:val="20"/>
              </w:rPr>
              <w:t>1 039 120,08</w:t>
            </w:r>
          </w:p>
        </w:tc>
      </w:tr>
    </w:tbl>
    <w:p w:rsidR="004E2E96" w:rsidRDefault="004E2E96">
      <w:pPr>
        <w:pStyle w:val="Zkladntext"/>
        <w:spacing w:before="5"/>
        <w:ind w:left="0" w:firstLine="0"/>
        <w:rPr>
          <w:sz w:val="12"/>
        </w:rPr>
      </w:pPr>
    </w:p>
    <w:p w:rsidR="004E2E96" w:rsidRDefault="009F1B4C">
      <w:pPr>
        <w:pStyle w:val="Odstavecseseznamem"/>
        <w:numPr>
          <w:ilvl w:val="0"/>
          <w:numId w:val="5"/>
        </w:numPr>
        <w:tabs>
          <w:tab w:val="left" w:pos="386"/>
        </w:tabs>
        <w:spacing w:before="99"/>
        <w:ind w:hanging="283"/>
        <w:jc w:val="left"/>
        <w:rPr>
          <w:sz w:val="20"/>
        </w:rPr>
      </w:pPr>
      <w:r>
        <w:rPr>
          <w:sz w:val="20"/>
        </w:rPr>
        <w:t xml:space="preserve">Fond neposkytne finanční prostředky dříve, než příjemce podpory Fondu prostřednictvím </w:t>
      </w:r>
      <w:r>
        <w:rPr>
          <w:spacing w:val="12"/>
          <w:sz w:val="20"/>
        </w:rPr>
        <w:t xml:space="preserve"> </w:t>
      </w:r>
      <w:r>
        <w:rPr>
          <w:sz w:val="20"/>
        </w:rPr>
        <w:t>Agendového</w:t>
      </w:r>
    </w:p>
    <w:p w:rsidR="004E2E96" w:rsidRDefault="004E2E96">
      <w:pPr>
        <w:rPr>
          <w:sz w:val="20"/>
        </w:rPr>
        <w:sectPr w:rsidR="004E2E96">
          <w:pgSz w:w="12240" w:h="15840"/>
          <w:pgMar w:top="1060" w:right="1020" w:bottom="1160" w:left="1600" w:header="0" w:footer="902" w:gutter="0"/>
          <w:cols w:space="708"/>
        </w:sectPr>
      </w:pPr>
    </w:p>
    <w:p w:rsidR="004E2E96" w:rsidRDefault="009F1B4C">
      <w:pPr>
        <w:pStyle w:val="Zkladntext"/>
        <w:spacing w:before="73"/>
        <w:ind w:right="112" w:firstLine="0"/>
        <w:jc w:val="both"/>
      </w:pPr>
      <w:r>
        <w:lastRenderedPageBreak/>
        <w:t>informačního systému Státního fondu životního prostředí České republiky (dále jen „AIS SFŽP“) předloží s každou žádostí o uvolnění finančních prostředků (bod 10) příslušné doklady prokazující oprávněnost vynaložených finančních prostředků.</w:t>
      </w:r>
    </w:p>
    <w:p w:rsidR="004E2E96" w:rsidRDefault="009F1B4C">
      <w:pPr>
        <w:pStyle w:val="Odstavecseseznamem"/>
        <w:numPr>
          <w:ilvl w:val="0"/>
          <w:numId w:val="5"/>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E2E96" w:rsidRDefault="009F1B4C">
      <w:pPr>
        <w:pStyle w:val="Odstavecseseznamem"/>
        <w:numPr>
          <w:ilvl w:val="0"/>
          <w:numId w:val="5"/>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w:t>
      </w:r>
      <w:r>
        <w:rPr>
          <w:sz w:val="20"/>
        </w:rPr>
        <w:t xml:space="preserve">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w:t>
      </w:r>
      <w:r>
        <w:rPr>
          <w:sz w:val="20"/>
        </w:rPr>
        <w:t>tím není</w:t>
      </w:r>
      <w:r>
        <w:rPr>
          <w:spacing w:val="-27"/>
          <w:sz w:val="20"/>
        </w:rPr>
        <w:t xml:space="preserve"> </w:t>
      </w:r>
      <w:r>
        <w:rPr>
          <w:sz w:val="20"/>
        </w:rPr>
        <w:t>dotčeno.</w:t>
      </w:r>
    </w:p>
    <w:p w:rsidR="004E2E96" w:rsidRDefault="009F1B4C">
      <w:pPr>
        <w:pStyle w:val="Odstavecseseznamem"/>
        <w:numPr>
          <w:ilvl w:val="0"/>
          <w:numId w:val="5"/>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4E2E96" w:rsidRDefault="009F1B4C">
      <w:pPr>
        <w:pStyle w:val="Odstavecseseznamem"/>
        <w:numPr>
          <w:ilvl w:val="0"/>
          <w:numId w:val="5"/>
        </w:numPr>
        <w:tabs>
          <w:tab w:val="left" w:pos="526"/>
        </w:tabs>
        <w:spacing w:before="125" w:line="264" w:lineRule="exact"/>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3"/>
          <w:sz w:val="20"/>
        </w:rPr>
        <w:t xml:space="preserve"> </w:t>
      </w:r>
      <w:r>
        <w:rPr>
          <w:sz w:val="20"/>
        </w:rPr>
        <w:t>projektu.</w:t>
      </w:r>
    </w:p>
    <w:p w:rsidR="004E2E96" w:rsidRDefault="009F1B4C">
      <w:pPr>
        <w:pStyle w:val="Odstavecseseznamem"/>
        <w:numPr>
          <w:ilvl w:val="0"/>
          <w:numId w:val="5"/>
        </w:numPr>
        <w:tabs>
          <w:tab w:val="left" w:pos="526"/>
        </w:tabs>
        <w:spacing w:before="118"/>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6"/>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2"/>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4E2E96" w:rsidRDefault="009F1B4C">
      <w:pPr>
        <w:pStyle w:val="Zkladntext"/>
        <w:ind w:firstLine="0"/>
        <w:jc w:val="both"/>
      </w:pPr>
      <w:r>
        <w:t>o uvolnění finančních prostředků doručených Fondu příjemcem podpory prostřednictvím AIS SFŽP.</w:t>
      </w:r>
    </w:p>
    <w:p w:rsidR="004E2E96" w:rsidRDefault="009F1B4C">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4E2E96" w:rsidRDefault="009F1B4C">
      <w:pPr>
        <w:pStyle w:val="Odstavecseseznamem"/>
        <w:numPr>
          <w:ilvl w:val="1"/>
          <w:numId w:val="5"/>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w:t>
      </w:r>
      <w:r>
        <w:rPr>
          <w:sz w:val="20"/>
        </w:rPr>
        <w:t>šťovacích</w:t>
      </w:r>
      <w:r>
        <w:rPr>
          <w:spacing w:val="-13"/>
          <w:sz w:val="20"/>
        </w:rPr>
        <w:t xml:space="preserve"> </w:t>
      </w:r>
      <w:r>
        <w:rPr>
          <w:sz w:val="20"/>
        </w:rPr>
        <w:t>protokolů,</w:t>
      </w:r>
      <w:r>
        <w:rPr>
          <w:spacing w:val="-7"/>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w:t>
      </w:r>
      <w:r>
        <w:rPr>
          <w:sz w:val="20"/>
        </w:rPr>
        <w:t>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4E2E96" w:rsidRDefault="009F1B4C">
      <w:pPr>
        <w:pStyle w:val="Odstavecseseznamem"/>
        <w:numPr>
          <w:ilvl w:val="1"/>
          <w:numId w:val="5"/>
        </w:numPr>
        <w:tabs>
          <w:tab w:val="left" w:pos="809"/>
        </w:tabs>
        <w:ind w:right="111" w:hanging="283"/>
        <w:jc w:val="both"/>
        <w:rPr>
          <w:sz w:val="20"/>
        </w:rPr>
      </w:pPr>
      <w:r>
        <w:rPr>
          <w:sz w:val="20"/>
        </w:rPr>
        <w:t>kopie bankovních výpisů dokladující uhrazení faktur zhotovitel</w:t>
      </w:r>
      <w:r>
        <w:rPr>
          <w:sz w:val="20"/>
        </w:rPr>
        <w:t>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4E2E96" w:rsidRDefault="009F1B4C">
      <w:pPr>
        <w:pStyle w:val="Odstavecseseznamem"/>
        <w:numPr>
          <w:ilvl w:val="0"/>
          <w:numId w:val="5"/>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0"/>
          <w:sz w:val="20"/>
        </w:rPr>
        <w:t xml:space="preserve"> </w:t>
      </w:r>
      <w:r>
        <w:rPr>
          <w:sz w:val="20"/>
        </w:rPr>
        <w:t>akce.</w:t>
      </w:r>
    </w:p>
    <w:p w:rsidR="004E2E96" w:rsidRDefault="009F1B4C">
      <w:pPr>
        <w:pStyle w:val="Odstavecseseznamem"/>
        <w:numPr>
          <w:ilvl w:val="0"/>
          <w:numId w:val="5"/>
        </w:numPr>
        <w:tabs>
          <w:tab w:val="left" w:pos="526"/>
        </w:tabs>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w:t>
      </w:r>
      <w:r>
        <w:rPr>
          <w:sz w:val="20"/>
        </w:rPr>
        <w:t>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4E2E96" w:rsidRDefault="009F1B4C">
      <w:pPr>
        <w:pStyle w:val="Odstavecseseznamem"/>
        <w:numPr>
          <w:ilvl w:val="0"/>
          <w:numId w:val="5"/>
        </w:numPr>
        <w:tabs>
          <w:tab w:val="left" w:pos="526"/>
        </w:tabs>
        <w:ind w:left="525" w:right="110"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w:t>
      </w:r>
      <w:r>
        <w:rPr>
          <w:sz w:val="20"/>
        </w:rPr>
        <w:t>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10"/>
          <w:sz w:val="20"/>
        </w:rPr>
        <w:t xml:space="preserve"> </w:t>
      </w:r>
      <w:r>
        <w:rPr>
          <w:sz w:val="20"/>
        </w:rPr>
        <w:t>kalendáře.</w:t>
      </w:r>
    </w:p>
    <w:p w:rsidR="004E2E96" w:rsidRDefault="009F1B4C">
      <w:pPr>
        <w:pStyle w:val="Odstavecseseznamem"/>
        <w:numPr>
          <w:ilvl w:val="0"/>
          <w:numId w:val="5"/>
        </w:numPr>
        <w:tabs>
          <w:tab w:val="left" w:pos="526"/>
        </w:tabs>
        <w:spacing w:before="118"/>
        <w:ind w:left="525" w:right="112"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4E2E96" w:rsidRDefault="009F1B4C">
      <w:pPr>
        <w:pStyle w:val="Odstavecseseznamem"/>
        <w:numPr>
          <w:ilvl w:val="0"/>
          <w:numId w:val="5"/>
        </w:numPr>
        <w:tabs>
          <w:tab w:val="left" w:pos="526"/>
        </w:tabs>
        <w:ind w:left="525" w:right="110" w:hanging="425"/>
        <w:jc w:val="both"/>
        <w:rPr>
          <w:sz w:val="20"/>
        </w:rPr>
      </w:pPr>
      <w:r>
        <w:rPr>
          <w:sz w:val="20"/>
        </w:rPr>
        <w:t>V případě, že došlo k zápočtu pohledávek/záva</w:t>
      </w:r>
      <w:r>
        <w:rPr>
          <w:sz w:val="20"/>
        </w:rPr>
        <w:t>zků mezi příjemcem podpory a zhotovitelem (úhrada faktury není v plné výši doložena bankovním výpisem), je vždy nutno předložit písemnou smlouvu/dohodu o započtení vzájemných plnění stejného druhu (pohledávek a závazků) vzniklých na základě smluvního vztah</w:t>
      </w:r>
      <w:r>
        <w:rPr>
          <w:sz w:val="20"/>
        </w:rPr>
        <w:t>u mezi příjemcem faktury a fakturujícím zhotovitelem, podepsanou příjemcem podpory i zhotovitelem. Tato oboustranná vzájemná dohoda musí být uzavřena v souladu s</w:t>
      </w:r>
      <w:r>
        <w:rPr>
          <w:spacing w:val="3"/>
          <w:sz w:val="20"/>
        </w:rPr>
        <w:t xml:space="preserve"> </w:t>
      </w:r>
      <w:r>
        <w:rPr>
          <w:sz w:val="20"/>
        </w:rPr>
        <w:t>občanským</w:t>
      </w:r>
    </w:p>
    <w:p w:rsidR="004E2E96" w:rsidRDefault="004E2E96">
      <w:pPr>
        <w:jc w:val="both"/>
        <w:rPr>
          <w:sz w:val="20"/>
        </w:rPr>
        <w:sectPr w:rsidR="004E2E96">
          <w:pgSz w:w="12240" w:h="15840"/>
          <w:pgMar w:top="1060" w:right="1020" w:bottom="1100" w:left="1460" w:header="0" w:footer="902" w:gutter="0"/>
          <w:cols w:space="708"/>
        </w:sectPr>
      </w:pPr>
    </w:p>
    <w:p w:rsidR="004E2E96" w:rsidRDefault="009F1B4C">
      <w:pPr>
        <w:pStyle w:val="Zkladntext"/>
        <w:spacing w:before="73"/>
        <w:ind w:right="110" w:firstLine="0"/>
        <w:jc w:val="both"/>
      </w:pPr>
      <w:r>
        <w:lastRenderedPageBreak/>
        <w:t>zákoníkem. V dohodě musí být uvedeny smluvní strany, identifikace proj</w:t>
      </w:r>
      <w:r>
        <w:t>ektu a faktur/y (v případě odlišného variabilního symbolu oproti číslu faktury je vhodné uvést i variabilní symbol), vzájemně započtené částky a měny, datum podpisu smluvních stran a podpisy obou smluvních stran.</w:t>
      </w:r>
    </w:p>
    <w:p w:rsidR="004E2E96" w:rsidRDefault="009F1B4C">
      <w:pPr>
        <w:pStyle w:val="Odstavecseseznamem"/>
        <w:numPr>
          <w:ilvl w:val="0"/>
          <w:numId w:val="5"/>
        </w:numPr>
        <w:tabs>
          <w:tab w:val="left" w:pos="526"/>
        </w:tabs>
        <w:ind w:left="525"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4E2E96" w:rsidRDefault="004E2E96">
      <w:pPr>
        <w:pStyle w:val="Zkladntext"/>
        <w:ind w:left="0" w:firstLine="0"/>
        <w:rPr>
          <w:sz w:val="26"/>
        </w:rPr>
      </w:pPr>
    </w:p>
    <w:p w:rsidR="004E2E96" w:rsidRDefault="009F1B4C">
      <w:pPr>
        <w:pStyle w:val="Nadpis1"/>
        <w:spacing w:before="185"/>
        <w:ind w:right="2276"/>
      </w:pPr>
      <w:r>
        <w:t>IV.</w:t>
      </w:r>
    </w:p>
    <w:p w:rsidR="004E2E96" w:rsidRDefault="009F1B4C">
      <w:pPr>
        <w:ind w:left="2407" w:right="2283"/>
        <w:jc w:val="center"/>
        <w:rPr>
          <w:b/>
          <w:sz w:val="20"/>
        </w:rPr>
      </w:pPr>
      <w:r>
        <w:rPr>
          <w:b/>
          <w:sz w:val="20"/>
        </w:rPr>
        <w:t>Základní závazky a další povinnosti příjemce podpory</w:t>
      </w:r>
    </w:p>
    <w:p w:rsidR="004E2E96" w:rsidRDefault="004E2E96">
      <w:pPr>
        <w:pStyle w:val="Zkladntext"/>
        <w:ind w:left="0" w:firstLine="0"/>
        <w:rPr>
          <w:b/>
        </w:rPr>
      </w:pPr>
    </w:p>
    <w:p w:rsidR="004E2E96" w:rsidRDefault="009F1B4C">
      <w:pPr>
        <w:pStyle w:val="Odstavecseseznamem"/>
        <w:numPr>
          <w:ilvl w:val="0"/>
          <w:numId w:val="4"/>
        </w:numPr>
        <w:tabs>
          <w:tab w:val="left" w:pos="466"/>
        </w:tabs>
        <w:spacing w:before="0"/>
        <w:ind w:hanging="223"/>
        <w:jc w:val="left"/>
        <w:rPr>
          <w:sz w:val="20"/>
        </w:rPr>
      </w:pPr>
      <w:r>
        <w:rPr>
          <w:sz w:val="20"/>
        </w:rPr>
        <w:t>Příjemce podpory se zavazuje,</w:t>
      </w:r>
      <w:r>
        <w:rPr>
          <w:spacing w:val="-11"/>
          <w:sz w:val="20"/>
        </w:rPr>
        <w:t xml:space="preserve"> </w:t>
      </w:r>
      <w:r>
        <w:rPr>
          <w:sz w:val="20"/>
        </w:rPr>
        <w:t>že:</w:t>
      </w:r>
    </w:p>
    <w:p w:rsidR="004E2E96" w:rsidRDefault="009F1B4C">
      <w:pPr>
        <w:pStyle w:val="Odstavecseseznamem"/>
        <w:numPr>
          <w:ilvl w:val="1"/>
          <w:numId w:val="4"/>
        </w:numPr>
        <w:tabs>
          <w:tab w:val="left" w:pos="768"/>
        </w:tabs>
        <w:spacing w:before="125" w:line="264" w:lineRule="exact"/>
        <w:ind w:right="113" w:hanging="283"/>
        <w:jc w:val="both"/>
        <w:rPr>
          <w:sz w:val="20"/>
        </w:rPr>
      </w:pPr>
      <w:r>
        <w:rPr>
          <w:sz w:val="20"/>
        </w:rPr>
        <w:t>splní účel akce „Splašková k</w:t>
      </w:r>
      <w:r>
        <w:rPr>
          <w:sz w:val="20"/>
        </w:rPr>
        <w:t>analizace Černotín“ tím, že akce bude provedena v souladu se žádostí     o podporu a jejími přílohami a touto</w:t>
      </w:r>
      <w:r>
        <w:rPr>
          <w:spacing w:val="-21"/>
          <w:sz w:val="20"/>
        </w:rPr>
        <w:t xml:space="preserve"> </w:t>
      </w:r>
      <w:r>
        <w:rPr>
          <w:sz w:val="20"/>
        </w:rPr>
        <w:t>Smlouvou,</w:t>
      </w:r>
    </w:p>
    <w:p w:rsidR="004E2E96" w:rsidRDefault="009F1B4C">
      <w:pPr>
        <w:pStyle w:val="Odstavecseseznamem"/>
        <w:numPr>
          <w:ilvl w:val="1"/>
          <w:numId w:val="4"/>
        </w:numPr>
        <w:tabs>
          <w:tab w:val="left" w:pos="758"/>
        </w:tabs>
        <w:spacing w:before="117"/>
        <w:ind w:left="758" w:hanging="233"/>
        <w:jc w:val="left"/>
        <w:rPr>
          <w:sz w:val="20"/>
        </w:rPr>
      </w:pPr>
      <w:r>
        <w:rPr>
          <w:sz w:val="20"/>
        </w:rPr>
        <w:t>realizací projektu dojde k výstavbě kanalizace o délce 4,06</w:t>
      </w:r>
      <w:r>
        <w:rPr>
          <w:spacing w:val="-18"/>
          <w:sz w:val="20"/>
        </w:rPr>
        <w:t xml:space="preserve"> </w:t>
      </w:r>
      <w:r>
        <w:rPr>
          <w:sz w:val="20"/>
        </w:rPr>
        <w:t>km,</w:t>
      </w:r>
    </w:p>
    <w:p w:rsidR="004E2E96" w:rsidRDefault="009F1B4C">
      <w:pPr>
        <w:pStyle w:val="Odstavecseseznamem"/>
        <w:numPr>
          <w:ilvl w:val="1"/>
          <w:numId w:val="4"/>
        </w:numPr>
        <w:tabs>
          <w:tab w:val="left" w:pos="811"/>
        </w:tabs>
        <w:spacing w:before="121"/>
        <w:ind w:left="810" w:right="109" w:hanging="285"/>
        <w:jc w:val="both"/>
        <w:rPr>
          <w:sz w:val="20"/>
        </w:rPr>
      </w:pPr>
      <w:r>
        <w:rPr>
          <w:sz w:val="20"/>
        </w:rPr>
        <w:t xml:space="preserve">k termínu pro závěrečné vyhodnocení akce (ZVA) podle písmene q) bude na </w:t>
      </w:r>
      <w:r>
        <w:rPr>
          <w:sz w:val="20"/>
        </w:rPr>
        <w:t>ČOV Dnešice odstraňováno navíc znečištění odpovídající 180 EO a bude odstraňováno navíc 7,24 t/rok</w:t>
      </w:r>
      <w:r>
        <w:rPr>
          <w:spacing w:val="-17"/>
          <w:sz w:val="20"/>
        </w:rPr>
        <w:t xml:space="preserve"> </w:t>
      </w:r>
      <w:r>
        <w:rPr>
          <w:sz w:val="20"/>
        </w:rPr>
        <w:t>CHSK</w:t>
      </w:r>
      <w:r>
        <w:rPr>
          <w:position w:val="-1"/>
          <w:sz w:val="13"/>
        </w:rPr>
        <w:t>Cr</w:t>
      </w:r>
      <w:r>
        <w:rPr>
          <w:sz w:val="20"/>
        </w:rPr>
        <w:t>,</w:t>
      </w:r>
    </w:p>
    <w:p w:rsidR="004E2E96" w:rsidRDefault="009F1B4C">
      <w:pPr>
        <w:pStyle w:val="Odstavecseseznamem"/>
        <w:numPr>
          <w:ilvl w:val="1"/>
          <w:numId w:val="4"/>
        </w:numPr>
        <w:tabs>
          <w:tab w:val="left" w:pos="811"/>
        </w:tabs>
        <w:spacing w:before="115" w:line="276" w:lineRule="auto"/>
        <w:ind w:left="810" w:right="107" w:hanging="285"/>
        <w:jc w:val="both"/>
        <w:rPr>
          <w:sz w:val="20"/>
        </w:rPr>
      </w:pPr>
      <w:r>
        <w:rPr>
          <w:sz w:val="20"/>
        </w:rPr>
        <w:t>po dokončení projektu bude likvidace odpadních vod naplňovat požadavky zákona č. 254/2001 Sb., o</w:t>
      </w:r>
      <w:r>
        <w:rPr>
          <w:spacing w:val="-14"/>
          <w:sz w:val="20"/>
        </w:rPr>
        <w:t xml:space="preserve"> </w:t>
      </w:r>
      <w:r>
        <w:rPr>
          <w:sz w:val="20"/>
        </w:rPr>
        <w:t>vodách</w:t>
      </w:r>
      <w:r>
        <w:rPr>
          <w:spacing w:val="-15"/>
          <w:sz w:val="20"/>
        </w:rPr>
        <w:t xml:space="preserve"> </w:t>
      </w:r>
      <w:r>
        <w:rPr>
          <w:sz w:val="20"/>
        </w:rPr>
        <w:t>a</w:t>
      </w:r>
      <w:r>
        <w:rPr>
          <w:spacing w:val="-16"/>
          <w:sz w:val="20"/>
        </w:rPr>
        <w:t xml:space="preserve"> </w:t>
      </w:r>
      <w:r>
        <w:rPr>
          <w:sz w:val="20"/>
        </w:rPr>
        <w:t>o</w:t>
      </w:r>
      <w:r>
        <w:rPr>
          <w:spacing w:val="-17"/>
          <w:sz w:val="20"/>
        </w:rPr>
        <w:t xml:space="preserve"> </w:t>
      </w:r>
      <w:r>
        <w:rPr>
          <w:sz w:val="20"/>
        </w:rPr>
        <w:t>změně</w:t>
      </w:r>
      <w:r>
        <w:rPr>
          <w:spacing w:val="-16"/>
          <w:sz w:val="20"/>
        </w:rPr>
        <w:t xml:space="preserve"> </w:t>
      </w:r>
      <w:r>
        <w:rPr>
          <w:sz w:val="20"/>
        </w:rPr>
        <w:t>některých</w:t>
      </w:r>
      <w:r>
        <w:rPr>
          <w:spacing w:val="-15"/>
          <w:sz w:val="20"/>
        </w:rPr>
        <w:t xml:space="preserve"> </w:t>
      </w:r>
      <w:r>
        <w:rPr>
          <w:sz w:val="20"/>
        </w:rPr>
        <w:t>zákonů</w:t>
      </w:r>
      <w:r>
        <w:rPr>
          <w:spacing w:val="-15"/>
          <w:sz w:val="20"/>
        </w:rPr>
        <w:t xml:space="preserve"> </w:t>
      </w:r>
      <w:r>
        <w:rPr>
          <w:sz w:val="20"/>
        </w:rPr>
        <w:t>(vodní</w:t>
      </w:r>
      <w:r>
        <w:rPr>
          <w:spacing w:val="-15"/>
          <w:sz w:val="20"/>
        </w:rPr>
        <w:t xml:space="preserve"> </w:t>
      </w:r>
      <w:r>
        <w:rPr>
          <w:sz w:val="20"/>
        </w:rPr>
        <w:t>zákon),</w:t>
      </w:r>
      <w:r>
        <w:rPr>
          <w:spacing w:val="-15"/>
          <w:sz w:val="20"/>
        </w:rPr>
        <w:t xml:space="preserve"> </w:t>
      </w:r>
      <w:r>
        <w:rPr>
          <w:sz w:val="20"/>
        </w:rPr>
        <w:t>ve</w:t>
      </w:r>
      <w:r>
        <w:rPr>
          <w:spacing w:val="-15"/>
          <w:sz w:val="20"/>
        </w:rPr>
        <w:t xml:space="preserve"> </w:t>
      </w:r>
      <w:r>
        <w:rPr>
          <w:sz w:val="20"/>
        </w:rPr>
        <w:t>znění</w:t>
      </w:r>
      <w:r>
        <w:rPr>
          <w:spacing w:val="-15"/>
          <w:sz w:val="20"/>
        </w:rPr>
        <w:t xml:space="preserve"> </w:t>
      </w:r>
      <w:r>
        <w:rPr>
          <w:sz w:val="20"/>
        </w:rPr>
        <w:t>pozdějších</w:t>
      </w:r>
      <w:r>
        <w:rPr>
          <w:spacing w:val="-15"/>
          <w:sz w:val="20"/>
        </w:rPr>
        <w:t xml:space="preserve"> </w:t>
      </w:r>
      <w:r>
        <w:rPr>
          <w:sz w:val="20"/>
        </w:rPr>
        <w:t>předpisů,</w:t>
      </w:r>
      <w:r>
        <w:rPr>
          <w:spacing w:val="-15"/>
          <w:sz w:val="20"/>
        </w:rPr>
        <w:t xml:space="preserve"> </w:t>
      </w:r>
      <w:r>
        <w:rPr>
          <w:sz w:val="20"/>
        </w:rPr>
        <w:t>a</w:t>
      </w:r>
      <w:r>
        <w:rPr>
          <w:spacing w:val="-13"/>
          <w:sz w:val="20"/>
        </w:rPr>
        <w:t xml:space="preserve"> </w:t>
      </w:r>
      <w:r>
        <w:rPr>
          <w:sz w:val="20"/>
        </w:rPr>
        <w:t>jeho</w:t>
      </w:r>
      <w:r>
        <w:rPr>
          <w:spacing w:val="-14"/>
          <w:sz w:val="20"/>
        </w:rPr>
        <w:t xml:space="preserve"> </w:t>
      </w:r>
      <w:r>
        <w:rPr>
          <w:sz w:val="20"/>
        </w:rPr>
        <w:t>prováděcích právních</w:t>
      </w:r>
      <w:r>
        <w:rPr>
          <w:spacing w:val="-5"/>
          <w:sz w:val="20"/>
        </w:rPr>
        <w:t xml:space="preserve"> </w:t>
      </w:r>
      <w:r>
        <w:rPr>
          <w:sz w:val="20"/>
        </w:rPr>
        <w:t>předpisů,</w:t>
      </w:r>
    </w:p>
    <w:p w:rsidR="004E2E96" w:rsidRDefault="009F1B4C">
      <w:pPr>
        <w:pStyle w:val="Odstavecseseznamem"/>
        <w:numPr>
          <w:ilvl w:val="1"/>
          <w:numId w:val="4"/>
        </w:numPr>
        <w:tabs>
          <w:tab w:val="left" w:pos="809"/>
        </w:tabs>
        <w:spacing w:before="121"/>
        <w:ind w:hanging="283"/>
        <w:jc w:val="left"/>
        <w:rPr>
          <w:sz w:val="20"/>
        </w:rPr>
      </w:pPr>
      <w:r>
        <w:rPr>
          <w:sz w:val="20"/>
        </w:rPr>
        <w:t>bude dodržovat specifické podmínky pro provozování dle přílohy č. 1 této</w:t>
      </w:r>
      <w:r>
        <w:rPr>
          <w:spacing w:val="-17"/>
          <w:sz w:val="20"/>
        </w:rPr>
        <w:t xml:space="preserve"> </w:t>
      </w:r>
      <w:r>
        <w:rPr>
          <w:sz w:val="20"/>
        </w:rPr>
        <w:t>Smlouvy,</w:t>
      </w:r>
    </w:p>
    <w:p w:rsidR="004E2E96" w:rsidRDefault="009F1B4C">
      <w:pPr>
        <w:pStyle w:val="Odstavecseseznamem"/>
        <w:numPr>
          <w:ilvl w:val="1"/>
          <w:numId w:val="4"/>
        </w:numPr>
        <w:tabs>
          <w:tab w:val="left" w:pos="809"/>
        </w:tabs>
        <w:ind w:hanging="283"/>
        <w:jc w:val="left"/>
        <w:rPr>
          <w:sz w:val="20"/>
        </w:rPr>
      </w:pPr>
      <w:r>
        <w:rPr>
          <w:sz w:val="20"/>
        </w:rPr>
        <w:t>zajistí řádný dozor v průběhu</w:t>
      </w:r>
      <w:r>
        <w:rPr>
          <w:spacing w:val="-9"/>
          <w:sz w:val="20"/>
        </w:rPr>
        <w:t xml:space="preserve"> </w:t>
      </w:r>
      <w:r>
        <w:rPr>
          <w:sz w:val="20"/>
        </w:rPr>
        <w:t>výstavby,</w:t>
      </w:r>
    </w:p>
    <w:p w:rsidR="004E2E96" w:rsidRDefault="009F1B4C">
      <w:pPr>
        <w:pStyle w:val="Odstavecseseznamem"/>
        <w:numPr>
          <w:ilvl w:val="1"/>
          <w:numId w:val="4"/>
        </w:numPr>
        <w:tabs>
          <w:tab w:val="left" w:pos="809"/>
        </w:tabs>
        <w:ind w:hanging="283"/>
        <w:jc w:val="left"/>
        <w:rPr>
          <w:sz w:val="20"/>
        </w:rPr>
      </w:pPr>
      <w:r>
        <w:rPr>
          <w:sz w:val="20"/>
        </w:rPr>
        <w:t>bude zacházet s majetkem spolufinancovaným z dotace s péčí řádného</w:t>
      </w:r>
      <w:r>
        <w:rPr>
          <w:spacing w:val="-18"/>
          <w:sz w:val="20"/>
        </w:rPr>
        <w:t xml:space="preserve"> </w:t>
      </w:r>
      <w:r>
        <w:rPr>
          <w:sz w:val="20"/>
        </w:rPr>
        <w:t>ho</w:t>
      </w:r>
      <w:r>
        <w:rPr>
          <w:sz w:val="20"/>
        </w:rPr>
        <w:t>spodáře,</w:t>
      </w:r>
    </w:p>
    <w:p w:rsidR="004E2E96" w:rsidRDefault="009F1B4C">
      <w:pPr>
        <w:pStyle w:val="Odstavecseseznamem"/>
        <w:numPr>
          <w:ilvl w:val="1"/>
          <w:numId w:val="4"/>
        </w:numPr>
        <w:tabs>
          <w:tab w:val="left" w:pos="809"/>
        </w:tabs>
        <w:ind w:right="106" w:hanging="283"/>
        <w:jc w:val="both"/>
        <w:rPr>
          <w:sz w:val="20"/>
        </w:rPr>
      </w:pPr>
      <w:r>
        <w:rPr>
          <w:sz w:val="20"/>
        </w:rPr>
        <w:t>nejpozději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w:t>
      </w:r>
      <w:r>
        <w:rPr>
          <w:sz w:val="20"/>
        </w:rPr>
        <w:t>azně zhodnocené) s podporou podle této Smlouvy, jakož i budovy (stavby) a pozemky, ve kterých (na kterých) mají být umístěny (s výjimkou pozemků, kterými je pouze vedena liniová stavba). Příjemce podpory je povinen zabezpečit, že předmět podpory nebude pře</w:t>
      </w:r>
      <w:r>
        <w:rPr>
          <w:sz w:val="20"/>
        </w:rPr>
        <w:t xml:space="preserve">veden bez souhlasu Fondu na jinou osobu nejméně po dobu 10 let od ukončení akce. V případě, že Fond převod předmětu podpory odsouhlasí, příjemce podpory zabezpečí, že účel, pro který je poskytnuta podpora podle této Smlouvy, bude řádně plněn po stanovenou </w:t>
      </w:r>
      <w:r>
        <w:rPr>
          <w:sz w:val="20"/>
        </w:rPr>
        <w:t>dobu. Po tutéž dobu příjemce podpory zabezpečí řádný provoz předmětu</w:t>
      </w:r>
      <w:r>
        <w:rPr>
          <w:spacing w:val="-29"/>
          <w:sz w:val="20"/>
        </w:rPr>
        <w:t xml:space="preserve"> </w:t>
      </w:r>
      <w:r>
        <w:rPr>
          <w:sz w:val="20"/>
        </w:rPr>
        <w:t>podpory,</w:t>
      </w:r>
    </w:p>
    <w:p w:rsidR="004E2E96" w:rsidRDefault="009F1B4C">
      <w:pPr>
        <w:pStyle w:val="Odstavecseseznamem"/>
        <w:numPr>
          <w:ilvl w:val="1"/>
          <w:numId w:val="4"/>
        </w:numPr>
        <w:tabs>
          <w:tab w:val="left" w:pos="809"/>
        </w:tabs>
        <w:ind w:right="112" w:hanging="283"/>
        <w:jc w:val="both"/>
        <w:rPr>
          <w:sz w:val="20"/>
        </w:rPr>
      </w:pPr>
      <w:r>
        <w:rPr>
          <w:sz w:val="20"/>
        </w:rPr>
        <w:t xml:space="preserve">zabezpečí,  že  právní  zatížení  předmětu  podpory  po  dobu   udržitelnosti,  zejména  zastavení    ve prospěch jiné osoby (vyjma takových věcných břemen, u kterých výkon práv </w:t>
      </w:r>
      <w:r>
        <w:rPr>
          <w:sz w:val="20"/>
        </w:rPr>
        <w:t>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4E2E96" w:rsidRDefault="009F1B4C">
      <w:pPr>
        <w:pStyle w:val="Odstavecseseznamem"/>
        <w:numPr>
          <w:ilvl w:val="1"/>
          <w:numId w:val="4"/>
        </w:numPr>
        <w:tabs>
          <w:tab w:val="left" w:pos="809"/>
        </w:tabs>
        <w:spacing w:before="121"/>
        <w:ind w:hanging="283"/>
        <w:jc w:val="left"/>
        <w:rPr>
          <w:sz w:val="20"/>
        </w:rPr>
      </w:pPr>
      <w:r>
        <w:rPr>
          <w:sz w:val="20"/>
        </w:rPr>
        <w:t>bude dodržovat ustanovení Směrnice MŽP, Rozhodnutí a</w:t>
      </w:r>
      <w:r>
        <w:rPr>
          <w:spacing w:val="-10"/>
          <w:sz w:val="20"/>
        </w:rPr>
        <w:t xml:space="preserve"> </w:t>
      </w:r>
      <w:r>
        <w:rPr>
          <w:sz w:val="20"/>
        </w:rPr>
        <w:t>Výzvy,</w:t>
      </w:r>
    </w:p>
    <w:p w:rsidR="004E2E96" w:rsidRDefault="009F1B4C">
      <w:pPr>
        <w:pStyle w:val="Odstavecseseznamem"/>
        <w:numPr>
          <w:ilvl w:val="1"/>
          <w:numId w:val="4"/>
        </w:numPr>
        <w:tabs>
          <w:tab w:val="left" w:pos="809"/>
        </w:tabs>
        <w:ind w:right="121" w:hanging="283"/>
        <w:jc w:val="both"/>
        <w:rPr>
          <w:sz w:val="20"/>
        </w:rPr>
      </w:pPr>
      <w:r>
        <w:rPr>
          <w:sz w:val="20"/>
        </w:rPr>
        <w:t>zabezpečí, že účel, pro který je poskytnuta podpora podle této Smlouvy, bude řádně plněn po do</w:t>
      </w:r>
      <w:r>
        <w:rPr>
          <w:sz w:val="20"/>
        </w:rPr>
        <w:t>bu 10 let od ukončení</w:t>
      </w:r>
      <w:r>
        <w:rPr>
          <w:spacing w:val="-9"/>
          <w:sz w:val="20"/>
        </w:rPr>
        <w:t xml:space="preserve"> </w:t>
      </w:r>
      <w:r>
        <w:rPr>
          <w:sz w:val="20"/>
        </w:rPr>
        <w:t>akce,</w:t>
      </w:r>
    </w:p>
    <w:p w:rsidR="004E2E96" w:rsidRDefault="009F1B4C">
      <w:pPr>
        <w:pStyle w:val="Odstavecseseznamem"/>
        <w:numPr>
          <w:ilvl w:val="1"/>
          <w:numId w:val="4"/>
        </w:numPr>
        <w:tabs>
          <w:tab w:val="left" w:pos="809"/>
        </w:tabs>
        <w:ind w:right="112"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w:t>
      </w:r>
      <w:r>
        <w:rPr>
          <w:sz w:val="20"/>
        </w:rPr>
        <w:t>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4E2E96" w:rsidRDefault="004E2E96">
      <w:pPr>
        <w:jc w:val="both"/>
        <w:rPr>
          <w:sz w:val="20"/>
        </w:rPr>
        <w:sectPr w:rsidR="004E2E96">
          <w:pgSz w:w="12240" w:h="15840"/>
          <w:pgMar w:top="1060" w:right="1020" w:bottom="1160" w:left="1460" w:header="0" w:footer="902" w:gutter="0"/>
          <w:cols w:space="708"/>
        </w:sectPr>
      </w:pPr>
    </w:p>
    <w:p w:rsidR="004E2E96" w:rsidRDefault="009F1B4C">
      <w:pPr>
        <w:pStyle w:val="Odstavecseseznamem"/>
        <w:numPr>
          <w:ilvl w:val="1"/>
          <w:numId w:val="4"/>
        </w:numPr>
        <w:tabs>
          <w:tab w:val="left" w:pos="669"/>
        </w:tabs>
        <w:spacing w:before="73"/>
        <w:ind w:left="668" w:right="118" w:hanging="283"/>
        <w:jc w:val="both"/>
        <w:rPr>
          <w:sz w:val="20"/>
        </w:rPr>
      </w:pPr>
      <w:r>
        <w:rPr>
          <w:sz w:val="20"/>
        </w:rPr>
        <w:lastRenderedPageBreak/>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4E2E96" w:rsidRDefault="009F1B4C">
      <w:pPr>
        <w:pStyle w:val="Odstavecseseznamem"/>
        <w:numPr>
          <w:ilvl w:val="1"/>
          <w:numId w:val="4"/>
        </w:numPr>
        <w:tabs>
          <w:tab w:val="left" w:pos="669"/>
        </w:tabs>
        <w:ind w:left="668" w:hanging="283"/>
        <w:jc w:val="left"/>
        <w:rPr>
          <w:sz w:val="20"/>
        </w:rPr>
      </w:pPr>
      <w:r>
        <w:rPr>
          <w:sz w:val="20"/>
        </w:rPr>
        <w:t>bude dodržovat pravidla publicity dle pokynů v čl. 19</w:t>
      </w:r>
      <w:r>
        <w:rPr>
          <w:spacing w:val="-13"/>
          <w:sz w:val="20"/>
        </w:rPr>
        <w:t xml:space="preserve"> </w:t>
      </w:r>
      <w:r>
        <w:rPr>
          <w:sz w:val="20"/>
        </w:rPr>
        <w:t>Výzvy,</w:t>
      </w:r>
    </w:p>
    <w:p w:rsidR="004E2E96" w:rsidRDefault="009F1B4C">
      <w:pPr>
        <w:pStyle w:val="Odstavecseseznamem"/>
        <w:numPr>
          <w:ilvl w:val="1"/>
          <w:numId w:val="4"/>
        </w:numPr>
        <w:tabs>
          <w:tab w:val="left" w:pos="669"/>
        </w:tabs>
        <w:ind w:left="668"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w:t>
      </w:r>
      <w:r>
        <w:rPr>
          <w:sz w:val="20"/>
        </w:rPr>
        <w:t>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4E2E96" w:rsidRDefault="009F1B4C">
      <w:pPr>
        <w:pStyle w:val="Odstavecseseznamem"/>
        <w:numPr>
          <w:ilvl w:val="1"/>
          <w:numId w:val="4"/>
        </w:numPr>
        <w:tabs>
          <w:tab w:val="left" w:pos="669"/>
        </w:tabs>
        <w:ind w:left="668" w:hanging="283"/>
        <w:jc w:val="left"/>
        <w:rPr>
          <w:sz w:val="20"/>
        </w:rPr>
      </w:pPr>
      <w:r>
        <w:rPr>
          <w:sz w:val="20"/>
        </w:rPr>
        <w:t>dodrží lhůty realizace</w:t>
      </w:r>
      <w:r>
        <w:rPr>
          <w:spacing w:val="-11"/>
          <w:sz w:val="20"/>
        </w:rPr>
        <w:t xml:space="preserve"> </w:t>
      </w:r>
      <w:r>
        <w:rPr>
          <w:sz w:val="20"/>
        </w:rPr>
        <w:t>takto:</w:t>
      </w:r>
    </w:p>
    <w:p w:rsidR="004E2E96" w:rsidRDefault="009F1B4C">
      <w:pPr>
        <w:pStyle w:val="Odstavecseseznamem"/>
        <w:numPr>
          <w:ilvl w:val="2"/>
          <w:numId w:val="4"/>
        </w:numPr>
        <w:tabs>
          <w:tab w:val="left" w:pos="954"/>
        </w:tabs>
        <w:ind w:right="112"/>
        <w:rPr>
          <w:sz w:val="20"/>
        </w:rPr>
      </w:pPr>
      <w:r>
        <w:rPr>
          <w:sz w:val="20"/>
        </w:rPr>
        <w:t xml:space="preserve">předpokládaný termín </w:t>
      </w:r>
      <w:r>
        <w:rPr>
          <w:sz w:val="20"/>
        </w:rPr>
        <w:t>ukončení stavebních a montážních prací do konce 1/2023,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4E2E96" w:rsidRDefault="009F1B4C">
      <w:pPr>
        <w:pStyle w:val="Odstavecseseznamem"/>
        <w:numPr>
          <w:ilvl w:val="2"/>
          <w:numId w:val="4"/>
        </w:numPr>
        <w:tabs>
          <w:tab w:val="left" w:pos="954"/>
        </w:tabs>
        <w:spacing w:before="118"/>
        <w:ind w:right="111"/>
        <w:rPr>
          <w:sz w:val="20"/>
        </w:rPr>
      </w:pPr>
      <w:r>
        <w:rPr>
          <w:sz w:val="20"/>
        </w:rPr>
        <w:t>termín</w:t>
      </w:r>
      <w:r>
        <w:rPr>
          <w:spacing w:val="-13"/>
          <w:sz w:val="20"/>
        </w:rPr>
        <w:t xml:space="preserve"> </w:t>
      </w:r>
      <w:r>
        <w:rPr>
          <w:sz w:val="20"/>
        </w:rPr>
        <w:t>u</w:t>
      </w:r>
      <w:r>
        <w:rPr>
          <w:sz w:val="20"/>
        </w:rPr>
        <w:t>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3/2023</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183/2006  Sb.,  o  územ</w:t>
      </w:r>
      <w:r>
        <w:rPr>
          <w:sz w:val="20"/>
        </w:rPr>
        <w:t>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w:t>
      </w:r>
      <w:r>
        <w:rPr>
          <w:sz w:val="20"/>
        </w:rPr>
        <w:t>tum dokumentu vydaného</w:t>
      </w:r>
      <w:r>
        <w:rPr>
          <w:spacing w:val="-27"/>
          <w:sz w:val="20"/>
        </w:rPr>
        <w:t xml:space="preserve"> </w:t>
      </w:r>
      <w:r>
        <w:rPr>
          <w:sz w:val="20"/>
        </w:rPr>
        <w:t>později,</w:t>
      </w:r>
    </w:p>
    <w:p w:rsidR="004E2E96" w:rsidRDefault="009F1B4C">
      <w:pPr>
        <w:pStyle w:val="Odstavecseseznamem"/>
        <w:numPr>
          <w:ilvl w:val="1"/>
          <w:numId w:val="4"/>
        </w:numPr>
        <w:tabs>
          <w:tab w:val="left" w:pos="671"/>
        </w:tabs>
        <w:ind w:left="670" w:hanging="285"/>
        <w:jc w:val="left"/>
        <w:rPr>
          <w:sz w:val="20"/>
        </w:rPr>
      </w:pPr>
      <w:r>
        <w:rPr>
          <w:sz w:val="20"/>
        </w:rPr>
        <w:t>předloží Fondu nejpozději do konce 9/2023 podklady k ZVA podle článku 12 písm. d)</w:t>
      </w:r>
      <w:r>
        <w:rPr>
          <w:spacing w:val="-26"/>
          <w:sz w:val="20"/>
        </w:rPr>
        <w:t xml:space="preserve"> </w:t>
      </w:r>
      <w:r>
        <w:rPr>
          <w:sz w:val="20"/>
        </w:rPr>
        <w:t>Výzvy.</w:t>
      </w:r>
    </w:p>
    <w:p w:rsidR="004E2E96" w:rsidRDefault="004E2E96">
      <w:pPr>
        <w:pStyle w:val="Zkladntext"/>
        <w:ind w:left="0" w:firstLine="0"/>
      </w:pPr>
    </w:p>
    <w:p w:rsidR="004E2E96" w:rsidRDefault="009F1B4C">
      <w:pPr>
        <w:pStyle w:val="Zkladntext"/>
        <w:ind w:left="668" w:right="111" w:firstLine="0"/>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zbytečného odkladu  (případně  ve  lhůtě   stanovené  Fondem)   splnit.   Fond  není  povinen   vydat   protokol  o ZVA dříve, než obdrží veškeré požadované podklady a informace, na základě kterých bude moci</w:t>
      </w:r>
      <w:r>
        <w:t xml:space="preserve">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4E2E96" w:rsidRDefault="009F1B4C">
      <w:pPr>
        <w:pStyle w:val="Odstavecseseznamem"/>
        <w:numPr>
          <w:ilvl w:val="0"/>
          <w:numId w:val="4"/>
        </w:numPr>
        <w:tabs>
          <w:tab w:val="left" w:pos="325"/>
        </w:tabs>
        <w:ind w:left="324" w:hanging="222"/>
        <w:jc w:val="left"/>
        <w:rPr>
          <w:sz w:val="20"/>
        </w:rPr>
      </w:pPr>
      <w:r>
        <w:rPr>
          <w:sz w:val="20"/>
        </w:rPr>
        <w:t>Pří</w:t>
      </w:r>
      <w:r>
        <w:rPr>
          <w:sz w:val="20"/>
        </w:rPr>
        <w:t>jemce podpory je dále</w:t>
      </w:r>
      <w:r>
        <w:rPr>
          <w:spacing w:val="-8"/>
          <w:sz w:val="20"/>
        </w:rPr>
        <w:t xml:space="preserve"> </w:t>
      </w:r>
      <w:r>
        <w:rPr>
          <w:sz w:val="20"/>
        </w:rPr>
        <w:t>povinen:</w:t>
      </w:r>
    </w:p>
    <w:p w:rsidR="004E2E96" w:rsidRDefault="009F1B4C">
      <w:pPr>
        <w:pStyle w:val="Odstavecseseznamem"/>
        <w:numPr>
          <w:ilvl w:val="1"/>
          <w:numId w:val="4"/>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4E2E96" w:rsidRDefault="009F1B4C">
      <w:pPr>
        <w:pStyle w:val="Odstavecseseznamem"/>
        <w:numPr>
          <w:ilvl w:val="1"/>
          <w:numId w:val="4"/>
        </w:numPr>
        <w:tabs>
          <w:tab w:val="left" w:pos="669"/>
        </w:tabs>
        <w:ind w:left="668" w:right="111" w:hanging="283"/>
        <w:jc w:val="both"/>
        <w:rPr>
          <w:sz w:val="20"/>
        </w:rPr>
      </w:pPr>
      <w:r>
        <w:rPr>
          <w:sz w:val="20"/>
        </w:rPr>
        <w:t>vést o použití poskytnutých prostředků samostatnou průkaznou evidenci v souladu s právními předpisy,</w:t>
      </w:r>
    </w:p>
    <w:p w:rsidR="004E2E96" w:rsidRDefault="009F1B4C">
      <w:pPr>
        <w:pStyle w:val="Odstavecseseznamem"/>
        <w:numPr>
          <w:ilvl w:val="1"/>
          <w:numId w:val="4"/>
        </w:numPr>
        <w:tabs>
          <w:tab w:val="left" w:pos="669"/>
        </w:tabs>
        <w:ind w:left="668"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4E2E96" w:rsidRDefault="009F1B4C">
      <w:pPr>
        <w:pStyle w:val="Odstavecseseznamem"/>
        <w:numPr>
          <w:ilvl w:val="1"/>
          <w:numId w:val="4"/>
        </w:numPr>
        <w:tabs>
          <w:tab w:val="left" w:pos="669"/>
        </w:tabs>
        <w:spacing w:before="118"/>
        <w:ind w:left="668"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5"/>
          <w:sz w:val="20"/>
        </w:rPr>
        <w:t xml:space="preserve"> </w:t>
      </w:r>
      <w:r>
        <w:rPr>
          <w:sz w:val="20"/>
        </w:rPr>
        <w:t>vzni</w:t>
      </w:r>
      <w:r>
        <w:rPr>
          <w:sz w:val="20"/>
        </w:rPr>
        <w:t>kl,</w:t>
      </w:r>
    </w:p>
    <w:p w:rsidR="004E2E96" w:rsidRDefault="009F1B4C">
      <w:pPr>
        <w:pStyle w:val="Odstavecseseznamem"/>
        <w:numPr>
          <w:ilvl w:val="1"/>
          <w:numId w:val="4"/>
        </w:numPr>
        <w:tabs>
          <w:tab w:val="left" w:pos="669"/>
        </w:tabs>
        <w:ind w:left="668"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w:t>
      </w:r>
      <w:r>
        <w:rPr>
          <w:sz w:val="20"/>
        </w:rPr>
        <w:t>ílu dle článku II bodů 3 a</w:t>
      </w:r>
      <w:r>
        <w:rPr>
          <w:spacing w:val="-23"/>
          <w:sz w:val="20"/>
        </w:rPr>
        <w:t xml:space="preserve"> </w:t>
      </w:r>
      <w:r>
        <w:rPr>
          <w:sz w:val="20"/>
        </w:rPr>
        <w:t>4,</w:t>
      </w:r>
    </w:p>
    <w:p w:rsidR="004E2E96" w:rsidRDefault="009F1B4C">
      <w:pPr>
        <w:pStyle w:val="Odstavecseseznamem"/>
        <w:numPr>
          <w:ilvl w:val="1"/>
          <w:numId w:val="4"/>
        </w:numPr>
        <w:tabs>
          <w:tab w:val="left" w:pos="669"/>
        </w:tabs>
        <w:spacing w:before="118"/>
        <w:ind w:left="668" w:right="118" w:hanging="283"/>
        <w:jc w:val="both"/>
        <w:rPr>
          <w:sz w:val="20"/>
        </w:rPr>
      </w:pPr>
      <w:r>
        <w:rPr>
          <w:sz w:val="20"/>
        </w:rPr>
        <w:t>předkládat Fondu roční finanční vypořádání vztahů vzniklých na základě této Smlouvy, a to vždy nejpozději</w:t>
      </w:r>
      <w:r>
        <w:rPr>
          <w:spacing w:val="23"/>
          <w:sz w:val="20"/>
        </w:rPr>
        <w:t xml:space="preserve"> </w:t>
      </w:r>
      <w:r>
        <w:rPr>
          <w:sz w:val="20"/>
        </w:rPr>
        <w:t>do</w:t>
      </w:r>
      <w:r>
        <w:rPr>
          <w:spacing w:val="24"/>
          <w:sz w:val="20"/>
        </w:rPr>
        <w:t xml:space="preserve"> </w:t>
      </w:r>
      <w:r>
        <w:rPr>
          <w:sz w:val="20"/>
        </w:rPr>
        <w:t>31.</w:t>
      </w:r>
      <w:r>
        <w:rPr>
          <w:spacing w:val="23"/>
          <w:sz w:val="20"/>
        </w:rPr>
        <w:t xml:space="preserve"> </w:t>
      </w:r>
      <w:r>
        <w:rPr>
          <w:sz w:val="20"/>
        </w:rPr>
        <w:t>ledna</w:t>
      </w:r>
      <w:r>
        <w:rPr>
          <w:spacing w:val="23"/>
          <w:sz w:val="20"/>
        </w:rPr>
        <w:t xml:space="preserve"> </w:t>
      </w:r>
      <w:r>
        <w:rPr>
          <w:sz w:val="20"/>
        </w:rPr>
        <w:t>následujícího</w:t>
      </w:r>
      <w:r>
        <w:rPr>
          <w:spacing w:val="24"/>
          <w:sz w:val="20"/>
        </w:rPr>
        <w:t xml:space="preserve"> </w:t>
      </w:r>
      <w:r>
        <w:rPr>
          <w:sz w:val="20"/>
        </w:rPr>
        <w:t>kalendářního</w:t>
      </w:r>
      <w:r>
        <w:rPr>
          <w:spacing w:val="24"/>
          <w:sz w:val="20"/>
        </w:rPr>
        <w:t xml:space="preserve"> </w:t>
      </w:r>
      <w:r>
        <w:rPr>
          <w:sz w:val="20"/>
        </w:rPr>
        <w:t>roku;</w:t>
      </w:r>
      <w:r>
        <w:rPr>
          <w:spacing w:val="23"/>
          <w:sz w:val="20"/>
        </w:rPr>
        <w:t xml:space="preserve"> </w:t>
      </w:r>
      <w:r>
        <w:rPr>
          <w:sz w:val="20"/>
        </w:rPr>
        <w:t>k</w:t>
      </w:r>
      <w:r>
        <w:rPr>
          <w:spacing w:val="23"/>
          <w:sz w:val="20"/>
        </w:rPr>
        <w:t xml:space="preserve"> </w:t>
      </w:r>
      <w:r>
        <w:rPr>
          <w:sz w:val="20"/>
        </w:rPr>
        <w:t>obsahu</w:t>
      </w:r>
      <w:r>
        <w:rPr>
          <w:spacing w:val="23"/>
          <w:sz w:val="20"/>
        </w:rPr>
        <w:t xml:space="preserve"> </w:t>
      </w:r>
      <w:r>
        <w:rPr>
          <w:sz w:val="20"/>
        </w:rPr>
        <w:t>ročního</w:t>
      </w:r>
      <w:r>
        <w:rPr>
          <w:spacing w:val="24"/>
          <w:sz w:val="20"/>
        </w:rPr>
        <w:t xml:space="preserve"> </w:t>
      </w:r>
      <w:r>
        <w:rPr>
          <w:sz w:val="20"/>
        </w:rPr>
        <w:t>finančního</w:t>
      </w:r>
      <w:r>
        <w:rPr>
          <w:spacing w:val="24"/>
          <w:sz w:val="20"/>
        </w:rPr>
        <w:t xml:space="preserve"> </w:t>
      </w:r>
      <w:r>
        <w:rPr>
          <w:sz w:val="20"/>
        </w:rPr>
        <w:t>vypořádání</w:t>
      </w:r>
    </w:p>
    <w:p w:rsidR="004E2E96" w:rsidRDefault="004E2E96">
      <w:pPr>
        <w:jc w:val="both"/>
        <w:rPr>
          <w:sz w:val="20"/>
        </w:rPr>
        <w:sectPr w:rsidR="004E2E96">
          <w:pgSz w:w="12240" w:h="15840"/>
          <w:pgMar w:top="1060" w:right="1020" w:bottom="1100" w:left="1600" w:header="0" w:footer="902" w:gutter="0"/>
          <w:cols w:space="708"/>
        </w:sectPr>
      </w:pPr>
    </w:p>
    <w:p w:rsidR="004E2E96" w:rsidRDefault="009F1B4C">
      <w:pPr>
        <w:pStyle w:val="Zkladntext"/>
        <w:spacing w:before="73"/>
        <w:ind w:left="668" w:firstLine="0"/>
      </w:pPr>
      <w:r>
        <w:lastRenderedPageBreak/>
        <w:t>může Fond vydat příje</w:t>
      </w:r>
      <w:r>
        <w:t>mci podpory závazné pokyny,</w:t>
      </w:r>
    </w:p>
    <w:p w:rsidR="004E2E96" w:rsidRDefault="009F1B4C">
      <w:pPr>
        <w:pStyle w:val="Odstavecseseznamem"/>
        <w:numPr>
          <w:ilvl w:val="1"/>
          <w:numId w:val="4"/>
        </w:numPr>
        <w:tabs>
          <w:tab w:val="left" w:pos="669"/>
        </w:tabs>
        <w:ind w:left="668" w:right="119"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w:t>
      </w:r>
      <w:r>
        <w:rPr>
          <w:sz w:val="20"/>
        </w:rPr>
        <w:t>ouvy (splnit jeho povinnosti stanovené touto</w:t>
      </w:r>
      <w:r>
        <w:rPr>
          <w:spacing w:val="-21"/>
          <w:sz w:val="20"/>
        </w:rPr>
        <w:t xml:space="preserve"> </w:t>
      </w:r>
      <w:r>
        <w:rPr>
          <w:sz w:val="20"/>
        </w:rPr>
        <w:t>Smlouvou),</w:t>
      </w:r>
    </w:p>
    <w:p w:rsidR="004E2E96" w:rsidRDefault="009F1B4C">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4E2E96" w:rsidRDefault="009F1B4C">
      <w:pPr>
        <w:pStyle w:val="Odstavecseseznamem"/>
        <w:numPr>
          <w:ilvl w:val="1"/>
          <w:numId w:val="4"/>
        </w:numPr>
        <w:tabs>
          <w:tab w:val="left" w:pos="669"/>
        </w:tabs>
        <w:spacing w:before="118"/>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9"/>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w:t>
      </w:r>
      <w:r>
        <w:rPr>
          <w:sz w:val="20"/>
        </w:rPr>
        <w:t>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w:t>
      </w:r>
      <w:r>
        <w:rPr>
          <w:sz w:val="20"/>
        </w:rPr>
        <w:t>i stanovené touto</w:t>
      </w:r>
      <w:r>
        <w:rPr>
          <w:spacing w:val="-21"/>
          <w:sz w:val="20"/>
        </w:rPr>
        <w:t xml:space="preserve"> </w:t>
      </w:r>
      <w:r>
        <w:rPr>
          <w:sz w:val="20"/>
        </w:rPr>
        <w:t>Smlouvou,</w:t>
      </w:r>
    </w:p>
    <w:p w:rsidR="004E2E96" w:rsidRDefault="009F1B4C">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4E2E96" w:rsidRDefault="009F1B4C">
      <w:pPr>
        <w:pStyle w:val="Zkladntext"/>
        <w:ind w:left="647" w:right="677" w:firstLine="0"/>
        <w:jc w:val="center"/>
      </w:pPr>
      <w:r>
        <w:t>– odkaz na Zadávání veřejných zakázek pro OPŽP 2014 - 2020, a to i v průběhu realizace akce,</w:t>
      </w:r>
    </w:p>
    <w:p w:rsidR="004E2E96" w:rsidRDefault="009F1B4C">
      <w:pPr>
        <w:pStyle w:val="Odstavecseseznamem"/>
        <w:numPr>
          <w:ilvl w:val="1"/>
          <w:numId w:val="4"/>
        </w:numPr>
        <w:tabs>
          <w:tab w:val="left" w:pos="724"/>
        </w:tabs>
        <w:ind w:left="668" w:right="112"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9"/>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w:t>
      </w:r>
      <w:r>
        <w:rPr>
          <w:sz w:val="20"/>
        </w:rPr>
        <w:t>ho kolaudačního souhlasu</w:t>
      </w:r>
      <w:r>
        <w:rPr>
          <w:spacing w:val="-13"/>
          <w:sz w:val="20"/>
        </w:rPr>
        <w:t xml:space="preserve"> </w:t>
      </w:r>
      <w:r>
        <w:rPr>
          <w:sz w:val="20"/>
        </w:rPr>
        <w:t>projektu),</w:t>
      </w:r>
    </w:p>
    <w:p w:rsidR="004E2E96" w:rsidRDefault="009F1B4C">
      <w:pPr>
        <w:pStyle w:val="Odstavecseseznamem"/>
        <w:numPr>
          <w:ilvl w:val="1"/>
          <w:numId w:val="4"/>
        </w:numPr>
        <w:tabs>
          <w:tab w:val="left" w:pos="669"/>
        </w:tabs>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4E2E96" w:rsidRDefault="004E2E96">
      <w:pPr>
        <w:pStyle w:val="Zkladntext"/>
        <w:ind w:left="0" w:firstLine="0"/>
        <w:rPr>
          <w:sz w:val="26"/>
        </w:rPr>
      </w:pPr>
    </w:p>
    <w:p w:rsidR="004E2E96" w:rsidRDefault="009F1B4C">
      <w:pPr>
        <w:pStyle w:val="Nadpis1"/>
        <w:spacing w:before="185"/>
        <w:ind w:left="3136"/>
      </w:pPr>
      <w:r>
        <w:t>V.</w:t>
      </w:r>
    </w:p>
    <w:p w:rsidR="004E2E96" w:rsidRDefault="009F1B4C">
      <w:pPr>
        <w:ind w:left="647" w:right="659"/>
        <w:jc w:val="center"/>
        <w:rPr>
          <w:b/>
          <w:sz w:val="20"/>
        </w:rPr>
      </w:pPr>
      <w:r>
        <w:rPr>
          <w:b/>
          <w:sz w:val="20"/>
        </w:rPr>
        <w:t>Porušení smluvních podmínek a sankce</w:t>
      </w:r>
    </w:p>
    <w:p w:rsidR="004E2E96" w:rsidRDefault="004E2E96">
      <w:pPr>
        <w:pStyle w:val="Zkladntext"/>
        <w:spacing w:before="1"/>
        <w:ind w:left="0" w:firstLine="0"/>
        <w:rPr>
          <w:b/>
        </w:rPr>
      </w:pPr>
    </w:p>
    <w:p w:rsidR="004E2E96" w:rsidRDefault="009F1B4C">
      <w:pPr>
        <w:pStyle w:val="Odstavecseseznamem"/>
        <w:numPr>
          <w:ilvl w:val="0"/>
          <w:numId w:val="3"/>
        </w:numPr>
        <w:tabs>
          <w:tab w:val="left" w:pos="38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4"/>
          <w:sz w:val="20"/>
        </w:rPr>
        <w:t xml:space="preserve"> </w:t>
      </w:r>
      <w:r>
        <w:rPr>
          <w:sz w:val="20"/>
        </w:rPr>
        <w:t>znění.</w:t>
      </w:r>
    </w:p>
    <w:p w:rsidR="004E2E96" w:rsidRDefault="009F1B4C">
      <w:pPr>
        <w:pStyle w:val="Odstavecseseznamem"/>
        <w:numPr>
          <w:ilvl w:val="0"/>
          <w:numId w:val="3"/>
        </w:numPr>
        <w:tabs>
          <w:tab w:val="left" w:pos="386"/>
        </w:tabs>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4E2E96" w:rsidRDefault="009F1B4C">
      <w:pPr>
        <w:pStyle w:val="Odstavecseseznamem"/>
        <w:numPr>
          <w:ilvl w:val="0"/>
          <w:numId w:val="3"/>
        </w:numPr>
        <w:tabs>
          <w:tab w:val="left" w:pos="441"/>
        </w:tabs>
        <w:ind w:right="111" w:hanging="283"/>
        <w:jc w:val="both"/>
        <w:rPr>
          <w:sz w:val="20"/>
        </w:rPr>
      </w:pPr>
      <w:r>
        <w:rPr>
          <w:sz w:val="20"/>
        </w:rPr>
        <w:t>Porušení povinností p</w:t>
      </w:r>
      <w:r>
        <w:rPr>
          <w:sz w:val="20"/>
        </w:rPr>
        <w:t xml:space="preserve">odle článku IV bodu 1 písm. b) nebo c) bude postiženo odvodem ve výši 100 %   z poskytnuté podpory, byl – li naplněn účel akce podle citovaného ustanovení na méně než 50 % stanovených indikátorů. V případě  plnění  účelu  akce  podle  článku  IV  bodu  1  </w:t>
      </w:r>
      <w:r>
        <w:rPr>
          <w:sz w:val="20"/>
        </w:rPr>
        <w:t>písm.  b)  v rozmezí 50 – 94,99 % stanovených indikátorů bude toto porušení postiženo odvodem z poskytnuté podpory ve výši odpovídající poměru nedosažení indikátoru. V případě plnění účelu akce podle článku IV bodu 1 písm. c) v rozmezí 50 – 79,99 % stanove</w:t>
      </w:r>
      <w:r>
        <w:rPr>
          <w:sz w:val="20"/>
        </w:rPr>
        <w:t>ných indikátorů bude toto porušení postiženo odvodem            z poskytnuté podpory ve výši odpovídající poměru nedosažení indikátoru. V případě plnění účelu akce podle článku IV bodu 1 písm. b) na 95 % a více a podle článku IV bodu 1 písm. c) na 80 % a v</w:t>
      </w:r>
      <w:r>
        <w:rPr>
          <w:sz w:val="20"/>
        </w:rPr>
        <w:t>íce bez odvodu.</w:t>
      </w:r>
    </w:p>
    <w:p w:rsidR="004E2E96" w:rsidRDefault="009F1B4C">
      <w:pPr>
        <w:pStyle w:val="Odstavecseseznamem"/>
        <w:numPr>
          <w:ilvl w:val="0"/>
          <w:numId w:val="3"/>
        </w:numPr>
        <w:tabs>
          <w:tab w:val="left" w:pos="386"/>
        </w:tabs>
        <w:spacing w:before="125" w:line="264" w:lineRule="exact"/>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4E2E96" w:rsidRDefault="009F1B4C">
      <w:pPr>
        <w:pStyle w:val="Odstavecseseznamem"/>
        <w:numPr>
          <w:ilvl w:val="0"/>
          <w:numId w:val="3"/>
        </w:numPr>
        <w:tabs>
          <w:tab w:val="left" w:pos="386"/>
        </w:tabs>
        <w:spacing w:before="117"/>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4E2E96" w:rsidRDefault="004E2E96">
      <w:pPr>
        <w:jc w:val="both"/>
        <w:rPr>
          <w:sz w:val="20"/>
        </w:rPr>
        <w:sectPr w:rsidR="004E2E96">
          <w:pgSz w:w="12240" w:h="15840"/>
          <w:pgMar w:top="1060" w:right="1020" w:bottom="1160" w:left="1600" w:header="0" w:footer="902" w:gutter="0"/>
          <w:cols w:space="708"/>
        </w:sectPr>
      </w:pPr>
    </w:p>
    <w:p w:rsidR="004E2E96" w:rsidRDefault="009F1B4C">
      <w:pPr>
        <w:pStyle w:val="Odstavecseseznamem"/>
        <w:numPr>
          <w:ilvl w:val="0"/>
          <w:numId w:val="3"/>
        </w:numPr>
        <w:tabs>
          <w:tab w:val="left" w:pos="526"/>
        </w:tabs>
        <w:spacing w:before="73"/>
        <w:ind w:left="525" w:right="115" w:hanging="283"/>
        <w:jc w:val="both"/>
        <w:rPr>
          <w:sz w:val="20"/>
        </w:rPr>
      </w:pPr>
      <w:r>
        <w:rPr>
          <w:sz w:val="20"/>
        </w:rPr>
        <w:lastRenderedPageBreak/>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4E2E96" w:rsidRDefault="009F1B4C">
      <w:pPr>
        <w:pStyle w:val="Zkladntext"/>
        <w:ind w:firstLine="0"/>
      </w:pPr>
      <w:r>
        <w:t>5 pracovních dnů nebude postiženo a nebude tak</w:t>
      </w:r>
      <w:r>
        <w:t xml:space="preserve"> považováno za porušení podmínek poskytnutí podpory.</w:t>
      </w:r>
    </w:p>
    <w:p w:rsidR="004E2E96" w:rsidRDefault="009F1B4C">
      <w:pPr>
        <w:pStyle w:val="Odstavecseseznamem"/>
        <w:numPr>
          <w:ilvl w:val="0"/>
          <w:numId w:val="3"/>
        </w:numPr>
        <w:tabs>
          <w:tab w:val="left" w:pos="526"/>
        </w:tabs>
        <w:ind w:left="525"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4E2E96" w:rsidRDefault="009F1B4C">
      <w:pPr>
        <w:pStyle w:val="Odstavecseseznamem"/>
        <w:numPr>
          <w:ilvl w:val="0"/>
          <w:numId w:val="3"/>
        </w:numPr>
        <w:tabs>
          <w:tab w:val="left" w:pos="526"/>
        </w:tabs>
        <w:spacing w:before="118"/>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r>
        <w:rPr>
          <w:sz w:val="20"/>
        </w:rPr>
        <w:t>odrážky</w:t>
      </w:r>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w:t>
      </w:r>
      <w:r>
        <w:rPr>
          <w:sz w:val="20"/>
        </w:rPr>
        <w:t xml:space="preserve"> poskytnuté</w:t>
      </w:r>
      <w:r>
        <w:rPr>
          <w:spacing w:val="-7"/>
          <w:sz w:val="20"/>
        </w:rPr>
        <w:t xml:space="preserve"> </w:t>
      </w:r>
      <w:r>
        <w:rPr>
          <w:sz w:val="20"/>
        </w:rPr>
        <w:t>podpory.</w:t>
      </w:r>
    </w:p>
    <w:p w:rsidR="004E2E96" w:rsidRDefault="009F1B4C">
      <w:pPr>
        <w:pStyle w:val="Odstavecseseznamem"/>
        <w:numPr>
          <w:ilvl w:val="0"/>
          <w:numId w:val="3"/>
        </w:numPr>
        <w:tabs>
          <w:tab w:val="left" w:pos="526"/>
        </w:tabs>
        <w:ind w:left="525" w:right="115"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4E2E96" w:rsidRDefault="009F1B4C">
      <w:pPr>
        <w:pStyle w:val="Odstavecseseznamem"/>
        <w:numPr>
          <w:ilvl w:val="0"/>
          <w:numId w:val="3"/>
        </w:numPr>
        <w:tabs>
          <w:tab w:val="left" w:pos="526"/>
        </w:tabs>
        <w:spacing w:before="118"/>
        <w:ind w:left="525"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21"/>
          <w:sz w:val="20"/>
        </w:rPr>
        <w:t xml:space="preserve"> </w:t>
      </w:r>
      <w:r>
        <w:rPr>
          <w:sz w:val="20"/>
        </w:rPr>
        <w:t>podpory.</w:t>
      </w:r>
    </w:p>
    <w:p w:rsidR="004E2E96" w:rsidRDefault="009F1B4C">
      <w:pPr>
        <w:pStyle w:val="Odstavecseseznamem"/>
        <w:numPr>
          <w:ilvl w:val="0"/>
          <w:numId w:val="3"/>
        </w:numPr>
        <w:tabs>
          <w:tab w:val="left" w:pos="526"/>
        </w:tabs>
        <w:spacing w:before="121"/>
        <w:ind w:left="525" w:right="112" w:hanging="425"/>
        <w:jc w:val="both"/>
        <w:rPr>
          <w:sz w:val="20"/>
        </w:rPr>
      </w:pPr>
      <w:r>
        <w:rPr>
          <w:sz w:val="20"/>
        </w:rPr>
        <w:t>Porušení povinností podle přílohy č. 1 této Smlouvy bude postiženo odvodem ve v</w:t>
      </w:r>
      <w:r>
        <w:rPr>
          <w:sz w:val="20"/>
        </w:rPr>
        <w:t>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4E2E96" w:rsidRDefault="009F1B4C">
      <w:pPr>
        <w:pStyle w:val="Odstavecseseznamem"/>
        <w:numPr>
          <w:ilvl w:val="0"/>
          <w:numId w:val="3"/>
        </w:numPr>
        <w:tabs>
          <w:tab w:val="left" w:pos="526"/>
        </w:tabs>
        <w:spacing w:before="125" w:line="264" w:lineRule="exact"/>
        <w:ind w:left="525" w:right="110" w:hanging="425"/>
        <w:jc w:val="both"/>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4E2E96" w:rsidRDefault="009F1B4C">
      <w:pPr>
        <w:pStyle w:val="Odstavecseseznamem"/>
        <w:numPr>
          <w:ilvl w:val="0"/>
          <w:numId w:val="3"/>
        </w:numPr>
        <w:tabs>
          <w:tab w:val="left" w:pos="526"/>
        </w:tabs>
        <w:spacing w:before="117"/>
        <w:ind w:left="525" w:right="110" w:hanging="425"/>
        <w:jc w:val="both"/>
        <w:rPr>
          <w:sz w:val="20"/>
        </w:rPr>
      </w:pPr>
      <w:r>
        <w:rPr>
          <w:sz w:val="20"/>
        </w:rPr>
        <w:t>Porušení ostatních povinností podle této Smlouvy bude postiženo odvodem ve výši 0,1 % z poskytnuté podpory.</w:t>
      </w:r>
    </w:p>
    <w:p w:rsidR="004E2E96" w:rsidRDefault="004E2E96">
      <w:pPr>
        <w:pStyle w:val="Zkladntext"/>
        <w:ind w:left="0" w:firstLine="0"/>
        <w:rPr>
          <w:sz w:val="26"/>
        </w:rPr>
      </w:pPr>
    </w:p>
    <w:p w:rsidR="004E2E96" w:rsidRDefault="009F1B4C">
      <w:pPr>
        <w:pStyle w:val="Nadpis1"/>
        <w:spacing w:before="187" w:line="265" w:lineRule="exact"/>
        <w:ind w:right="2278"/>
      </w:pPr>
      <w:r>
        <w:t>VI.</w:t>
      </w:r>
    </w:p>
    <w:p w:rsidR="004E2E96" w:rsidRDefault="009F1B4C">
      <w:pPr>
        <w:spacing w:line="265" w:lineRule="exact"/>
        <w:ind w:left="2407" w:right="2281"/>
        <w:jc w:val="center"/>
        <w:rPr>
          <w:b/>
          <w:sz w:val="20"/>
        </w:rPr>
      </w:pPr>
      <w:r>
        <w:rPr>
          <w:b/>
          <w:sz w:val="20"/>
        </w:rPr>
        <w:t>Závěrečná ustanovení</w:t>
      </w:r>
    </w:p>
    <w:p w:rsidR="004E2E96" w:rsidRDefault="004E2E96">
      <w:pPr>
        <w:pStyle w:val="Zkladntext"/>
        <w:spacing w:before="1"/>
        <w:ind w:left="0" w:firstLine="0"/>
        <w:rPr>
          <w:b/>
        </w:rPr>
      </w:pPr>
    </w:p>
    <w:p w:rsidR="004E2E96" w:rsidRDefault="009F1B4C">
      <w:pPr>
        <w:pStyle w:val="Odstavecseseznamem"/>
        <w:numPr>
          <w:ilvl w:val="0"/>
          <w:numId w:val="2"/>
        </w:numPr>
        <w:tabs>
          <w:tab w:val="left" w:pos="526"/>
        </w:tabs>
        <w:spacing w:before="0"/>
        <w:ind w:right="118" w:hanging="28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w:t>
      </w:r>
      <w:r>
        <w:rPr>
          <w:sz w:val="20"/>
        </w:rPr>
        <w:t>V případě neuzavření takového dodatku má Fond právo uplatnit postup podle článku V bodu</w:t>
      </w:r>
      <w:r>
        <w:rPr>
          <w:spacing w:val="-9"/>
          <w:sz w:val="20"/>
        </w:rPr>
        <w:t xml:space="preserve"> </w:t>
      </w:r>
      <w:r>
        <w:rPr>
          <w:sz w:val="20"/>
        </w:rPr>
        <w:t>1.</w:t>
      </w:r>
    </w:p>
    <w:p w:rsidR="004E2E96" w:rsidRDefault="009F1B4C">
      <w:pPr>
        <w:pStyle w:val="Odstavecseseznamem"/>
        <w:numPr>
          <w:ilvl w:val="0"/>
          <w:numId w:val="2"/>
        </w:numPr>
        <w:tabs>
          <w:tab w:val="left" w:pos="526"/>
        </w:tabs>
        <w:spacing w:before="125" w:line="264" w:lineRule="exact"/>
        <w:ind w:right="119" w:hanging="283"/>
        <w:jc w:val="both"/>
        <w:rPr>
          <w:sz w:val="20"/>
        </w:rPr>
      </w:pPr>
      <w:r>
        <w:rPr>
          <w:sz w:val="20"/>
        </w:rPr>
        <w:t>Pro snazší identifikaci budou smluvní strany při veškeré korespondenci (včetně elektronické) týkající se akce, uvádět vždy číslo této Smlouvy, a to již v označení vě</w:t>
      </w:r>
      <w:r>
        <w:rPr>
          <w:sz w:val="20"/>
        </w:rPr>
        <w:t>ci, které se daná korespondence bude</w:t>
      </w:r>
      <w:r>
        <w:rPr>
          <w:spacing w:val="-27"/>
          <w:sz w:val="20"/>
        </w:rPr>
        <w:t xml:space="preserve"> </w:t>
      </w:r>
      <w:r>
        <w:rPr>
          <w:sz w:val="20"/>
        </w:rPr>
        <w:t>týkat.</w:t>
      </w:r>
    </w:p>
    <w:p w:rsidR="004E2E96" w:rsidRDefault="009F1B4C">
      <w:pPr>
        <w:pStyle w:val="Odstavecseseznamem"/>
        <w:numPr>
          <w:ilvl w:val="0"/>
          <w:numId w:val="2"/>
        </w:numPr>
        <w:tabs>
          <w:tab w:val="left" w:pos="526"/>
        </w:tabs>
        <w:spacing w:before="117"/>
        <w:ind w:right="114" w:hanging="283"/>
        <w:jc w:val="both"/>
        <w:rPr>
          <w:sz w:val="20"/>
        </w:rPr>
      </w:pPr>
      <w:r>
        <w:rPr>
          <w:sz w:val="20"/>
        </w:rPr>
        <w:t xml:space="preserve">Tato Smlouva může být měněna nebo zrušena pouze dohodou obou smluvních stran v písemné formě. Změnu Smlouvy může Fond podmínit krácením nebo nepřiznáním nároku na zbývající část podpory podle   článku   III,   a </w:t>
      </w:r>
      <w:r>
        <w:rPr>
          <w:sz w:val="20"/>
        </w:rPr>
        <w:t xml:space="preserve">  to   zejména   tehdy,   kdy   bude   docíleno   nižších    přínosů   (nebo   dojde    k jejich opoždění), než jak tato Smlouva původně</w:t>
      </w:r>
      <w:r>
        <w:rPr>
          <w:spacing w:val="-19"/>
          <w:sz w:val="20"/>
        </w:rPr>
        <w:t xml:space="preserve"> </w:t>
      </w:r>
      <w:r>
        <w:rPr>
          <w:sz w:val="20"/>
        </w:rPr>
        <w:t>předpokládala.</w:t>
      </w:r>
    </w:p>
    <w:p w:rsidR="004E2E96" w:rsidRDefault="009F1B4C">
      <w:pPr>
        <w:pStyle w:val="Odstavecseseznamem"/>
        <w:numPr>
          <w:ilvl w:val="0"/>
          <w:numId w:val="2"/>
        </w:numPr>
        <w:tabs>
          <w:tab w:val="left" w:pos="526"/>
        </w:tabs>
        <w:spacing w:before="125" w:line="264" w:lineRule="exact"/>
        <w:ind w:right="121" w:hanging="283"/>
        <w:jc w:val="both"/>
        <w:rPr>
          <w:sz w:val="20"/>
        </w:rPr>
      </w:pPr>
      <w:r>
        <w:rPr>
          <w:sz w:val="20"/>
        </w:rPr>
        <w:t>Jednostranně je možno tuto Smlouvu vypovědět pouze za podmínek stanovených zákonem či touto Smlouvou.</w:t>
      </w:r>
    </w:p>
    <w:p w:rsidR="004E2E96" w:rsidRDefault="009F1B4C">
      <w:pPr>
        <w:pStyle w:val="Odstavecseseznamem"/>
        <w:numPr>
          <w:ilvl w:val="0"/>
          <w:numId w:val="2"/>
        </w:numPr>
        <w:tabs>
          <w:tab w:val="left" w:pos="526"/>
        </w:tabs>
        <w:spacing w:before="118"/>
        <w:ind w:right="116" w:hanging="283"/>
        <w:jc w:val="both"/>
        <w:rPr>
          <w:sz w:val="20"/>
        </w:rPr>
      </w:pPr>
      <w:r>
        <w:rPr>
          <w:sz w:val="20"/>
        </w:rPr>
        <w:t>Vz</w:t>
      </w:r>
      <w:r>
        <w:rPr>
          <w:sz w:val="20"/>
        </w:rPr>
        <w:t>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4E2E96" w:rsidRDefault="009F1B4C">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4E2E96" w:rsidRDefault="009F1B4C">
      <w:pPr>
        <w:pStyle w:val="Odstavecseseznamem"/>
        <w:numPr>
          <w:ilvl w:val="0"/>
          <w:numId w:val="2"/>
        </w:numPr>
        <w:tabs>
          <w:tab w:val="left" w:pos="526"/>
        </w:tabs>
        <w:ind w:right="115"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4E2E96" w:rsidRDefault="004E2E96">
      <w:pPr>
        <w:jc w:val="both"/>
        <w:rPr>
          <w:sz w:val="20"/>
        </w:rPr>
        <w:sectPr w:rsidR="004E2E96">
          <w:pgSz w:w="12240" w:h="15840"/>
          <w:pgMar w:top="1060" w:right="1020" w:bottom="1160" w:left="1460" w:header="0" w:footer="902" w:gutter="0"/>
          <w:cols w:space="708"/>
        </w:sectPr>
      </w:pPr>
    </w:p>
    <w:p w:rsidR="004E2E96" w:rsidRDefault="009F1B4C">
      <w:pPr>
        <w:pStyle w:val="Odstavecseseznamem"/>
        <w:numPr>
          <w:ilvl w:val="0"/>
          <w:numId w:val="2"/>
        </w:numPr>
        <w:tabs>
          <w:tab w:val="left" w:pos="386"/>
        </w:tabs>
        <w:spacing w:before="73"/>
        <w:ind w:left="385" w:right="110" w:hanging="283"/>
        <w:jc w:val="both"/>
        <w:rPr>
          <w:sz w:val="20"/>
        </w:rPr>
      </w:pPr>
      <w:r>
        <w:rPr>
          <w:sz w:val="20"/>
        </w:rPr>
        <w:lastRenderedPageBreak/>
        <w:t>Příjemce podpory souhlasí se zveřejněním celého textu této Smlouvy v reg</w:t>
      </w:r>
      <w:r>
        <w:rPr>
          <w:sz w:val="20"/>
        </w:rPr>
        <w:t>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4E2E96" w:rsidRDefault="009F1B4C">
      <w:pPr>
        <w:pStyle w:val="Odstavecseseznamem"/>
        <w:numPr>
          <w:ilvl w:val="0"/>
          <w:numId w:val="2"/>
        </w:numPr>
        <w:tabs>
          <w:tab w:val="left" w:pos="386"/>
        </w:tabs>
        <w:ind w:left="385"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w:t>
      </w:r>
      <w:r>
        <w:rPr>
          <w:sz w:val="20"/>
        </w:rPr>
        <w:t>lu. Každá smluvní strana obdrží jeden</w:t>
      </w:r>
      <w:r>
        <w:rPr>
          <w:spacing w:val="-8"/>
          <w:sz w:val="20"/>
        </w:rPr>
        <w:t xml:space="preserve"> </w:t>
      </w:r>
      <w:r>
        <w:rPr>
          <w:sz w:val="20"/>
        </w:rPr>
        <w:t>exemplář.</w:t>
      </w:r>
    </w:p>
    <w:p w:rsidR="004E2E96" w:rsidRDefault="004E2E96">
      <w:pPr>
        <w:pStyle w:val="Zkladntext"/>
        <w:ind w:left="0" w:firstLine="0"/>
        <w:rPr>
          <w:sz w:val="26"/>
        </w:rPr>
      </w:pPr>
    </w:p>
    <w:p w:rsidR="004E2E96" w:rsidRDefault="004E2E96">
      <w:pPr>
        <w:pStyle w:val="Zkladntext"/>
        <w:ind w:left="0" w:firstLine="0"/>
        <w:rPr>
          <w:sz w:val="26"/>
        </w:rPr>
      </w:pPr>
    </w:p>
    <w:p w:rsidR="004E2E96" w:rsidRDefault="004E2E96">
      <w:pPr>
        <w:pStyle w:val="Zkladntext"/>
        <w:spacing w:before="12"/>
        <w:ind w:left="0" w:firstLine="0"/>
        <w:rPr>
          <w:sz w:val="27"/>
        </w:rPr>
      </w:pPr>
    </w:p>
    <w:p w:rsidR="004E2E96" w:rsidRDefault="009F1B4C">
      <w:pPr>
        <w:pStyle w:val="Zkladntext"/>
        <w:spacing w:before="1"/>
        <w:ind w:left="102" w:firstLine="0"/>
      </w:pPr>
      <w:r>
        <w:t>V:</w:t>
      </w:r>
    </w:p>
    <w:p w:rsidR="004E2E96" w:rsidRDefault="004E2E96">
      <w:pPr>
        <w:pStyle w:val="Zkladntext"/>
        <w:ind w:left="0" w:firstLine="0"/>
      </w:pPr>
    </w:p>
    <w:p w:rsidR="004E2E96" w:rsidRDefault="009F1B4C">
      <w:pPr>
        <w:pStyle w:val="Zkladntext"/>
        <w:tabs>
          <w:tab w:val="left" w:pos="6582"/>
        </w:tabs>
        <w:ind w:left="102" w:firstLine="0"/>
      </w:pPr>
      <w:r>
        <w:t>dne:</w:t>
      </w:r>
      <w:r>
        <w:tab/>
        <w:t>V Praze</w:t>
      </w:r>
      <w:r>
        <w:rPr>
          <w:spacing w:val="-5"/>
        </w:rPr>
        <w:t xml:space="preserve"> </w:t>
      </w:r>
      <w:r>
        <w:t>dne:</w:t>
      </w:r>
    </w:p>
    <w:p w:rsidR="004E2E96" w:rsidRDefault="004E2E96">
      <w:pPr>
        <w:pStyle w:val="Zkladntext"/>
        <w:ind w:left="0" w:firstLine="0"/>
        <w:rPr>
          <w:sz w:val="26"/>
        </w:rPr>
      </w:pPr>
    </w:p>
    <w:p w:rsidR="004E2E96" w:rsidRDefault="004E2E96">
      <w:pPr>
        <w:pStyle w:val="Zkladntext"/>
        <w:ind w:left="0" w:firstLine="0"/>
        <w:rPr>
          <w:sz w:val="26"/>
        </w:rPr>
      </w:pPr>
    </w:p>
    <w:p w:rsidR="004E2E96" w:rsidRDefault="004E2E96">
      <w:pPr>
        <w:pStyle w:val="Zkladntext"/>
        <w:ind w:left="0" w:firstLine="0"/>
        <w:rPr>
          <w:sz w:val="26"/>
        </w:rPr>
      </w:pPr>
    </w:p>
    <w:p w:rsidR="004E2E96" w:rsidRDefault="004E2E96">
      <w:pPr>
        <w:pStyle w:val="Zkladntext"/>
        <w:ind w:left="0" w:firstLine="0"/>
        <w:rPr>
          <w:sz w:val="22"/>
        </w:rPr>
      </w:pPr>
    </w:p>
    <w:p w:rsidR="004E2E96" w:rsidRDefault="009F1B4C">
      <w:pPr>
        <w:pStyle w:val="Zkladntext"/>
        <w:tabs>
          <w:tab w:val="left" w:pos="6582"/>
        </w:tabs>
        <w:ind w:left="102" w:firstLine="0"/>
      </w:pPr>
      <w:r>
        <w:t>…………………………………………….</w:t>
      </w:r>
      <w:r>
        <w:tab/>
        <w:t>……………………………………</w:t>
      </w:r>
    </w:p>
    <w:p w:rsidR="004E2E96" w:rsidRDefault="009F1B4C">
      <w:pPr>
        <w:pStyle w:val="Zkladntext"/>
        <w:tabs>
          <w:tab w:val="left" w:pos="6582"/>
        </w:tabs>
        <w:ind w:left="102" w:firstLine="0"/>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E2E96" w:rsidRDefault="004E2E96">
      <w:pPr>
        <w:pStyle w:val="Zkladntext"/>
        <w:ind w:left="0" w:firstLine="0"/>
        <w:rPr>
          <w:sz w:val="26"/>
        </w:rPr>
      </w:pPr>
    </w:p>
    <w:p w:rsidR="004E2E96" w:rsidRDefault="004E2E96">
      <w:pPr>
        <w:pStyle w:val="Zkladntext"/>
        <w:spacing w:before="1"/>
        <w:ind w:left="0" w:firstLine="0"/>
        <w:rPr>
          <w:sz w:val="32"/>
        </w:rPr>
      </w:pPr>
    </w:p>
    <w:p w:rsidR="004E2E96" w:rsidRDefault="009F1B4C">
      <w:pPr>
        <w:pStyle w:val="Zkladntext"/>
        <w:ind w:left="102" w:firstLine="0"/>
      </w:pPr>
      <w:r>
        <w:t>Příloha č. 1 – Specifické podmínky provozování pro vlastnický model provozování</w:t>
      </w:r>
    </w:p>
    <w:p w:rsidR="004E2E96" w:rsidRDefault="004E2E96">
      <w:pPr>
        <w:pStyle w:val="Zkladntext"/>
        <w:spacing w:before="12"/>
        <w:ind w:left="0" w:firstLine="0"/>
        <w:rPr>
          <w:sz w:val="37"/>
        </w:rPr>
      </w:pPr>
    </w:p>
    <w:p w:rsidR="004E2E96" w:rsidRDefault="009F1B4C">
      <w:pPr>
        <w:pStyle w:val="Zkladntext"/>
        <w:ind w:left="102" w:firstLine="0"/>
      </w:pPr>
      <w:r>
        <w:t>Příloha č. 2 - Stanovení finančních oprav, které se použijí v případě porušení povinností při zadávání zakázek/veřejných zakázek</w:t>
      </w:r>
    </w:p>
    <w:p w:rsidR="004E2E96" w:rsidRDefault="004E2E96">
      <w:pPr>
        <w:sectPr w:rsidR="004E2E96">
          <w:pgSz w:w="12240" w:h="15840"/>
          <w:pgMar w:top="1060" w:right="1020" w:bottom="1160" w:left="1600" w:header="0" w:footer="902" w:gutter="0"/>
          <w:cols w:space="708"/>
        </w:sectPr>
      </w:pPr>
    </w:p>
    <w:p w:rsidR="004E2E96" w:rsidRDefault="009F1B4C">
      <w:pPr>
        <w:pStyle w:val="Zkladntext"/>
        <w:spacing w:before="73"/>
        <w:ind w:left="242" w:firstLine="0"/>
      </w:pPr>
      <w:r>
        <w:lastRenderedPageBreak/>
        <w:t>Příloha č. 1 - Smlouva o poskytnutí podpory ze Státního fondu životního prostředí České republiky</w:t>
      </w:r>
    </w:p>
    <w:p w:rsidR="004E2E96" w:rsidRDefault="004E2E96">
      <w:pPr>
        <w:pStyle w:val="Zkladntext"/>
        <w:ind w:left="0" w:firstLine="0"/>
        <w:rPr>
          <w:sz w:val="26"/>
        </w:rPr>
      </w:pPr>
    </w:p>
    <w:p w:rsidR="004E2E96" w:rsidRDefault="004E2E96">
      <w:pPr>
        <w:pStyle w:val="Zkladntext"/>
        <w:ind w:left="0" w:firstLine="0"/>
        <w:rPr>
          <w:sz w:val="26"/>
        </w:rPr>
      </w:pPr>
    </w:p>
    <w:p w:rsidR="004E2E96" w:rsidRDefault="004E2E96">
      <w:pPr>
        <w:pStyle w:val="Zkladntext"/>
        <w:spacing w:before="2"/>
        <w:ind w:left="0" w:firstLine="0"/>
        <w:rPr>
          <w:sz w:val="24"/>
        </w:rPr>
      </w:pPr>
    </w:p>
    <w:p w:rsidR="004E2E96" w:rsidRDefault="009F1B4C">
      <w:pPr>
        <w:pStyle w:val="Nadpis1"/>
        <w:ind w:left="242" w:right="0"/>
        <w:jc w:val="left"/>
      </w:pPr>
      <w:r>
        <w:t>Specifické p</w:t>
      </w:r>
      <w:r>
        <w:t>odmínky provozování pro vlastnický model provozování</w:t>
      </w:r>
    </w:p>
    <w:p w:rsidR="004E2E96" w:rsidRDefault="004E2E96">
      <w:pPr>
        <w:pStyle w:val="Zkladntext"/>
        <w:spacing w:before="1"/>
        <w:ind w:left="0" w:firstLine="0"/>
        <w:rPr>
          <w:b/>
          <w:sz w:val="29"/>
        </w:rPr>
      </w:pPr>
    </w:p>
    <w:p w:rsidR="004E2E96" w:rsidRDefault="009F1B4C">
      <w:pPr>
        <w:pStyle w:val="Odstavecseseznamem"/>
        <w:numPr>
          <w:ilvl w:val="1"/>
          <w:numId w:val="2"/>
        </w:numPr>
        <w:tabs>
          <w:tab w:val="left" w:pos="526"/>
        </w:tabs>
        <w:spacing w:before="0"/>
        <w:ind w:right="109" w:hanging="283"/>
        <w:jc w:val="both"/>
        <w:rPr>
          <w:sz w:val="20"/>
        </w:rPr>
      </w:pPr>
      <w:r>
        <w:rPr>
          <w:sz w:val="20"/>
        </w:rPr>
        <w:t>Vodohospodářská infrastruktura bude nejméně po dobu 10 let od prvního dne následujícího kalendářního roku po nabytí právní moci posledního kolaudačního souhlasu k projektu provozována     v rámci vlastn</w:t>
      </w:r>
      <w:r>
        <w:rPr>
          <w:sz w:val="20"/>
        </w:rPr>
        <w:t>ického modelu, zejména bude platit, že subjekt zodpovědný za provozování je 100% vlastněn vlastníkem dotčené infrastruktury a případnými dalšími veřejnými vlastníky a infrastrukturu provozuje</w:t>
      </w:r>
      <w:r>
        <w:rPr>
          <w:spacing w:val="-16"/>
          <w:sz w:val="20"/>
        </w:rPr>
        <w:t xml:space="preserve"> </w:t>
      </w:r>
      <w:r>
        <w:rPr>
          <w:sz w:val="20"/>
        </w:rPr>
        <w:t>na</w:t>
      </w:r>
      <w:r>
        <w:rPr>
          <w:spacing w:val="-16"/>
          <w:sz w:val="20"/>
        </w:rPr>
        <w:t xml:space="preserve"> </w:t>
      </w:r>
      <w:r>
        <w:rPr>
          <w:sz w:val="20"/>
        </w:rPr>
        <w:t>základě</w:t>
      </w:r>
      <w:r>
        <w:rPr>
          <w:spacing w:val="-16"/>
          <w:sz w:val="20"/>
        </w:rPr>
        <w:t xml:space="preserve"> </w:t>
      </w:r>
      <w:r>
        <w:rPr>
          <w:sz w:val="20"/>
        </w:rPr>
        <w:t>smlouvy</w:t>
      </w:r>
      <w:r>
        <w:rPr>
          <w:spacing w:val="-15"/>
          <w:sz w:val="20"/>
        </w:rPr>
        <w:t xml:space="preserve"> </w:t>
      </w:r>
      <w:r>
        <w:rPr>
          <w:sz w:val="20"/>
        </w:rPr>
        <w:t>nebo</w:t>
      </w:r>
      <w:r>
        <w:rPr>
          <w:spacing w:val="-14"/>
          <w:sz w:val="20"/>
        </w:rPr>
        <w:t xml:space="preserve"> </w:t>
      </w:r>
      <w:r>
        <w:rPr>
          <w:sz w:val="20"/>
        </w:rPr>
        <w:t>jiného</w:t>
      </w:r>
      <w:r>
        <w:rPr>
          <w:spacing w:val="-14"/>
          <w:sz w:val="20"/>
        </w:rPr>
        <w:t xml:space="preserve"> </w:t>
      </w:r>
      <w:r>
        <w:rPr>
          <w:sz w:val="20"/>
        </w:rPr>
        <w:t>místně</w:t>
      </w:r>
      <w:r>
        <w:rPr>
          <w:spacing w:val="-16"/>
          <w:sz w:val="20"/>
        </w:rPr>
        <w:t xml:space="preserve"> </w:t>
      </w:r>
      <w:r>
        <w:rPr>
          <w:sz w:val="20"/>
        </w:rPr>
        <w:t>platného</w:t>
      </w:r>
      <w:r>
        <w:rPr>
          <w:spacing w:val="-14"/>
          <w:sz w:val="20"/>
        </w:rPr>
        <w:t xml:space="preserve"> </w:t>
      </w:r>
      <w:r>
        <w:rPr>
          <w:sz w:val="20"/>
        </w:rPr>
        <w:t>pověření</w:t>
      </w:r>
      <w:r>
        <w:rPr>
          <w:spacing w:val="-15"/>
          <w:sz w:val="20"/>
        </w:rPr>
        <w:t xml:space="preserve"> </w:t>
      </w:r>
      <w:r>
        <w:rPr>
          <w:sz w:val="20"/>
        </w:rPr>
        <w:t>a</w:t>
      </w:r>
      <w:r>
        <w:rPr>
          <w:spacing w:val="-16"/>
          <w:sz w:val="20"/>
        </w:rPr>
        <w:t xml:space="preserve"> </w:t>
      </w:r>
      <w:r>
        <w:rPr>
          <w:sz w:val="20"/>
        </w:rPr>
        <w:t>přímo</w:t>
      </w:r>
      <w:r>
        <w:rPr>
          <w:spacing w:val="-14"/>
          <w:sz w:val="20"/>
        </w:rPr>
        <w:t xml:space="preserve"> </w:t>
      </w:r>
      <w:r>
        <w:rPr>
          <w:sz w:val="20"/>
        </w:rPr>
        <w:t>drží</w:t>
      </w:r>
      <w:r>
        <w:rPr>
          <w:spacing w:val="-15"/>
          <w:sz w:val="20"/>
        </w:rPr>
        <w:t xml:space="preserve"> </w:t>
      </w:r>
      <w:r>
        <w:rPr>
          <w:sz w:val="20"/>
        </w:rPr>
        <w:t>povolení</w:t>
      </w:r>
      <w:r>
        <w:rPr>
          <w:spacing w:val="-15"/>
          <w:sz w:val="20"/>
        </w:rPr>
        <w:t xml:space="preserve"> </w:t>
      </w:r>
      <w:r>
        <w:rPr>
          <w:sz w:val="20"/>
        </w:rPr>
        <w:t>k</w:t>
      </w:r>
      <w:r>
        <w:rPr>
          <w:spacing w:val="1"/>
          <w:sz w:val="20"/>
        </w:rPr>
        <w:t xml:space="preserve"> </w:t>
      </w:r>
      <w:r>
        <w:rPr>
          <w:sz w:val="20"/>
        </w:rPr>
        <w:t xml:space="preserve">provozování (k modelům provozování infrastruktury a podmínkám stanoveným pro vlastnický model viz  </w:t>
      </w:r>
      <w:r>
        <w:rPr>
          <w:spacing w:val="32"/>
          <w:sz w:val="20"/>
        </w:rPr>
        <w:t xml:space="preserve"> </w:t>
      </w:r>
      <w:r>
        <w:rPr>
          <w:sz w:val="20"/>
        </w:rPr>
        <w:t>dokument</w:t>
      </w:r>
    </w:p>
    <w:p w:rsidR="004E2E96" w:rsidRDefault="009F1B4C">
      <w:pPr>
        <w:pStyle w:val="Zkladntext"/>
        <w:ind w:right="109" w:firstLine="0"/>
        <w:jc w:val="both"/>
      </w:pPr>
      <w:r>
        <w:t>„Metodika</w:t>
      </w:r>
      <w:r>
        <w:rPr>
          <w:spacing w:val="-12"/>
        </w:rPr>
        <w:t xml:space="preserve"> </w:t>
      </w:r>
      <w:r>
        <w:t>pro</w:t>
      </w:r>
      <w:r>
        <w:rPr>
          <w:spacing w:val="-11"/>
        </w:rPr>
        <w:t xml:space="preserve"> </w:t>
      </w:r>
      <w:r>
        <w:t>žadatele</w:t>
      </w:r>
      <w:r>
        <w:rPr>
          <w:spacing w:val="-11"/>
        </w:rPr>
        <w:t xml:space="preserve"> </w:t>
      </w:r>
      <w:r>
        <w:t>rozvádějící</w:t>
      </w:r>
      <w:r>
        <w:rPr>
          <w:spacing w:val="-12"/>
        </w:rPr>
        <w:t xml:space="preserve"> </w:t>
      </w:r>
      <w:r>
        <w:t>podmínky</w:t>
      </w:r>
      <w:r>
        <w:rPr>
          <w:spacing w:val="-12"/>
        </w:rPr>
        <w:t xml:space="preserve"> </w:t>
      </w:r>
      <w:r>
        <w:t>přílohy</w:t>
      </w:r>
      <w:r>
        <w:rPr>
          <w:spacing w:val="-10"/>
        </w:rPr>
        <w:t xml:space="preserve"> </w:t>
      </w:r>
      <w:r>
        <w:t>č.</w:t>
      </w:r>
      <w:r>
        <w:rPr>
          <w:spacing w:val="-9"/>
        </w:rPr>
        <w:t xml:space="preserve"> </w:t>
      </w:r>
      <w:r>
        <w:t>6</w:t>
      </w:r>
      <w:r>
        <w:rPr>
          <w:spacing w:val="-11"/>
        </w:rPr>
        <w:t xml:space="preserve"> </w:t>
      </w:r>
      <w:r>
        <w:t>Programového</w:t>
      </w:r>
      <w:r>
        <w:rPr>
          <w:spacing w:val="-11"/>
        </w:rPr>
        <w:t xml:space="preserve"> </w:t>
      </w:r>
      <w:r>
        <w:t>dokumentu</w:t>
      </w:r>
      <w:r>
        <w:rPr>
          <w:spacing w:val="-12"/>
        </w:rPr>
        <w:t xml:space="preserve"> </w:t>
      </w:r>
      <w:r>
        <w:t>OPŽP</w:t>
      </w:r>
      <w:r>
        <w:rPr>
          <w:spacing w:val="-11"/>
        </w:rPr>
        <w:t xml:space="preserve"> </w:t>
      </w:r>
      <w:r>
        <w:t>2014</w:t>
      </w:r>
      <w:r>
        <w:rPr>
          <w:spacing w:val="-3"/>
        </w:rPr>
        <w:t xml:space="preserve"> </w:t>
      </w:r>
      <w:r>
        <w:t>–</w:t>
      </w:r>
      <w:r>
        <w:rPr>
          <w:spacing w:val="-10"/>
        </w:rPr>
        <w:t xml:space="preserve"> </w:t>
      </w:r>
      <w:r>
        <w:t>2020“, dále jen „Metodika“, která je součástí PrŽaP). Pro účely stanovení podmínek týkajících se provozování vodohospodářské infrastruktury se vodohospodářskou infrastrukturou rozumí celá složka infrastruktury pořízené (rekonstruované) s podporou poskytnut</w:t>
      </w:r>
      <w:r>
        <w:t>ou podle této Smlouvy a Rozhodnutí (podpořená infrastruktura) a veškerá další infrastruktura provozovaná v této složce na území relevantní obce (podrobněji viz Metodika) společně s podpořenou infrastrukturou v rámci podpořeného vlastnického modelu</w:t>
      </w:r>
      <w:r>
        <w:rPr>
          <w:spacing w:val="-7"/>
        </w:rPr>
        <w:t xml:space="preserve"> </w:t>
      </w:r>
      <w:r>
        <w:t>provozov</w:t>
      </w:r>
      <w:r>
        <w:t>ání.</w:t>
      </w:r>
    </w:p>
    <w:p w:rsidR="004E2E96" w:rsidRDefault="009F1B4C">
      <w:pPr>
        <w:pStyle w:val="Odstavecseseznamem"/>
        <w:numPr>
          <w:ilvl w:val="1"/>
          <w:numId w:val="2"/>
        </w:numPr>
        <w:tabs>
          <w:tab w:val="left" w:pos="526"/>
        </w:tabs>
        <w:ind w:right="111" w:hanging="283"/>
        <w:jc w:val="both"/>
        <w:rPr>
          <w:sz w:val="20"/>
        </w:rPr>
      </w:pPr>
      <w:r>
        <w:rPr>
          <w:sz w:val="20"/>
        </w:rPr>
        <w:t xml:space="preserve">Nejméně po dobu 10 let od prvního dne následujícího kalendářního roku po nabytí právní </w:t>
      </w:r>
      <w:r>
        <w:rPr>
          <w:spacing w:val="2"/>
          <w:sz w:val="20"/>
        </w:rPr>
        <w:t xml:space="preserve">moci </w:t>
      </w:r>
      <w:r>
        <w:rPr>
          <w:sz w:val="20"/>
        </w:rPr>
        <w:t>posledního  kolaudačního  souhlasu  k  projektu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4"/>
          <w:sz w:val="20"/>
        </w:rPr>
        <w:t xml:space="preserve"> </w:t>
      </w:r>
      <w:r>
        <w:rPr>
          <w:sz w:val="20"/>
        </w:rPr>
        <w:t>podmínek</w:t>
      </w:r>
      <w:r>
        <w:rPr>
          <w:spacing w:val="-6"/>
          <w:sz w:val="20"/>
        </w:rPr>
        <w:t xml:space="preserve"> </w:t>
      </w:r>
      <w:r>
        <w:rPr>
          <w:sz w:val="20"/>
        </w:rPr>
        <w:t>stanovených</w:t>
      </w:r>
      <w:r>
        <w:rPr>
          <w:spacing w:val="-5"/>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5"/>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přípustné pouze z</w:t>
      </w:r>
      <w:r>
        <w:rPr>
          <w:spacing w:val="-6"/>
          <w:sz w:val="20"/>
        </w:rPr>
        <w:t xml:space="preserve"> </w:t>
      </w:r>
      <w:r>
        <w:rPr>
          <w:sz w:val="20"/>
        </w:rPr>
        <w:t>důvodu:</w:t>
      </w:r>
    </w:p>
    <w:p w:rsidR="004E2E96" w:rsidRDefault="009F1B4C">
      <w:pPr>
        <w:pStyle w:val="Odstavecseseznamem"/>
        <w:numPr>
          <w:ilvl w:val="2"/>
          <w:numId w:val="2"/>
        </w:numPr>
        <w:tabs>
          <w:tab w:val="left" w:pos="763"/>
        </w:tabs>
        <w:spacing w:before="118"/>
        <w:ind w:right="116" w:hanging="283"/>
        <w:rPr>
          <w:sz w:val="20"/>
        </w:rPr>
      </w:pPr>
      <w:r>
        <w:rPr>
          <w:sz w:val="20"/>
        </w:rPr>
        <w:t>snížení na úroveň, která prokazatelně zajistí nepřekročení hranice sociálně únosné ceny pro vodné a/nebo stočné zveřejňované každoročně Fondem,</w:t>
      </w:r>
      <w:r>
        <w:rPr>
          <w:spacing w:val="-16"/>
          <w:sz w:val="20"/>
        </w:rPr>
        <w:t xml:space="preserve"> </w:t>
      </w:r>
      <w:r>
        <w:rPr>
          <w:sz w:val="20"/>
        </w:rPr>
        <w:t>nebo</w:t>
      </w:r>
    </w:p>
    <w:p w:rsidR="004E2E96" w:rsidRDefault="009F1B4C">
      <w:pPr>
        <w:pStyle w:val="Odstavecseseznamem"/>
        <w:numPr>
          <w:ilvl w:val="2"/>
          <w:numId w:val="2"/>
        </w:numPr>
        <w:tabs>
          <w:tab w:val="left" w:pos="749"/>
        </w:tabs>
        <w:ind w:right="115" w:hanging="283"/>
        <w:rPr>
          <w:sz w:val="20"/>
        </w:rPr>
      </w:pPr>
      <w:r>
        <w:rPr>
          <w:sz w:val="20"/>
        </w:rPr>
        <w:t>snížení</w:t>
      </w:r>
      <w:r>
        <w:rPr>
          <w:spacing w:val="-12"/>
          <w:sz w:val="20"/>
        </w:rPr>
        <w:t xml:space="preserve"> </w:t>
      </w:r>
      <w:r>
        <w:rPr>
          <w:sz w:val="20"/>
        </w:rPr>
        <w:t>na</w:t>
      </w:r>
      <w:r>
        <w:rPr>
          <w:spacing w:val="-3"/>
          <w:sz w:val="20"/>
        </w:rPr>
        <w:t xml:space="preserve"> </w:t>
      </w:r>
      <w:r>
        <w:rPr>
          <w:sz w:val="20"/>
        </w:rPr>
        <w:t>úroveň,</w:t>
      </w:r>
      <w:r>
        <w:rPr>
          <w:spacing w:val="-12"/>
          <w:sz w:val="20"/>
        </w:rPr>
        <w:t xml:space="preserve"> </w:t>
      </w:r>
      <w:r>
        <w:rPr>
          <w:sz w:val="20"/>
        </w:rPr>
        <w:t>která</w:t>
      </w:r>
      <w:r>
        <w:rPr>
          <w:spacing w:val="-12"/>
          <w:sz w:val="20"/>
        </w:rPr>
        <w:t xml:space="preserve"> </w:t>
      </w:r>
      <w:r>
        <w:rPr>
          <w:sz w:val="20"/>
        </w:rPr>
        <w:t>proka</w:t>
      </w:r>
      <w:r>
        <w:rPr>
          <w:sz w:val="20"/>
        </w:rPr>
        <w:t>zatelně</w:t>
      </w:r>
      <w:r>
        <w:rPr>
          <w:spacing w:val="-13"/>
          <w:sz w:val="20"/>
        </w:rPr>
        <w:t xml:space="preserve"> </w:t>
      </w:r>
      <w:r>
        <w:rPr>
          <w:sz w:val="20"/>
        </w:rPr>
        <w:t>vytváří</w:t>
      </w:r>
      <w:r>
        <w:rPr>
          <w:spacing w:val="-12"/>
          <w:sz w:val="20"/>
        </w:rPr>
        <w:t xml:space="preserve"> </w:t>
      </w:r>
      <w:r>
        <w:rPr>
          <w:sz w:val="20"/>
        </w:rPr>
        <w:t>zdroje</w:t>
      </w:r>
      <w:r>
        <w:rPr>
          <w:spacing w:val="-13"/>
          <w:sz w:val="20"/>
        </w:rPr>
        <w:t xml:space="preserve"> </w:t>
      </w:r>
      <w:r>
        <w:rPr>
          <w:sz w:val="20"/>
        </w:rPr>
        <w:t>pro</w:t>
      </w:r>
      <w:r>
        <w:rPr>
          <w:spacing w:val="-11"/>
          <w:sz w:val="20"/>
        </w:rPr>
        <w:t xml:space="preserve"> </w:t>
      </w:r>
      <w:r>
        <w:rPr>
          <w:sz w:val="20"/>
        </w:rPr>
        <w:t>správu,</w:t>
      </w:r>
      <w:r>
        <w:rPr>
          <w:spacing w:val="-11"/>
          <w:sz w:val="20"/>
        </w:rPr>
        <w:t xml:space="preserve"> </w:t>
      </w:r>
      <w:r>
        <w:rPr>
          <w:sz w:val="20"/>
        </w:rPr>
        <w:t>obnovu</w:t>
      </w:r>
      <w:r>
        <w:rPr>
          <w:spacing w:val="-11"/>
          <w:sz w:val="20"/>
        </w:rPr>
        <w:t xml:space="preserve"> </w:t>
      </w:r>
      <w:r>
        <w:rPr>
          <w:sz w:val="20"/>
        </w:rPr>
        <w:t>a</w:t>
      </w:r>
      <w:r>
        <w:rPr>
          <w:spacing w:val="-12"/>
          <w:sz w:val="20"/>
        </w:rPr>
        <w:t xml:space="preserve"> </w:t>
      </w:r>
      <w:r>
        <w:rPr>
          <w:sz w:val="20"/>
        </w:rPr>
        <w:t>případné</w:t>
      </w:r>
      <w:r>
        <w:rPr>
          <w:spacing w:val="-13"/>
          <w:sz w:val="20"/>
        </w:rPr>
        <w:t xml:space="preserve"> </w:t>
      </w:r>
      <w:r>
        <w:rPr>
          <w:sz w:val="20"/>
        </w:rPr>
        <w:t>rozšíření</w:t>
      </w:r>
      <w:r>
        <w:rPr>
          <w:spacing w:val="-12"/>
          <w:sz w:val="20"/>
        </w:rPr>
        <w:t xml:space="preserve"> </w:t>
      </w:r>
      <w:r>
        <w:rPr>
          <w:sz w:val="20"/>
        </w:rPr>
        <w:t>vodovodů a kanalizací minimálně ve výši „plných</w:t>
      </w:r>
      <w:r>
        <w:rPr>
          <w:spacing w:val="-17"/>
          <w:sz w:val="20"/>
        </w:rPr>
        <w:t xml:space="preserve"> </w:t>
      </w:r>
      <w:r>
        <w:rPr>
          <w:sz w:val="20"/>
        </w:rPr>
        <w:t>odpisů“.</w:t>
      </w:r>
    </w:p>
    <w:p w:rsidR="004E2E96" w:rsidRDefault="009F1B4C">
      <w:pPr>
        <w:pStyle w:val="Zkladntext"/>
        <w:spacing w:before="120"/>
        <w:ind w:firstLine="0"/>
      </w:pPr>
      <w:r>
        <w:t>V obou případech je nezbytné, aby Fond navrženou odchylku odsouhlasil.</w:t>
      </w:r>
    </w:p>
    <w:p w:rsidR="004E2E96" w:rsidRDefault="009F1B4C">
      <w:pPr>
        <w:pStyle w:val="Odstavecseseznamem"/>
        <w:numPr>
          <w:ilvl w:val="1"/>
          <w:numId w:val="2"/>
        </w:numPr>
        <w:tabs>
          <w:tab w:val="left" w:pos="526"/>
        </w:tabs>
        <w:ind w:right="111" w:hanging="425"/>
        <w:jc w:val="both"/>
        <w:rPr>
          <w:sz w:val="20"/>
        </w:rPr>
      </w:pPr>
      <w:r>
        <w:rPr>
          <w:sz w:val="20"/>
        </w:rPr>
        <w:t>Čistý příjem (případně nájemné) z provozování vodohospodářské inf</w:t>
      </w:r>
      <w:r>
        <w:rPr>
          <w:sz w:val="20"/>
        </w:rPr>
        <w:t>rastruktury bude použit v souladu  s principy péče řádného</w:t>
      </w:r>
      <w:r>
        <w:rPr>
          <w:spacing w:val="-10"/>
          <w:sz w:val="20"/>
        </w:rPr>
        <w:t xml:space="preserve"> </w:t>
      </w:r>
      <w:r>
        <w:rPr>
          <w:sz w:val="20"/>
        </w:rPr>
        <w:t>hospodáře.</w:t>
      </w:r>
    </w:p>
    <w:p w:rsidR="004E2E96" w:rsidRDefault="009F1B4C">
      <w:pPr>
        <w:pStyle w:val="Odstavecseseznamem"/>
        <w:numPr>
          <w:ilvl w:val="1"/>
          <w:numId w:val="2"/>
        </w:numPr>
        <w:tabs>
          <w:tab w:val="left" w:pos="526"/>
        </w:tabs>
        <w:spacing w:before="118"/>
        <w:ind w:right="112" w:hanging="425"/>
        <w:jc w:val="both"/>
        <w:rPr>
          <w:sz w:val="20"/>
        </w:rPr>
      </w:pPr>
      <w:r>
        <w:rPr>
          <w:sz w:val="20"/>
        </w:rPr>
        <w:t>Příjemce podpory je povinen zajistit, že relevantní požadavky kladené na provozní smlouvy budou aplikovány na „související provozní smlouvy“ ve smyslu Metodiky s tím, že v případě ukonče</w:t>
      </w:r>
      <w:r>
        <w:rPr>
          <w:sz w:val="20"/>
        </w:rPr>
        <w:t>ní platnosti související provozní smlouvy je vlastník infrastruktury, která je předmětem související provozní smlouvy, oprávněn změnit provozní</w:t>
      </w:r>
      <w:r>
        <w:rPr>
          <w:spacing w:val="-9"/>
          <w:sz w:val="20"/>
        </w:rPr>
        <w:t xml:space="preserve"> </w:t>
      </w:r>
      <w:r>
        <w:rPr>
          <w:sz w:val="20"/>
        </w:rPr>
        <w:t>model.</w:t>
      </w:r>
    </w:p>
    <w:p w:rsidR="004E2E96" w:rsidRDefault="004E2E96">
      <w:pPr>
        <w:jc w:val="both"/>
        <w:rPr>
          <w:sz w:val="20"/>
        </w:rPr>
        <w:sectPr w:rsidR="004E2E96">
          <w:pgSz w:w="12240" w:h="15840"/>
          <w:pgMar w:top="1060" w:right="1020" w:bottom="1160" w:left="1460" w:header="0" w:footer="902" w:gutter="0"/>
          <w:cols w:space="708"/>
        </w:sectPr>
      </w:pPr>
    </w:p>
    <w:p w:rsidR="004E2E96" w:rsidRDefault="009F1B4C">
      <w:pPr>
        <w:pStyle w:val="Zkladntext"/>
        <w:spacing w:before="73"/>
        <w:ind w:left="242" w:firstLine="0"/>
      </w:pPr>
      <w:r>
        <w:lastRenderedPageBreak/>
        <w:t>Příloha č. 2 - Smlouva o poskytnutí podpory ze Státního fondu životního prostředí České rep</w:t>
      </w:r>
      <w:r>
        <w:t>ubliky</w:t>
      </w:r>
    </w:p>
    <w:p w:rsidR="004E2E96" w:rsidRDefault="004E2E96">
      <w:pPr>
        <w:pStyle w:val="Zkladntext"/>
        <w:ind w:left="0" w:firstLine="0"/>
        <w:rPr>
          <w:sz w:val="26"/>
        </w:rPr>
      </w:pPr>
    </w:p>
    <w:p w:rsidR="004E2E96" w:rsidRDefault="004E2E96">
      <w:pPr>
        <w:pStyle w:val="Zkladntext"/>
        <w:ind w:left="0" w:firstLine="0"/>
        <w:rPr>
          <w:sz w:val="26"/>
        </w:rPr>
      </w:pPr>
    </w:p>
    <w:p w:rsidR="004E2E96" w:rsidRDefault="009F1B4C">
      <w:pPr>
        <w:pStyle w:val="Nadpis1"/>
        <w:spacing w:before="202" w:line="264" w:lineRule="auto"/>
        <w:ind w:left="242" w:right="0"/>
        <w:jc w:val="left"/>
      </w:pPr>
      <w:r>
        <w:t>Stanovení finančních oprav, které se použijí v případě porušení povinností při zadávání zakázek/ veřejných zakázek</w:t>
      </w:r>
    </w:p>
    <w:p w:rsidR="004E2E96" w:rsidRDefault="004E2E96">
      <w:pPr>
        <w:pStyle w:val="Zkladntext"/>
        <w:spacing w:before="1"/>
        <w:ind w:left="0" w:firstLine="0"/>
        <w:rPr>
          <w:b/>
          <w:sz w:val="27"/>
        </w:rPr>
      </w:pPr>
    </w:p>
    <w:p w:rsidR="004E2E96" w:rsidRDefault="009F1B4C">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r>
        <w:rPr>
          <w:sz w:val="20"/>
        </w:rPr>
        <w:t>a</w:t>
      </w:r>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2"/>
          <w:sz w:val="20"/>
        </w:rPr>
        <w:t xml:space="preserve"> </w:t>
      </w:r>
      <w:r>
        <w:rPr>
          <w:sz w:val="20"/>
        </w:rPr>
        <w:t>čl.</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2) písm. j) Smlouvy při zadávání zakázek/veřejných</w:t>
      </w:r>
      <w:r>
        <w:rPr>
          <w:sz w:val="20"/>
        </w:rPr>
        <w:t xml:space="preserve"> zakázek (dále souhrnně jen „veřejné zakázky“), zejména v nedodržení postupu podle zákona č. 134/2016 Sb., o zadávání veřejných zakázek, ve znění účinném    v době zahájení zadávacího řízení, případně zákona č. 137/2006 Sb., o veřejných zakázkách, ve znění</w:t>
      </w:r>
      <w:r>
        <w:rPr>
          <w:sz w:val="20"/>
        </w:rPr>
        <w:t xml:space="preserve"> účinném v době zahájení zadávacího řízení (dále souhrnně jen „zákon“) a/nebo nedodržení postupu stanoveného v Pokynech pro zadávání veřejných zakázek v OPŽP 2014 – 2020, ve znění účinném v</w:t>
      </w:r>
      <w:r>
        <w:rPr>
          <w:spacing w:val="-22"/>
          <w:sz w:val="20"/>
        </w:rPr>
        <w:t xml:space="preserve"> </w:t>
      </w:r>
      <w:r>
        <w:rPr>
          <w:sz w:val="20"/>
        </w:rPr>
        <w:t>době zahájení výběrového/zadávacího řízení (dále jen „Pokyny OPŽP“</w:t>
      </w:r>
      <w:r>
        <w:rPr>
          <w:sz w:val="20"/>
        </w:rPr>
        <w:t>),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4E2E96" w:rsidRDefault="009F1B4C">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4E2E96" w:rsidRDefault="009F1B4C">
      <w:pPr>
        <w:pStyle w:val="Odstavecseseznamem"/>
        <w:numPr>
          <w:ilvl w:val="0"/>
          <w:numId w:val="1"/>
        </w:numPr>
        <w:tabs>
          <w:tab w:val="left" w:pos="526"/>
        </w:tabs>
        <w:spacing w:line="264" w:lineRule="auto"/>
        <w:ind w:right="116" w:hanging="283"/>
        <w:jc w:val="both"/>
        <w:rPr>
          <w:sz w:val="20"/>
        </w:rPr>
      </w:pPr>
      <w:r>
        <w:rPr>
          <w:sz w:val="20"/>
        </w:rPr>
        <w:t>Pokud je možné přesně vyčíslit finanční dopad identifikovaného porušení, bude finanční oprava stanovena ve výši vyčísleného finančn</w:t>
      </w:r>
      <w:r>
        <w:rPr>
          <w:sz w:val="20"/>
        </w:rPr>
        <w:t>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4E2E96" w:rsidRDefault="009F1B4C">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w:t>
      </w:r>
      <w:r>
        <w:rPr>
          <w:sz w:val="20"/>
        </w:rPr>
        <w:t xml:space="preserve"> podpory poskytnuta v souvislosti s veřejnou zakázkou, u které se porušení</w:t>
      </w:r>
      <w:r>
        <w:rPr>
          <w:spacing w:val="-25"/>
          <w:sz w:val="20"/>
        </w:rPr>
        <w:t xml:space="preserve"> </w:t>
      </w:r>
      <w:r>
        <w:rPr>
          <w:sz w:val="20"/>
        </w:rPr>
        <w:t>vyskytlo.</w:t>
      </w:r>
    </w:p>
    <w:p w:rsidR="004E2E96" w:rsidRDefault="009F1B4C">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4E2E96" w:rsidRDefault="009F1B4C">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w:t>
      </w:r>
      <w:r>
        <w:rPr>
          <w:sz w:val="20"/>
        </w:rPr>
        <w:t>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z hlediska míry porušení principů hospodárnosti, efektivity a účelnosti při vynakládání veřejných prostředků. Porušení je nutno považovat za závažné především v případech, kdy v jeho důsledku došlo k</w:t>
      </w:r>
      <w:r>
        <w:rPr>
          <w:sz w:val="20"/>
        </w:rPr>
        <w:t xml:space="preserve">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4E2E96" w:rsidRDefault="009F1B4C">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w:t>
      </w:r>
      <w:r>
        <w:rPr>
          <w:sz w:val="20"/>
        </w:rPr>
        <w:t xml:space="preserve"> tabulce níže, bude stanovena finanční oprava dle zásady</w:t>
      </w:r>
      <w:r>
        <w:rPr>
          <w:spacing w:val="-16"/>
          <w:sz w:val="20"/>
        </w:rPr>
        <w:t xml:space="preserve"> </w:t>
      </w:r>
      <w:r>
        <w:rPr>
          <w:sz w:val="20"/>
        </w:rPr>
        <w:t>přiměřenosti.</w:t>
      </w:r>
    </w:p>
    <w:p w:rsidR="004E2E96" w:rsidRDefault="004E2E96">
      <w:pPr>
        <w:spacing w:line="264" w:lineRule="auto"/>
        <w:rPr>
          <w:sz w:val="20"/>
        </w:rPr>
        <w:sectPr w:rsidR="004E2E96">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2E96">
        <w:trPr>
          <w:trHeight w:hRule="exact" w:val="548"/>
        </w:trPr>
        <w:tc>
          <w:tcPr>
            <w:tcW w:w="492" w:type="dxa"/>
            <w:tcBorders>
              <w:right w:val="single" w:sz="2" w:space="0" w:color="000000"/>
            </w:tcBorders>
            <w:shd w:val="clear" w:color="auto" w:fill="F1F1F1"/>
          </w:tcPr>
          <w:p w:rsidR="004E2E96" w:rsidRDefault="009F1B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2E96" w:rsidRDefault="009F1B4C">
            <w:pPr>
              <w:pStyle w:val="TableParagraph"/>
              <w:spacing w:before="108"/>
              <w:ind w:left="103"/>
              <w:rPr>
                <w:b/>
                <w:sz w:val="20"/>
              </w:rPr>
            </w:pPr>
            <w:r>
              <w:rPr>
                <w:b/>
                <w:sz w:val="20"/>
              </w:rPr>
              <w:t>Sazba finanční opravy</w:t>
            </w:r>
          </w:p>
        </w:tc>
      </w:tr>
      <w:tr w:rsidR="004E2E96">
        <w:trPr>
          <w:trHeight w:hRule="exact" w:val="539"/>
        </w:trPr>
        <w:tc>
          <w:tcPr>
            <w:tcW w:w="492" w:type="dxa"/>
            <w:vMerge w:val="restart"/>
            <w:tcBorders>
              <w:right w:val="single" w:sz="2" w:space="0" w:color="000000"/>
            </w:tcBorders>
          </w:tcPr>
          <w:p w:rsidR="004E2E96" w:rsidRDefault="009F1B4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4E2E96" w:rsidRDefault="009F1B4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4E2E96" w:rsidRDefault="009F1B4C">
            <w:pPr>
              <w:pStyle w:val="TableParagraph"/>
              <w:spacing w:before="109" w:line="264" w:lineRule="auto"/>
              <w:ind w:right="141"/>
              <w:rPr>
                <w:sz w:val="20"/>
              </w:rPr>
            </w:pPr>
            <w:r>
              <w:rPr>
                <w:sz w:val="20"/>
              </w:rPr>
              <w:t>Zadavatel zadal veřejnou zakázku, aniž by zahájil zadávací řízení</w:t>
            </w:r>
          </w:p>
          <w:p w:rsidR="004E2E96" w:rsidRDefault="009F1B4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4E2E96" w:rsidRDefault="009F1B4C">
            <w:pPr>
              <w:pStyle w:val="TableParagraph"/>
              <w:spacing w:before="109"/>
              <w:ind w:left="103"/>
              <w:rPr>
                <w:sz w:val="20"/>
              </w:rPr>
            </w:pPr>
            <w:r>
              <w:rPr>
                <w:sz w:val="20"/>
              </w:rPr>
              <w:t>100 %</w:t>
            </w:r>
          </w:p>
        </w:tc>
      </w:tr>
      <w:tr w:rsidR="004E2E96">
        <w:trPr>
          <w:trHeight w:hRule="exact" w:val="1694"/>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E2E96">
        <w:trPr>
          <w:trHeight w:hRule="exact" w:val="523"/>
        </w:trPr>
        <w:tc>
          <w:tcPr>
            <w:tcW w:w="492" w:type="dxa"/>
            <w:vMerge w:val="restart"/>
            <w:tcBorders>
              <w:top w:val="single" w:sz="2" w:space="0" w:color="000000"/>
              <w:right w:val="single" w:sz="2" w:space="0" w:color="000000"/>
            </w:tcBorders>
          </w:tcPr>
          <w:p w:rsidR="004E2E96" w:rsidRDefault="009F1B4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4E2E96" w:rsidRDefault="009F1B4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100 %</w:t>
            </w:r>
          </w:p>
        </w:tc>
      </w:tr>
      <w:tr w:rsidR="004E2E96">
        <w:trPr>
          <w:trHeight w:hRule="exact" w:val="1695"/>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4E2E96">
        <w:trPr>
          <w:trHeight w:hRule="exact" w:val="1109"/>
        </w:trPr>
        <w:tc>
          <w:tcPr>
            <w:tcW w:w="492" w:type="dxa"/>
            <w:vMerge w:val="restart"/>
            <w:tcBorders>
              <w:top w:val="single" w:sz="2" w:space="0" w:color="000000"/>
              <w:right w:val="single" w:sz="2" w:space="0" w:color="000000"/>
            </w:tcBorders>
          </w:tcPr>
          <w:p w:rsidR="004E2E96" w:rsidRDefault="009F1B4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rPr>
                <w:sz w:val="20"/>
              </w:rPr>
            </w:pPr>
            <w:r>
              <w:rPr>
                <w:sz w:val="20"/>
              </w:rPr>
              <w:t>Zadavatel stanovil lhůtu pro podá</w:t>
            </w:r>
            <w:r>
              <w:rPr>
                <w:sz w:val="20"/>
              </w:rPr>
              <w:t>ní nabídek, předběžných nabídek nebo žádostí o účast tak, že jejich délka nedosahovala minimálních lhůt stanovených v zákoně nebo</w:t>
            </w:r>
          </w:p>
          <w:p w:rsidR="004E2E96" w:rsidRDefault="009F1B4C">
            <w:pPr>
              <w:pStyle w:val="TableParagraph"/>
              <w:spacing w:before="0"/>
              <w:rPr>
                <w:sz w:val="20"/>
              </w:rPr>
            </w:pPr>
            <w:r>
              <w:rPr>
                <w:sz w:val="20"/>
              </w:rPr>
              <w:t>v  Pokynech OPŽP, příp.</w:t>
            </w:r>
          </w:p>
          <w:p w:rsidR="004E2E96" w:rsidRDefault="009F1B4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90"/>
              <w:rPr>
                <w:sz w:val="20"/>
              </w:rPr>
            </w:pPr>
            <w:r>
              <w:rPr>
                <w:sz w:val="20"/>
              </w:rPr>
              <w:t>25 %, pokud je zkrácení vyšší nebo rovno 50 % délky minimální lhůty</w:t>
            </w:r>
          </w:p>
        </w:tc>
      </w:tr>
      <w:tr w:rsidR="004E2E96">
        <w:trPr>
          <w:trHeight w:hRule="exact" w:val="1109"/>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90"/>
              <w:rPr>
                <w:sz w:val="20"/>
              </w:rPr>
            </w:pPr>
            <w:r>
              <w:rPr>
                <w:sz w:val="20"/>
              </w:rPr>
              <w:t>10 %, pokud je zkrácení vyšší nebo rovno 30 % délky minimální lhůty</w:t>
            </w:r>
          </w:p>
        </w:tc>
      </w:tr>
      <w:tr w:rsidR="004E2E96">
        <w:trPr>
          <w:trHeight w:hRule="exact" w:val="1109"/>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4E2E96">
        <w:trPr>
          <w:trHeight w:hRule="exact" w:val="1402"/>
        </w:trPr>
        <w:tc>
          <w:tcPr>
            <w:tcW w:w="492" w:type="dxa"/>
            <w:vMerge w:val="restart"/>
            <w:tcBorders>
              <w:top w:val="single" w:sz="2" w:space="0" w:color="000000"/>
              <w:right w:val="single" w:sz="2" w:space="0" w:color="000000"/>
            </w:tcBorders>
          </w:tcPr>
          <w:p w:rsidR="004E2E96" w:rsidRDefault="009F1B4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135"/>
              <w:rPr>
                <w:sz w:val="20"/>
              </w:rPr>
            </w:pPr>
            <w:r>
              <w:rPr>
                <w:sz w:val="20"/>
              </w:rPr>
              <w:t>25 %, pokud po zkrácení činí délka lhůty p</w:t>
            </w:r>
            <w:r>
              <w:rPr>
                <w:sz w:val="20"/>
              </w:rPr>
              <w:t>ro doručení nabídek alespoň 50 % stanovené lhůty pro doručení nabídek</w:t>
            </w:r>
          </w:p>
        </w:tc>
      </w:tr>
      <w:tr w:rsidR="004E2E96">
        <w:trPr>
          <w:trHeight w:hRule="exact" w:val="1402"/>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4E2E96">
        <w:trPr>
          <w:trHeight w:hRule="exact" w:val="1414"/>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tcBorders>
          </w:tcPr>
          <w:p w:rsidR="004E2E96" w:rsidRDefault="009F1B4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4E2E96" w:rsidRDefault="004E2E96">
      <w:pPr>
        <w:spacing w:line="264" w:lineRule="auto"/>
        <w:rPr>
          <w:sz w:val="20"/>
        </w:rPr>
        <w:sectPr w:rsidR="004E2E9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2E96">
        <w:trPr>
          <w:trHeight w:hRule="exact" w:val="548"/>
        </w:trPr>
        <w:tc>
          <w:tcPr>
            <w:tcW w:w="492" w:type="dxa"/>
            <w:tcBorders>
              <w:right w:val="single" w:sz="2" w:space="0" w:color="000000"/>
            </w:tcBorders>
            <w:shd w:val="clear" w:color="auto" w:fill="F1F1F1"/>
          </w:tcPr>
          <w:p w:rsidR="004E2E96" w:rsidRDefault="009F1B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2E96" w:rsidRDefault="009F1B4C">
            <w:pPr>
              <w:pStyle w:val="TableParagraph"/>
              <w:spacing w:before="108"/>
              <w:ind w:left="103"/>
              <w:rPr>
                <w:b/>
                <w:sz w:val="20"/>
              </w:rPr>
            </w:pPr>
            <w:r>
              <w:rPr>
                <w:b/>
                <w:sz w:val="20"/>
              </w:rPr>
              <w:t>Sazba finanční opravy</w:t>
            </w:r>
          </w:p>
        </w:tc>
      </w:tr>
      <w:tr w:rsidR="004E2E96">
        <w:trPr>
          <w:trHeight w:hRule="exact" w:val="513"/>
        </w:trPr>
        <w:tc>
          <w:tcPr>
            <w:tcW w:w="492" w:type="dxa"/>
            <w:vMerge w:val="restart"/>
            <w:tcBorders>
              <w:right w:val="single" w:sz="2" w:space="0" w:color="000000"/>
            </w:tcBorders>
          </w:tcPr>
          <w:p w:rsidR="004E2E96" w:rsidRDefault="009F1B4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4E2E96" w:rsidRDefault="009F1B4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4E2E96" w:rsidRDefault="009F1B4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4E2E96" w:rsidRDefault="009F1B4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4E2E96" w:rsidRDefault="009F1B4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4E2E96" w:rsidRDefault="009F1B4C">
            <w:pPr>
              <w:pStyle w:val="TableParagraph"/>
              <w:spacing w:before="83"/>
              <w:ind w:left="103"/>
              <w:rPr>
                <w:sz w:val="20"/>
              </w:rPr>
            </w:pPr>
            <w:r>
              <w:rPr>
                <w:sz w:val="20"/>
              </w:rPr>
              <w:t>10 %</w:t>
            </w:r>
          </w:p>
        </w:tc>
      </w:tr>
      <w:tr w:rsidR="004E2E96">
        <w:trPr>
          <w:trHeight w:hRule="exact" w:val="2635"/>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5 % v případě menší závažnosti porušení</w:t>
            </w:r>
          </w:p>
        </w:tc>
      </w:tr>
      <w:tr w:rsidR="004E2E96">
        <w:trPr>
          <w:trHeight w:hRule="exact" w:val="625"/>
        </w:trPr>
        <w:tc>
          <w:tcPr>
            <w:tcW w:w="492" w:type="dxa"/>
            <w:vMerge w:val="restart"/>
            <w:tcBorders>
              <w:top w:val="single" w:sz="2" w:space="0" w:color="000000"/>
              <w:right w:val="single" w:sz="2" w:space="0" w:color="000000"/>
            </w:tcBorders>
          </w:tcPr>
          <w:p w:rsidR="004E2E96" w:rsidRDefault="009F1B4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324"/>
              <w:rPr>
                <w:sz w:val="20"/>
              </w:rPr>
            </w:pPr>
            <w:r>
              <w:rPr>
                <w:sz w:val="20"/>
              </w:rPr>
              <w:t>Použití jednacího řízení s uveřejněním</w:t>
            </w:r>
          </w:p>
          <w:p w:rsidR="004E2E96" w:rsidRDefault="009F1B4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rPr>
                <w:sz w:val="20"/>
              </w:rPr>
            </w:pPr>
            <w:r>
              <w:rPr>
                <w:sz w:val="20"/>
              </w:rPr>
              <w:t>Zadavatel zadal veřejnou zakázku</w:t>
            </w:r>
          </w:p>
          <w:p w:rsidR="004E2E96" w:rsidRDefault="009F1B4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25 %</w:t>
            </w:r>
          </w:p>
        </w:tc>
      </w:tr>
      <w:tr w:rsidR="004E2E96">
        <w:trPr>
          <w:trHeight w:hRule="exact" w:val="1361"/>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8" w:line="261" w:lineRule="auto"/>
              <w:ind w:left="103"/>
              <w:rPr>
                <w:sz w:val="20"/>
              </w:rPr>
            </w:pPr>
            <w:r>
              <w:rPr>
                <w:sz w:val="20"/>
              </w:rPr>
              <w:t>5 % nebo 10 % dle závažnosti porušení</w:t>
            </w:r>
          </w:p>
        </w:tc>
      </w:tr>
      <w:tr w:rsidR="004E2E96">
        <w:trPr>
          <w:trHeight w:hRule="exact" w:val="526"/>
        </w:trPr>
        <w:tc>
          <w:tcPr>
            <w:tcW w:w="492" w:type="dxa"/>
            <w:vMerge w:val="restart"/>
            <w:tcBorders>
              <w:top w:val="single" w:sz="2" w:space="0" w:color="000000"/>
              <w:right w:val="single" w:sz="2" w:space="0" w:color="000000"/>
            </w:tcBorders>
          </w:tcPr>
          <w:p w:rsidR="004E2E96" w:rsidRDefault="009F1B4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rPr>
                <w:sz w:val="20"/>
              </w:rPr>
            </w:pPr>
            <w:r>
              <w:rPr>
                <w:sz w:val="20"/>
              </w:rPr>
              <w:t>Zadavatel neuvedl v oznámení</w:t>
            </w:r>
          </w:p>
          <w:p w:rsidR="004E2E96" w:rsidRDefault="009F1B4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8"/>
              <w:ind w:left="103"/>
              <w:rPr>
                <w:sz w:val="20"/>
              </w:rPr>
            </w:pPr>
            <w:r>
              <w:rPr>
                <w:sz w:val="20"/>
              </w:rPr>
              <w:t>25 %</w:t>
            </w:r>
          </w:p>
        </w:tc>
      </w:tr>
      <w:tr w:rsidR="004E2E96">
        <w:trPr>
          <w:trHeight w:hRule="exact" w:val="1692"/>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4E2E96">
        <w:trPr>
          <w:trHeight w:hRule="exact" w:val="526"/>
        </w:trPr>
        <w:tc>
          <w:tcPr>
            <w:tcW w:w="492" w:type="dxa"/>
            <w:vMerge w:val="restart"/>
            <w:tcBorders>
              <w:top w:val="single" w:sz="2" w:space="0" w:color="000000"/>
              <w:right w:val="single" w:sz="2" w:space="0" w:color="000000"/>
            </w:tcBorders>
          </w:tcPr>
          <w:p w:rsidR="004E2E96" w:rsidRDefault="009F1B4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rPr>
                <w:sz w:val="20"/>
              </w:rPr>
            </w:pPr>
            <w:r>
              <w:rPr>
                <w:sz w:val="20"/>
              </w:rPr>
              <w:t>Zadavatel neuvedl v oznámení</w:t>
            </w:r>
          </w:p>
          <w:p w:rsidR="004E2E96" w:rsidRDefault="009F1B4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8"/>
              <w:ind w:left="103"/>
              <w:rPr>
                <w:sz w:val="20"/>
              </w:rPr>
            </w:pPr>
            <w:r>
              <w:rPr>
                <w:sz w:val="20"/>
              </w:rPr>
              <w:t>25 %</w:t>
            </w:r>
          </w:p>
        </w:tc>
      </w:tr>
      <w:tr w:rsidR="004E2E96">
        <w:trPr>
          <w:trHeight w:hRule="exact" w:val="1498"/>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4E2E96">
        <w:trPr>
          <w:trHeight w:hRule="exact" w:val="696"/>
        </w:trPr>
        <w:tc>
          <w:tcPr>
            <w:tcW w:w="492" w:type="dxa"/>
            <w:vMerge w:val="restart"/>
            <w:tcBorders>
              <w:top w:val="single" w:sz="2" w:space="0" w:color="000000"/>
              <w:right w:val="single" w:sz="2" w:space="0" w:color="000000"/>
            </w:tcBorders>
          </w:tcPr>
          <w:p w:rsidR="004E2E96" w:rsidRDefault="009F1B4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15"/>
              <w:rPr>
                <w:sz w:val="20"/>
              </w:rPr>
            </w:pPr>
            <w:r>
              <w:rPr>
                <w:sz w:val="20"/>
              </w:rPr>
              <w:t>Stanovení požadavků na kvalifikaci</w:t>
            </w:r>
          </w:p>
          <w:p w:rsidR="004E2E96" w:rsidRDefault="009F1B4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25 %</w:t>
            </w:r>
          </w:p>
        </w:tc>
      </w:tr>
      <w:tr w:rsidR="004E2E96">
        <w:trPr>
          <w:trHeight w:hRule="exact" w:val="1383"/>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tcBorders>
          </w:tcPr>
          <w:p w:rsidR="004E2E96" w:rsidRDefault="009F1B4C">
            <w:pPr>
              <w:pStyle w:val="TableParagraph"/>
              <w:spacing w:line="264" w:lineRule="auto"/>
              <w:ind w:left="103"/>
              <w:rPr>
                <w:sz w:val="20"/>
              </w:rPr>
            </w:pPr>
            <w:r>
              <w:rPr>
                <w:sz w:val="20"/>
              </w:rPr>
              <w:t>5 % nebo 10 % dle závažnosti porušení</w:t>
            </w:r>
          </w:p>
        </w:tc>
      </w:tr>
    </w:tbl>
    <w:p w:rsidR="004E2E96" w:rsidRDefault="004E2E96">
      <w:pPr>
        <w:spacing w:line="264" w:lineRule="auto"/>
        <w:rPr>
          <w:sz w:val="20"/>
        </w:rPr>
        <w:sectPr w:rsidR="004E2E9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2E96">
        <w:trPr>
          <w:trHeight w:hRule="exact" w:val="548"/>
        </w:trPr>
        <w:tc>
          <w:tcPr>
            <w:tcW w:w="492" w:type="dxa"/>
            <w:tcBorders>
              <w:right w:val="single" w:sz="2" w:space="0" w:color="000000"/>
            </w:tcBorders>
            <w:shd w:val="clear" w:color="auto" w:fill="F1F1F1"/>
          </w:tcPr>
          <w:p w:rsidR="004E2E96" w:rsidRDefault="009F1B4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2E96" w:rsidRDefault="009F1B4C">
            <w:pPr>
              <w:pStyle w:val="TableParagraph"/>
              <w:spacing w:before="108"/>
              <w:ind w:left="103"/>
              <w:rPr>
                <w:b/>
                <w:sz w:val="20"/>
              </w:rPr>
            </w:pPr>
            <w:r>
              <w:rPr>
                <w:b/>
                <w:sz w:val="20"/>
              </w:rPr>
              <w:t>Sazba finanční opravy</w:t>
            </w:r>
          </w:p>
        </w:tc>
      </w:tr>
      <w:tr w:rsidR="004E2E96">
        <w:trPr>
          <w:trHeight w:hRule="exact" w:val="513"/>
        </w:trPr>
        <w:tc>
          <w:tcPr>
            <w:tcW w:w="492" w:type="dxa"/>
            <w:vMerge w:val="restart"/>
            <w:tcBorders>
              <w:right w:val="single" w:sz="2" w:space="0" w:color="000000"/>
            </w:tcBorders>
          </w:tcPr>
          <w:p w:rsidR="004E2E96" w:rsidRDefault="009F1B4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4E2E96" w:rsidRDefault="009F1B4C">
            <w:pPr>
              <w:pStyle w:val="TableParagraph"/>
              <w:spacing w:before="83" w:line="264" w:lineRule="auto"/>
              <w:ind w:right="95"/>
              <w:rPr>
                <w:sz w:val="20"/>
              </w:rPr>
            </w:pPr>
            <w:r>
              <w:rPr>
                <w:sz w:val="20"/>
              </w:rPr>
              <w:t>Stanovení pravidel pro hodnocení nabídek</w:t>
            </w:r>
          </w:p>
          <w:p w:rsidR="004E2E96" w:rsidRDefault="009F1B4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4E2E96" w:rsidRDefault="009F1B4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4E2E96" w:rsidRDefault="009F1B4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4E2E96" w:rsidRDefault="009F1B4C">
            <w:pPr>
              <w:pStyle w:val="TableParagraph"/>
              <w:spacing w:before="83"/>
              <w:ind w:left="103"/>
              <w:rPr>
                <w:sz w:val="20"/>
              </w:rPr>
            </w:pPr>
            <w:r>
              <w:rPr>
                <w:sz w:val="20"/>
              </w:rPr>
              <w:t>25 %</w:t>
            </w:r>
          </w:p>
        </w:tc>
      </w:tr>
      <w:tr w:rsidR="004E2E96">
        <w:trPr>
          <w:trHeight w:hRule="exact" w:val="2050"/>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5 % nebo 10 % dle závažnosti porušení</w:t>
            </w:r>
          </w:p>
        </w:tc>
      </w:tr>
      <w:tr w:rsidR="004E2E96">
        <w:trPr>
          <w:trHeight w:hRule="exact" w:val="523"/>
        </w:trPr>
        <w:tc>
          <w:tcPr>
            <w:tcW w:w="492" w:type="dxa"/>
            <w:vMerge w:val="restart"/>
            <w:tcBorders>
              <w:top w:val="single" w:sz="2" w:space="0" w:color="000000"/>
              <w:right w:val="single" w:sz="2" w:space="0" w:color="000000"/>
            </w:tcBorders>
          </w:tcPr>
          <w:p w:rsidR="004E2E96" w:rsidRDefault="009F1B4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35"/>
              <w:jc w:val="both"/>
              <w:rPr>
                <w:sz w:val="20"/>
              </w:rPr>
            </w:pPr>
            <w:r>
              <w:rPr>
                <w:sz w:val="20"/>
              </w:rPr>
              <w:t>Stanovení technických podmínek nebo jiných podmínek účasti</w:t>
            </w:r>
          </w:p>
          <w:p w:rsidR="004E2E96" w:rsidRDefault="009F1B4C">
            <w:pPr>
              <w:pStyle w:val="TableParagraph"/>
              <w:spacing w:before="0" w:line="264" w:lineRule="auto"/>
              <w:ind w:right="311"/>
              <w:rPr>
                <w:sz w:val="20"/>
              </w:rPr>
            </w:pPr>
            <w:r>
              <w:rPr>
                <w:sz w:val="20"/>
              </w:rPr>
              <w:t>v řízení v rozporu se zákonem nebo</w:t>
            </w:r>
          </w:p>
          <w:p w:rsidR="004E2E96" w:rsidRDefault="009F1B4C">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w:t>
            </w:r>
            <w:r>
              <w:rPr>
                <w:sz w:val="20"/>
              </w:rPr>
              <w:t xml:space="preserve"> Zadávání VZ v OPŽP</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25 %</w:t>
            </w:r>
          </w:p>
        </w:tc>
      </w:tr>
      <w:tr w:rsidR="004E2E96">
        <w:trPr>
          <w:trHeight w:hRule="exact" w:val="819"/>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4" w:space="0" w:color="000000"/>
            </w:tcBorders>
          </w:tcPr>
          <w:p w:rsidR="004E2E96" w:rsidRDefault="009F1B4C">
            <w:pPr>
              <w:pStyle w:val="TableParagraph"/>
              <w:spacing w:line="264" w:lineRule="auto"/>
              <w:ind w:left="103"/>
              <w:rPr>
                <w:sz w:val="20"/>
              </w:rPr>
            </w:pPr>
            <w:r>
              <w:rPr>
                <w:sz w:val="20"/>
              </w:rPr>
              <w:t>5 % nebo 10 % dle závažnosti porušení</w:t>
            </w:r>
          </w:p>
        </w:tc>
      </w:tr>
      <w:tr w:rsidR="004E2E96">
        <w:trPr>
          <w:trHeight w:hRule="exact" w:val="1406"/>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4" w:space="0" w:color="000000"/>
              <w:left w:val="single" w:sz="2" w:space="0" w:color="000000"/>
              <w:bottom w:val="single" w:sz="4" w:space="0" w:color="000000"/>
            </w:tcBorders>
          </w:tcPr>
          <w:p w:rsidR="004E2E96" w:rsidRDefault="009F1B4C">
            <w:pPr>
              <w:pStyle w:val="TableParagraph"/>
              <w:spacing w:line="264" w:lineRule="auto"/>
              <w:ind w:left="103" w:right="173"/>
              <w:rPr>
                <w:sz w:val="20"/>
              </w:rPr>
            </w:pPr>
            <w:r>
              <w:rPr>
                <w:sz w:val="20"/>
              </w:rPr>
              <w:t>25 % v případě značkové specifikace v míře vyšší než 30 % z finančního objemu veřejné zakázky</w:t>
            </w:r>
          </w:p>
        </w:tc>
      </w:tr>
      <w:tr w:rsidR="004E2E96">
        <w:trPr>
          <w:trHeight w:hRule="exact" w:val="1406"/>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4" w:space="0" w:color="000000"/>
              <w:left w:val="single" w:sz="2" w:space="0" w:color="000000"/>
              <w:bottom w:val="single" w:sz="4" w:space="0" w:color="000000"/>
            </w:tcBorders>
          </w:tcPr>
          <w:p w:rsidR="004E2E96" w:rsidRDefault="009F1B4C">
            <w:pPr>
              <w:pStyle w:val="TableParagraph"/>
              <w:spacing w:line="264" w:lineRule="auto"/>
              <w:ind w:left="103" w:right="555"/>
              <w:rPr>
                <w:sz w:val="20"/>
              </w:rPr>
            </w:pPr>
            <w:r>
              <w:rPr>
                <w:sz w:val="20"/>
              </w:rPr>
              <w:t>10 % v případě značkové specifikace v míře 20 – 30 % z finančního objemu veřejné zakázky</w:t>
            </w:r>
          </w:p>
        </w:tc>
      </w:tr>
      <w:tr w:rsidR="004E2E96">
        <w:trPr>
          <w:trHeight w:hRule="exact" w:val="1404"/>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4" w:space="0" w:color="000000"/>
              <w:left w:val="single" w:sz="2" w:space="0" w:color="000000"/>
              <w:bottom w:val="single" w:sz="2" w:space="0" w:color="000000"/>
            </w:tcBorders>
          </w:tcPr>
          <w:p w:rsidR="004E2E96" w:rsidRDefault="009F1B4C">
            <w:pPr>
              <w:pStyle w:val="TableParagraph"/>
              <w:spacing w:line="264" w:lineRule="auto"/>
              <w:ind w:left="103" w:right="489"/>
              <w:rPr>
                <w:sz w:val="20"/>
              </w:rPr>
            </w:pPr>
            <w:r>
              <w:rPr>
                <w:sz w:val="20"/>
              </w:rPr>
              <w:t>5 % v případě značkové specifikace v míře 10 &lt; 20 % z finančního objemu veřejné zakázky</w:t>
            </w:r>
          </w:p>
        </w:tc>
      </w:tr>
      <w:tr w:rsidR="004E2E96">
        <w:trPr>
          <w:trHeight w:hRule="exact" w:val="523"/>
        </w:trPr>
        <w:tc>
          <w:tcPr>
            <w:tcW w:w="492" w:type="dxa"/>
            <w:vMerge w:val="restart"/>
            <w:tcBorders>
              <w:top w:val="single" w:sz="2" w:space="0" w:color="000000"/>
              <w:right w:val="single" w:sz="2" w:space="0" w:color="000000"/>
            </w:tcBorders>
          </w:tcPr>
          <w:p w:rsidR="004E2E96" w:rsidRDefault="009F1B4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10 %</w:t>
            </w:r>
          </w:p>
        </w:tc>
      </w:tr>
      <w:tr w:rsidR="004E2E96">
        <w:trPr>
          <w:trHeight w:hRule="exact" w:val="586"/>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5 % dle závažnosti porušení</w:t>
            </w:r>
          </w:p>
        </w:tc>
      </w:tr>
      <w:tr w:rsidR="004E2E96">
        <w:trPr>
          <w:trHeight w:hRule="exact" w:val="523"/>
        </w:trPr>
        <w:tc>
          <w:tcPr>
            <w:tcW w:w="492" w:type="dxa"/>
            <w:vMerge w:val="restart"/>
            <w:tcBorders>
              <w:top w:val="single" w:sz="2" w:space="0" w:color="000000"/>
              <w:right w:val="single" w:sz="2" w:space="0" w:color="000000"/>
            </w:tcBorders>
          </w:tcPr>
          <w:p w:rsidR="004E2E96" w:rsidRDefault="009F1B4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w:t>
            </w:r>
            <w:r>
              <w:rPr>
                <w:sz w:val="20"/>
              </w:rPr>
              <w:t>rového/zadávacího řízení</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25 %</w:t>
            </w:r>
          </w:p>
        </w:tc>
      </w:tr>
      <w:tr w:rsidR="004E2E96">
        <w:trPr>
          <w:trHeight w:hRule="exact" w:val="2941"/>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tcBorders>
          </w:tcPr>
          <w:p w:rsidR="004E2E96" w:rsidRDefault="009F1B4C">
            <w:pPr>
              <w:pStyle w:val="TableParagraph"/>
              <w:spacing w:line="264" w:lineRule="auto"/>
              <w:ind w:left="103" w:right="433"/>
              <w:rPr>
                <w:sz w:val="20"/>
              </w:rPr>
            </w:pPr>
            <w:r>
              <w:rPr>
                <w:sz w:val="20"/>
              </w:rPr>
              <w:t>5 % nebo 10 % dle závažnosti porušení</w:t>
            </w:r>
          </w:p>
        </w:tc>
      </w:tr>
    </w:tbl>
    <w:p w:rsidR="004E2E96" w:rsidRDefault="004E2E96">
      <w:pPr>
        <w:spacing w:line="264" w:lineRule="auto"/>
        <w:rPr>
          <w:sz w:val="20"/>
        </w:rPr>
        <w:sectPr w:rsidR="004E2E9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2E96">
        <w:trPr>
          <w:trHeight w:hRule="exact" w:val="548"/>
        </w:trPr>
        <w:tc>
          <w:tcPr>
            <w:tcW w:w="492" w:type="dxa"/>
            <w:tcBorders>
              <w:right w:val="single" w:sz="2" w:space="0" w:color="000000"/>
            </w:tcBorders>
            <w:shd w:val="clear" w:color="auto" w:fill="F1F1F1"/>
          </w:tcPr>
          <w:p w:rsidR="004E2E96" w:rsidRDefault="009F1B4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2E96" w:rsidRDefault="009F1B4C">
            <w:pPr>
              <w:pStyle w:val="TableParagraph"/>
              <w:spacing w:before="108"/>
              <w:ind w:left="103"/>
              <w:rPr>
                <w:b/>
                <w:sz w:val="20"/>
              </w:rPr>
            </w:pPr>
            <w:r>
              <w:rPr>
                <w:b/>
                <w:sz w:val="20"/>
              </w:rPr>
              <w:t>Sazba finanční opravy</w:t>
            </w:r>
          </w:p>
        </w:tc>
      </w:tr>
      <w:tr w:rsidR="004E2E96">
        <w:trPr>
          <w:trHeight w:hRule="exact" w:val="513"/>
        </w:trPr>
        <w:tc>
          <w:tcPr>
            <w:tcW w:w="492" w:type="dxa"/>
            <w:vMerge w:val="restart"/>
            <w:tcBorders>
              <w:right w:val="single" w:sz="2" w:space="0" w:color="000000"/>
            </w:tcBorders>
          </w:tcPr>
          <w:p w:rsidR="004E2E96" w:rsidRDefault="009F1B4C">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4E2E96" w:rsidRDefault="009F1B4C">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4E2E96" w:rsidRDefault="009F1B4C">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4E2E96" w:rsidRDefault="009F1B4C">
            <w:pPr>
              <w:pStyle w:val="TableParagraph"/>
              <w:spacing w:before="0" w:line="264" w:lineRule="auto"/>
              <w:rPr>
                <w:sz w:val="20"/>
              </w:rPr>
            </w:pPr>
            <w:r>
              <w:rPr>
                <w:sz w:val="20"/>
              </w:rPr>
              <w:t>s dokumentem Zadávání VZ v OPŽP, jednal o nabídce, umožnil dodatečné změny nabídky nebo neza</w:t>
            </w:r>
            <w:r>
              <w:rPr>
                <w:sz w:val="20"/>
              </w:rPr>
              <w:t>jistil nezbytnou auditní stopu posouzení nebo hodnocení nabídek</w:t>
            </w:r>
          </w:p>
        </w:tc>
        <w:tc>
          <w:tcPr>
            <w:tcW w:w="3188" w:type="dxa"/>
            <w:tcBorders>
              <w:left w:val="single" w:sz="2" w:space="0" w:color="000000"/>
              <w:bottom w:val="single" w:sz="2" w:space="0" w:color="000000"/>
            </w:tcBorders>
          </w:tcPr>
          <w:p w:rsidR="004E2E96" w:rsidRDefault="009F1B4C">
            <w:pPr>
              <w:pStyle w:val="TableParagraph"/>
              <w:spacing w:before="83"/>
              <w:ind w:left="103"/>
              <w:rPr>
                <w:sz w:val="20"/>
              </w:rPr>
            </w:pPr>
            <w:r>
              <w:rPr>
                <w:sz w:val="20"/>
              </w:rPr>
              <w:t>25 %</w:t>
            </w:r>
          </w:p>
        </w:tc>
      </w:tr>
      <w:tr w:rsidR="004E2E96">
        <w:trPr>
          <w:trHeight w:hRule="exact" w:val="2635"/>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5 % nebo 10 % dle závažnosti porušení</w:t>
            </w:r>
          </w:p>
        </w:tc>
      </w:tr>
      <w:tr w:rsidR="004E2E96">
        <w:trPr>
          <w:trHeight w:hRule="exact" w:val="1693"/>
        </w:trPr>
        <w:tc>
          <w:tcPr>
            <w:tcW w:w="492" w:type="dxa"/>
            <w:tcBorders>
              <w:top w:val="single" w:sz="2" w:space="0" w:color="000000"/>
              <w:bottom w:val="single" w:sz="2" w:space="0" w:color="000000"/>
              <w:right w:val="single" w:sz="2" w:space="0" w:color="000000"/>
            </w:tcBorders>
          </w:tcPr>
          <w:p w:rsidR="004E2E96" w:rsidRDefault="009F1B4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4E2E96" w:rsidRDefault="009F1B4C">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25 %</w:t>
            </w:r>
          </w:p>
        </w:tc>
      </w:tr>
      <w:tr w:rsidR="004E2E96">
        <w:trPr>
          <w:trHeight w:hRule="exact" w:val="526"/>
        </w:trPr>
        <w:tc>
          <w:tcPr>
            <w:tcW w:w="492" w:type="dxa"/>
            <w:vMerge w:val="restart"/>
            <w:tcBorders>
              <w:top w:val="single" w:sz="2" w:space="0" w:color="000000"/>
              <w:right w:val="single" w:sz="2" w:space="0" w:color="000000"/>
            </w:tcBorders>
          </w:tcPr>
          <w:p w:rsidR="004E2E96" w:rsidRDefault="009F1B4C">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w:t>
            </w:r>
            <w:r>
              <w:rPr>
                <w:sz w:val="20"/>
              </w:rPr>
              <w:t>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8"/>
              <w:ind w:left="103"/>
              <w:rPr>
                <w:sz w:val="20"/>
              </w:rPr>
            </w:pPr>
            <w:r>
              <w:rPr>
                <w:sz w:val="20"/>
              </w:rPr>
              <w:t>25 %</w:t>
            </w:r>
          </w:p>
        </w:tc>
      </w:tr>
      <w:tr w:rsidR="004E2E96">
        <w:trPr>
          <w:trHeight w:hRule="exact" w:val="3219"/>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5 % nebo 10 % dle závažnosti porušení</w:t>
            </w:r>
          </w:p>
        </w:tc>
      </w:tr>
      <w:tr w:rsidR="004E2E96">
        <w:trPr>
          <w:trHeight w:hRule="exact" w:val="2571"/>
        </w:trPr>
        <w:tc>
          <w:tcPr>
            <w:tcW w:w="492" w:type="dxa"/>
            <w:tcBorders>
              <w:top w:val="single" w:sz="2" w:space="0" w:color="000000"/>
              <w:bottom w:val="single" w:sz="2" w:space="0" w:color="000000"/>
              <w:right w:val="single" w:sz="2" w:space="0" w:color="000000"/>
            </w:tcBorders>
          </w:tcPr>
          <w:p w:rsidR="004E2E96" w:rsidRDefault="009F1B4C">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4E2E96" w:rsidRDefault="009F1B4C">
            <w:pPr>
              <w:pStyle w:val="TableParagraph"/>
              <w:ind w:left="103"/>
              <w:rPr>
                <w:sz w:val="20"/>
              </w:rPr>
            </w:pPr>
            <w:r>
              <w:rPr>
                <w:sz w:val="20"/>
              </w:rPr>
              <w:t>100 %</w:t>
            </w:r>
          </w:p>
        </w:tc>
      </w:tr>
      <w:tr w:rsidR="004E2E96">
        <w:trPr>
          <w:trHeight w:hRule="exact" w:val="1709"/>
        </w:trPr>
        <w:tc>
          <w:tcPr>
            <w:tcW w:w="492" w:type="dxa"/>
            <w:tcBorders>
              <w:top w:val="single" w:sz="2" w:space="0" w:color="000000"/>
              <w:right w:val="single" w:sz="2" w:space="0" w:color="000000"/>
            </w:tcBorders>
          </w:tcPr>
          <w:p w:rsidR="004E2E96" w:rsidRDefault="009F1B4C">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4E2E96" w:rsidRDefault="009F1B4C">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4E2E96" w:rsidRDefault="009F1B4C">
            <w:pPr>
              <w:pStyle w:val="TableParagraph"/>
              <w:spacing w:before="108" w:line="264" w:lineRule="auto"/>
              <w:ind w:right="689"/>
              <w:jc w:val="both"/>
              <w:rPr>
                <w:sz w:val="20"/>
              </w:rPr>
            </w:pPr>
            <w:r>
              <w:rPr>
                <w:sz w:val="20"/>
              </w:rPr>
              <w:t>Zadavatel umožnil podstatnou změnu závazku ze smlouvy na veřejnou zakázku nebo práv</w:t>
            </w:r>
          </w:p>
          <w:p w:rsidR="004E2E96" w:rsidRDefault="009F1B4C">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4E2E96" w:rsidRDefault="009F1B4C">
            <w:pPr>
              <w:pStyle w:val="TableParagraph"/>
              <w:spacing w:before="108" w:line="264" w:lineRule="auto"/>
              <w:ind w:left="103" w:right="533"/>
              <w:rPr>
                <w:sz w:val="20"/>
              </w:rPr>
            </w:pPr>
            <w:r>
              <w:rPr>
                <w:sz w:val="20"/>
              </w:rPr>
              <w:t>25 % z ceny původní veřejné zakázky</w:t>
            </w:r>
          </w:p>
          <w:p w:rsidR="004E2E96" w:rsidRDefault="009F1B4C">
            <w:pPr>
              <w:pStyle w:val="TableParagraph"/>
              <w:spacing w:before="117"/>
              <w:ind w:left="103"/>
              <w:rPr>
                <w:sz w:val="20"/>
              </w:rPr>
            </w:pPr>
            <w:r>
              <w:rPr>
                <w:sz w:val="20"/>
              </w:rPr>
              <w:t>a dále</w:t>
            </w:r>
          </w:p>
        </w:tc>
      </w:tr>
    </w:tbl>
    <w:p w:rsidR="004E2E96" w:rsidRDefault="004E2E96">
      <w:pPr>
        <w:rPr>
          <w:sz w:val="20"/>
        </w:rPr>
        <w:sectPr w:rsidR="004E2E9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4E2E96">
        <w:trPr>
          <w:trHeight w:hRule="exact" w:val="548"/>
        </w:trPr>
        <w:tc>
          <w:tcPr>
            <w:tcW w:w="492" w:type="dxa"/>
            <w:tcBorders>
              <w:right w:val="single" w:sz="2" w:space="0" w:color="000000"/>
            </w:tcBorders>
            <w:shd w:val="clear" w:color="auto" w:fill="F1F1F1"/>
          </w:tcPr>
          <w:p w:rsidR="004E2E96" w:rsidRDefault="009F1B4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4E2E96" w:rsidRDefault="009F1B4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4E2E96" w:rsidRDefault="009F1B4C">
            <w:pPr>
              <w:pStyle w:val="TableParagraph"/>
              <w:spacing w:before="108"/>
              <w:ind w:left="103"/>
              <w:rPr>
                <w:b/>
                <w:sz w:val="20"/>
              </w:rPr>
            </w:pPr>
            <w:r>
              <w:rPr>
                <w:b/>
                <w:sz w:val="20"/>
              </w:rPr>
              <w:t>Sazba finanční opravy</w:t>
            </w:r>
          </w:p>
        </w:tc>
      </w:tr>
      <w:tr w:rsidR="004E2E96">
        <w:trPr>
          <w:trHeight w:hRule="exact" w:val="1125"/>
        </w:trPr>
        <w:tc>
          <w:tcPr>
            <w:tcW w:w="492" w:type="dxa"/>
            <w:tcBorders>
              <w:bottom w:val="single" w:sz="2" w:space="0" w:color="000000"/>
              <w:right w:val="single" w:sz="2" w:space="0" w:color="000000"/>
            </w:tcBorders>
          </w:tcPr>
          <w:p w:rsidR="004E2E96" w:rsidRDefault="004E2E96"/>
        </w:tc>
        <w:tc>
          <w:tcPr>
            <w:tcW w:w="2211" w:type="dxa"/>
            <w:tcBorders>
              <w:left w:val="single" w:sz="2" w:space="0" w:color="000000"/>
              <w:bottom w:val="single" w:sz="2" w:space="0" w:color="000000"/>
              <w:right w:val="single" w:sz="2" w:space="0" w:color="000000"/>
            </w:tcBorders>
          </w:tcPr>
          <w:p w:rsidR="004E2E96" w:rsidRDefault="004E2E96"/>
        </w:tc>
        <w:tc>
          <w:tcPr>
            <w:tcW w:w="3485" w:type="dxa"/>
            <w:tcBorders>
              <w:left w:val="single" w:sz="2" w:space="0" w:color="000000"/>
              <w:bottom w:val="single" w:sz="2" w:space="0" w:color="000000"/>
              <w:right w:val="single" w:sz="2" w:space="0" w:color="000000"/>
            </w:tcBorders>
          </w:tcPr>
          <w:p w:rsidR="004E2E96" w:rsidRDefault="009F1B4C">
            <w:pPr>
              <w:pStyle w:val="TableParagraph"/>
              <w:spacing w:before="109"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4E2E96" w:rsidRDefault="009F1B4C">
            <w:pPr>
              <w:pStyle w:val="TableParagraph"/>
              <w:spacing w:before="109" w:line="264" w:lineRule="auto"/>
              <w:ind w:left="103" w:right="353"/>
              <w:rPr>
                <w:sz w:val="20"/>
              </w:rPr>
            </w:pPr>
            <w:r>
              <w:rPr>
                <w:sz w:val="20"/>
              </w:rPr>
              <w:t>100 % částky, o kterou byla případně zvýšena cena veřejné zakázky</w:t>
            </w:r>
          </w:p>
        </w:tc>
      </w:tr>
      <w:tr w:rsidR="004E2E96">
        <w:trPr>
          <w:trHeight w:hRule="exact" w:val="2278"/>
        </w:trPr>
        <w:tc>
          <w:tcPr>
            <w:tcW w:w="492" w:type="dxa"/>
            <w:tcBorders>
              <w:top w:val="single" w:sz="2" w:space="0" w:color="000000"/>
              <w:bottom w:val="single" w:sz="2" w:space="0" w:color="000000"/>
              <w:right w:val="single" w:sz="2" w:space="0" w:color="000000"/>
            </w:tcBorders>
          </w:tcPr>
          <w:p w:rsidR="004E2E96" w:rsidRDefault="009F1B4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4E2E96" w:rsidRDefault="009F1B4C">
            <w:pPr>
              <w:pStyle w:val="TableParagraph"/>
              <w:spacing w:line="264" w:lineRule="auto"/>
              <w:rPr>
                <w:sz w:val="20"/>
              </w:rPr>
            </w:pPr>
            <w:r>
              <w:rPr>
                <w:sz w:val="20"/>
              </w:rPr>
              <w:t>Zadavatel umožnil podstatné zúžení rozsahu plnění veřejné zakázky</w:t>
            </w:r>
          </w:p>
          <w:p w:rsidR="004E2E96" w:rsidRDefault="009F1B4C">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Pr>
                <w:sz w:val="20"/>
              </w:rPr>
            </w:pPr>
            <w:r>
              <w:rPr>
                <w:sz w:val="20"/>
              </w:rPr>
              <w:t>25 % z ceny veřejné zakázky po zúžení rozsahu plnění</w:t>
            </w:r>
          </w:p>
          <w:p w:rsidR="004E2E96" w:rsidRDefault="009F1B4C">
            <w:pPr>
              <w:pStyle w:val="TableParagraph"/>
              <w:spacing w:before="120"/>
              <w:ind w:left="103"/>
              <w:rPr>
                <w:sz w:val="20"/>
              </w:rPr>
            </w:pPr>
            <w:r>
              <w:rPr>
                <w:sz w:val="20"/>
              </w:rPr>
              <w:t>a dále</w:t>
            </w:r>
          </w:p>
          <w:p w:rsidR="004E2E96" w:rsidRDefault="009F1B4C">
            <w:pPr>
              <w:pStyle w:val="TableParagraph"/>
              <w:spacing w:before="144" w:line="264" w:lineRule="auto"/>
              <w:ind w:left="103" w:right="96"/>
              <w:rPr>
                <w:sz w:val="20"/>
              </w:rPr>
            </w:pPr>
            <w:r>
              <w:rPr>
                <w:sz w:val="20"/>
              </w:rPr>
              <w:t>100 % částky, o kterou byla snížena cena veřejné zakázky</w:t>
            </w:r>
          </w:p>
        </w:tc>
      </w:tr>
      <w:tr w:rsidR="004E2E96">
        <w:trPr>
          <w:trHeight w:hRule="exact" w:val="1109"/>
        </w:trPr>
        <w:tc>
          <w:tcPr>
            <w:tcW w:w="492" w:type="dxa"/>
            <w:vMerge w:val="restart"/>
            <w:tcBorders>
              <w:top w:val="single" w:sz="2" w:space="0" w:color="000000"/>
              <w:right w:val="single" w:sz="2" w:space="0" w:color="000000"/>
            </w:tcBorders>
          </w:tcPr>
          <w:p w:rsidR="004E2E96" w:rsidRDefault="009F1B4C">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4E2E96" w:rsidRDefault="009F1B4C">
            <w:pPr>
              <w:pStyle w:val="TableParagraph"/>
              <w:spacing w:before="0" w:line="264" w:lineRule="auto"/>
              <w:rPr>
                <w:sz w:val="20"/>
              </w:rPr>
            </w:pPr>
            <w:r>
              <w:rPr>
                <w:sz w:val="20"/>
              </w:rPr>
              <w:t>k provedení dodatečných stavebních prací, služeb nebo dodávek, aniž by pro t</w:t>
            </w:r>
            <w:r>
              <w:rPr>
                <w:sz w:val="20"/>
              </w:rPr>
              <w: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6" w:line="264" w:lineRule="auto"/>
              <w:ind w:left="103"/>
              <w:rPr>
                <w:sz w:val="20"/>
              </w:rPr>
            </w:pPr>
            <w:r>
              <w:rPr>
                <w:sz w:val="20"/>
              </w:rPr>
              <w:t>100 % hodnoty dodatečných stavebních prací, dodávek nebo služeb</w:t>
            </w:r>
          </w:p>
        </w:tc>
      </w:tr>
      <w:tr w:rsidR="004E2E96">
        <w:trPr>
          <w:trHeight w:hRule="exact" w:val="2573"/>
        </w:trPr>
        <w:tc>
          <w:tcPr>
            <w:tcW w:w="492" w:type="dxa"/>
            <w:vMerge/>
            <w:tcBorders>
              <w:bottom w:val="single" w:sz="2" w:space="0" w:color="000000"/>
              <w:right w:val="single" w:sz="2" w:space="0" w:color="000000"/>
            </w:tcBorders>
          </w:tcPr>
          <w:p w:rsidR="004E2E96" w:rsidRDefault="004E2E96"/>
        </w:tc>
        <w:tc>
          <w:tcPr>
            <w:tcW w:w="2211" w:type="dxa"/>
            <w:vMerge/>
            <w:tcBorders>
              <w:left w:val="single" w:sz="2" w:space="0" w:color="000000"/>
              <w:bottom w:val="single" w:sz="2" w:space="0" w:color="000000"/>
              <w:right w:val="single" w:sz="2" w:space="0" w:color="000000"/>
            </w:tcBorders>
          </w:tcPr>
          <w:p w:rsidR="004E2E96" w:rsidRDefault="004E2E96"/>
        </w:tc>
        <w:tc>
          <w:tcPr>
            <w:tcW w:w="3485" w:type="dxa"/>
            <w:vMerge/>
            <w:tcBorders>
              <w:left w:val="single" w:sz="2" w:space="0" w:color="000000"/>
              <w:bottom w:val="single" w:sz="2" w:space="0" w:color="000000"/>
              <w:right w:val="single" w:sz="2" w:space="0" w:color="000000"/>
            </w:tcBorders>
          </w:tcPr>
          <w:p w:rsidR="004E2E96" w:rsidRDefault="004E2E96"/>
        </w:tc>
        <w:tc>
          <w:tcPr>
            <w:tcW w:w="3188" w:type="dxa"/>
            <w:tcBorders>
              <w:top w:val="single" w:sz="2" w:space="0" w:color="000000"/>
              <w:left w:val="single" w:sz="2" w:space="0" w:color="000000"/>
              <w:bottom w:val="single" w:sz="2" w:space="0" w:color="000000"/>
            </w:tcBorders>
          </w:tcPr>
          <w:p w:rsidR="004E2E96" w:rsidRDefault="009F1B4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E2E96">
        <w:trPr>
          <w:trHeight w:hRule="exact" w:val="524"/>
        </w:trPr>
        <w:tc>
          <w:tcPr>
            <w:tcW w:w="492" w:type="dxa"/>
            <w:vMerge w:val="restart"/>
            <w:tcBorders>
              <w:top w:val="single" w:sz="2" w:space="0" w:color="000000"/>
              <w:right w:val="single" w:sz="2" w:space="0" w:color="000000"/>
            </w:tcBorders>
          </w:tcPr>
          <w:p w:rsidR="004E2E96" w:rsidRDefault="009F1B4C">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4E2E96" w:rsidRDefault="009F1B4C">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4E2E96" w:rsidRDefault="009F1B4C">
            <w:pPr>
              <w:pStyle w:val="TableParagraph"/>
              <w:spacing w:before="106" w:line="264" w:lineRule="auto"/>
              <w:ind w:right="87"/>
              <w:rPr>
                <w:sz w:val="20"/>
              </w:rPr>
            </w:pPr>
            <w:r>
              <w:rPr>
                <w:sz w:val="20"/>
              </w:rPr>
              <w:t>Zadavatel se dopustil jin</w:t>
            </w:r>
            <w:r>
              <w:rPr>
                <w:sz w:val="20"/>
              </w:rPr>
              <w:t>ého než výše uvedeného porušení, které mělo nebo mohlo mít vliv na výběr dodavatele, nebo které znemožnilo ověření souladu jeho postupu s čl.</w:t>
            </w:r>
          </w:p>
          <w:p w:rsidR="004E2E96" w:rsidRDefault="009F1B4C">
            <w:pPr>
              <w:pStyle w:val="TableParagraph"/>
              <w:spacing w:before="0" w:line="264" w:lineRule="auto"/>
              <w:ind w:right="450"/>
              <w:rPr>
                <w:sz w:val="20"/>
              </w:rPr>
            </w:pPr>
            <w:r>
              <w:rPr>
                <w:sz w:val="20"/>
              </w:rPr>
              <w:t>IV. bodem 2) písm. j) Smlouvy, včetně neuchování dokumentace</w:t>
            </w:r>
          </w:p>
          <w:p w:rsidR="004E2E96" w:rsidRDefault="009F1B4C">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4E2E96" w:rsidRDefault="009F1B4C">
            <w:pPr>
              <w:pStyle w:val="TableParagraph"/>
              <w:spacing w:before="106"/>
              <w:ind w:left="103"/>
              <w:rPr>
                <w:sz w:val="20"/>
              </w:rPr>
            </w:pPr>
            <w:r>
              <w:rPr>
                <w:sz w:val="20"/>
              </w:rPr>
              <w:t>25 %</w:t>
            </w:r>
          </w:p>
        </w:tc>
      </w:tr>
      <w:tr w:rsidR="004E2E96">
        <w:trPr>
          <w:trHeight w:hRule="exact" w:val="2354"/>
        </w:trPr>
        <w:tc>
          <w:tcPr>
            <w:tcW w:w="492" w:type="dxa"/>
            <w:vMerge/>
            <w:tcBorders>
              <w:right w:val="single" w:sz="2" w:space="0" w:color="000000"/>
            </w:tcBorders>
          </w:tcPr>
          <w:p w:rsidR="004E2E96" w:rsidRDefault="004E2E96"/>
        </w:tc>
        <w:tc>
          <w:tcPr>
            <w:tcW w:w="2211" w:type="dxa"/>
            <w:vMerge/>
            <w:tcBorders>
              <w:left w:val="single" w:sz="2" w:space="0" w:color="000000"/>
              <w:right w:val="single" w:sz="2" w:space="0" w:color="000000"/>
            </w:tcBorders>
          </w:tcPr>
          <w:p w:rsidR="004E2E96" w:rsidRDefault="004E2E96"/>
        </w:tc>
        <w:tc>
          <w:tcPr>
            <w:tcW w:w="3485" w:type="dxa"/>
            <w:vMerge/>
            <w:tcBorders>
              <w:left w:val="single" w:sz="2" w:space="0" w:color="000000"/>
              <w:right w:val="single" w:sz="2" w:space="0" w:color="000000"/>
            </w:tcBorders>
          </w:tcPr>
          <w:p w:rsidR="004E2E96" w:rsidRDefault="004E2E96"/>
        </w:tc>
        <w:tc>
          <w:tcPr>
            <w:tcW w:w="3188" w:type="dxa"/>
            <w:tcBorders>
              <w:top w:val="single" w:sz="2" w:space="0" w:color="000000"/>
              <w:left w:val="single" w:sz="2" w:space="0" w:color="000000"/>
            </w:tcBorders>
          </w:tcPr>
          <w:p w:rsidR="004E2E96" w:rsidRDefault="009F1B4C">
            <w:pPr>
              <w:pStyle w:val="TableParagraph"/>
              <w:spacing w:line="264" w:lineRule="auto"/>
              <w:ind w:left="103"/>
              <w:rPr>
                <w:sz w:val="20"/>
              </w:rPr>
            </w:pPr>
            <w:r>
              <w:rPr>
                <w:sz w:val="20"/>
              </w:rPr>
              <w:t>2 % nebo 5 % nebo 10 % dle závažnosti porušení</w:t>
            </w:r>
          </w:p>
        </w:tc>
      </w:tr>
    </w:tbl>
    <w:p w:rsidR="009F1B4C" w:rsidRDefault="009F1B4C"/>
    <w:sectPr w:rsidR="009F1B4C">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4C" w:rsidRDefault="009F1B4C">
      <w:r>
        <w:separator/>
      </w:r>
    </w:p>
  </w:endnote>
  <w:endnote w:type="continuationSeparator" w:id="0">
    <w:p w:rsidR="009F1B4C" w:rsidRDefault="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96" w:rsidRDefault="009F1B4C">
    <w:pPr>
      <w:pStyle w:val="Zkladntext"/>
      <w:spacing w:line="14" w:lineRule="auto"/>
      <w:ind w:left="0" w:firstLine="0"/>
      <w:rPr>
        <w:sz w:val="16"/>
      </w:rPr>
    </w:pPr>
    <w:r>
      <w:pict>
        <v:shapetype id="_x0000_t202" coordsize="21600,21600" o:spt="202" path="m,l,21600r21600,l21600,xe">
          <v:stroke joinstyle="miter"/>
          <v:path gradientshapeok="t" o:connecttype="rect"/>
        </v:shapetype>
        <v:shape id="_x0000_s2049" type="#_x0000_t202" style="position:absolute;margin-left:313.3pt;margin-top:732.9pt;width:14.1pt;height:13.05pt;z-index:-251658752;mso-position-horizontal-relative:page;mso-position-vertical-relative:page" filled="f" stroked="f">
          <v:textbox inset="0,0,0,0">
            <w:txbxContent>
              <w:p w:rsidR="004E2E96" w:rsidRDefault="009F1B4C">
                <w:pPr>
                  <w:pStyle w:val="Zkladntext"/>
                  <w:spacing w:before="10"/>
                  <w:ind w:left="40" w:firstLine="0"/>
                  <w:rPr>
                    <w:rFonts w:ascii="Times New Roman"/>
                  </w:rPr>
                </w:pPr>
                <w:r>
                  <w:fldChar w:fldCharType="begin"/>
                </w:r>
                <w:r>
                  <w:rPr>
                    <w:rFonts w:ascii="Times New Roman"/>
                  </w:rPr>
                  <w:instrText xml:space="preserve"> PAGE </w:instrText>
                </w:r>
                <w:r>
                  <w:fldChar w:fldCharType="separate"/>
                </w:r>
                <w:r w:rsidR="00247D96">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4C" w:rsidRDefault="009F1B4C">
      <w:r>
        <w:separator/>
      </w:r>
    </w:p>
  </w:footnote>
  <w:footnote w:type="continuationSeparator" w:id="0">
    <w:p w:rsidR="009F1B4C" w:rsidRDefault="009F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481B"/>
    <w:multiLevelType w:val="hybridMultilevel"/>
    <w:tmpl w:val="D47AC3DE"/>
    <w:lvl w:ilvl="0" w:tplc="CF826A46">
      <w:start w:val="1"/>
      <w:numFmt w:val="decimal"/>
      <w:lvlText w:val="%1)"/>
      <w:lvlJc w:val="left"/>
      <w:pPr>
        <w:ind w:left="385" w:hanging="284"/>
        <w:jc w:val="left"/>
      </w:pPr>
      <w:rPr>
        <w:rFonts w:ascii="Segoe UI" w:eastAsia="Segoe UI" w:hAnsi="Segoe UI" w:cs="Segoe UI" w:hint="default"/>
        <w:w w:val="99"/>
        <w:sz w:val="20"/>
        <w:szCs w:val="20"/>
      </w:rPr>
    </w:lvl>
    <w:lvl w:ilvl="1" w:tplc="827A0A4A">
      <w:numFmt w:val="bullet"/>
      <w:lvlText w:val="•"/>
      <w:lvlJc w:val="left"/>
      <w:pPr>
        <w:ind w:left="1304" w:hanging="284"/>
      </w:pPr>
      <w:rPr>
        <w:rFonts w:hint="default"/>
      </w:rPr>
    </w:lvl>
    <w:lvl w:ilvl="2" w:tplc="375ACCDC">
      <w:numFmt w:val="bullet"/>
      <w:lvlText w:val="•"/>
      <w:lvlJc w:val="left"/>
      <w:pPr>
        <w:ind w:left="2228" w:hanging="284"/>
      </w:pPr>
      <w:rPr>
        <w:rFonts w:hint="default"/>
      </w:rPr>
    </w:lvl>
    <w:lvl w:ilvl="3" w:tplc="AB6823A2">
      <w:numFmt w:val="bullet"/>
      <w:lvlText w:val="•"/>
      <w:lvlJc w:val="left"/>
      <w:pPr>
        <w:ind w:left="3152" w:hanging="284"/>
      </w:pPr>
      <w:rPr>
        <w:rFonts w:hint="default"/>
      </w:rPr>
    </w:lvl>
    <w:lvl w:ilvl="4" w:tplc="71AC6722">
      <w:numFmt w:val="bullet"/>
      <w:lvlText w:val="•"/>
      <w:lvlJc w:val="left"/>
      <w:pPr>
        <w:ind w:left="4076" w:hanging="284"/>
      </w:pPr>
      <w:rPr>
        <w:rFonts w:hint="default"/>
      </w:rPr>
    </w:lvl>
    <w:lvl w:ilvl="5" w:tplc="FE244AA4">
      <w:numFmt w:val="bullet"/>
      <w:lvlText w:val="•"/>
      <w:lvlJc w:val="left"/>
      <w:pPr>
        <w:ind w:left="5000" w:hanging="284"/>
      </w:pPr>
      <w:rPr>
        <w:rFonts w:hint="default"/>
      </w:rPr>
    </w:lvl>
    <w:lvl w:ilvl="6" w:tplc="E8406EBA">
      <w:numFmt w:val="bullet"/>
      <w:lvlText w:val="•"/>
      <w:lvlJc w:val="left"/>
      <w:pPr>
        <w:ind w:left="5924" w:hanging="284"/>
      </w:pPr>
      <w:rPr>
        <w:rFonts w:hint="default"/>
      </w:rPr>
    </w:lvl>
    <w:lvl w:ilvl="7" w:tplc="555C3C26">
      <w:numFmt w:val="bullet"/>
      <w:lvlText w:val="•"/>
      <w:lvlJc w:val="left"/>
      <w:pPr>
        <w:ind w:left="6848" w:hanging="284"/>
      </w:pPr>
      <w:rPr>
        <w:rFonts w:hint="default"/>
      </w:rPr>
    </w:lvl>
    <w:lvl w:ilvl="8" w:tplc="D77C567C">
      <w:numFmt w:val="bullet"/>
      <w:lvlText w:val="•"/>
      <w:lvlJc w:val="left"/>
      <w:pPr>
        <w:ind w:left="7772" w:hanging="284"/>
      </w:pPr>
      <w:rPr>
        <w:rFonts w:hint="default"/>
      </w:rPr>
    </w:lvl>
  </w:abstractNum>
  <w:abstractNum w:abstractNumId="1" w15:restartNumberingAfterBreak="0">
    <w:nsid w:val="30CE79A8"/>
    <w:multiLevelType w:val="hybridMultilevel"/>
    <w:tmpl w:val="EA08FB16"/>
    <w:lvl w:ilvl="0" w:tplc="2B769B58">
      <w:start w:val="1"/>
      <w:numFmt w:val="decimal"/>
      <w:lvlText w:val="%1)"/>
      <w:lvlJc w:val="left"/>
      <w:pPr>
        <w:ind w:left="385" w:hanging="284"/>
        <w:jc w:val="left"/>
      </w:pPr>
      <w:rPr>
        <w:rFonts w:ascii="Segoe UI" w:eastAsia="Segoe UI" w:hAnsi="Segoe UI" w:cs="Segoe UI" w:hint="default"/>
        <w:w w:val="99"/>
        <w:sz w:val="20"/>
        <w:szCs w:val="20"/>
      </w:rPr>
    </w:lvl>
    <w:lvl w:ilvl="1" w:tplc="2DB61FB4">
      <w:numFmt w:val="bullet"/>
      <w:lvlText w:val="•"/>
      <w:lvlJc w:val="left"/>
      <w:pPr>
        <w:ind w:left="1304" w:hanging="284"/>
      </w:pPr>
      <w:rPr>
        <w:rFonts w:hint="default"/>
      </w:rPr>
    </w:lvl>
    <w:lvl w:ilvl="2" w:tplc="BEA2E3A8">
      <w:numFmt w:val="bullet"/>
      <w:lvlText w:val="•"/>
      <w:lvlJc w:val="left"/>
      <w:pPr>
        <w:ind w:left="2228" w:hanging="284"/>
      </w:pPr>
      <w:rPr>
        <w:rFonts w:hint="default"/>
      </w:rPr>
    </w:lvl>
    <w:lvl w:ilvl="3" w:tplc="4E22C1DA">
      <w:numFmt w:val="bullet"/>
      <w:lvlText w:val="•"/>
      <w:lvlJc w:val="left"/>
      <w:pPr>
        <w:ind w:left="3152" w:hanging="284"/>
      </w:pPr>
      <w:rPr>
        <w:rFonts w:hint="default"/>
      </w:rPr>
    </w:lvl>
    <w:lvl w:ilvl="4" w:tplc="846480A4">
      <w:numFmt w:val="bullet"/>
      <w:lvlText w:val="•"/>
      <w:lvlJc w:val="left"/>
      <w:pPr>
        <w:ind w:left="4076" w:hanging="284"/>
      </w:pPr>
      <w:rPr>
        <w:rFonts w:hint="default"/>
      </w:rPr>
    </w:lvl>
    <w:lvl w:ilvl="5" w:tplc="814A53B6">
      <w:numFmt w:val="bullet"/>
      <w:lvlText w:val="•"/>
      <w:lvlJc w:val="left"/>
      <w:pPr>
        <w:ind w:left="5000" w:hanging="284"/>
      </w:pPr>
      <w:rPr>
        <w:rFonts w:hint="default"/>
      </w:rPr>
    </w:lvl>
    <w:lvl w:ilvl="6" w:tplc="E95E63D8">
      <w:numFmt w:val="bullet"/>
      <w:lvlText w:val="•"/>
      <w:lvlJc w:val="left"/>
      <w:pPr>
        <w:ind w:left="5924" w:hanging="284"/>
      </w:pPr>
      <w:rPr>
        <w:rFonts w:hint="default"/>
      </w:rPr>
    </w:lvl>
    <w:lvl w:ilvl="7" w:tplc="D44ADD36">
      <w:numFmt w:val="bullet"/>
      <w:lvlText w:val="•"/>
      <w:lvlJc w:val="left"/>
      <w:pPr>
        <w:ind w:left="6848" w:hanging="284"/>
      </w:pPr>
      <w:rPr>
        <w:rFonts w:hint="default"/>
      </w:rPr>
    </w:lvl>
    <w:lvl w:ilvl="8" w:tplc="EE782446">
      <w:numFmt w:val="bullet"/>
      <w:lvlText w:val="•"/>
      <w:lvlJc w:val="left"/>
      <w:pPr>
        <w:ind w:left="7772" w:hanging="284"/>
      </w:pPr>
      <w:rPr>
        <w:rFonts w:hint="default"/>
      </w:rPr>
    </w:lvl>
  </w:abstractNum>
  <w:abstractNum w:abstractNumId="2" w15:restartNumberingAfterBreak="0">
    <w:nsid w:val="351235FD"/>
    <w:multiLevelType w:val="hybridMultilevel"/>
    <w:tmpl w:val="E736A5B0"/>
    <w:lvl w:ilvl="0" w:tplc="C2F82D38">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4A865CDC">
      <w:numFmt w:val="bullet"/>
      <w:lvlText w:val="•"/>
      <w:lvlJc w:val="left"/>
      <w:pPr>
        <w:ind w:left="1444" w:hanging="284"/>
      </w:pPr>
      <w:rPr>
        <w:rFonts w:hint="default"/>
      </w:rPr>
    </w:lvl>
    <w:lvl w:ilvl="2" w:tplc="DA44FA08">
      <w:numFmt w:val="bullet"/>
      <w:lvlText w:val="•"/>
      <w:lvlJc w:val="left"/>
      <w:pPr>
        <w:ind w:left="2368" w:hanging="284"/>
      </w:pPr>
      <w:rPr>
        <w:rFonts w:hint="default"/>
      </w:rPr>
    </w:lvl>
    <w:lvl w:ilvl="3" w:tplc="B32663D2">
      <w:numFmt w:val="bullet"/>
      <w:lvlText w:val="•"/>
      <w:lvlJc w:val="left"/>
      <w:pPr>
        <w:ind w:left="3292" w:hanging="284"/>
      </w:pPr>
      <w:rPr>
        <w:rFonts w:hint="default"/>
      </w:rPr>
    </w:lvl>
    <w:lvl w:ilvl="4" w:tplc="FBDA685C">
      <w:numFmt w:val="bullet"/>
      <w:lvlText w:val="•"/>
      <w:lvlJc w:val="left"/>
      <w:pPr>
        <w:ind w:left="4216" w:hanging="284"/>
      </w:pPr>
      <w:rPr>
        <w:rFonts w:hint="default"/>
      </w:rPr>
    </w:lvl>
    <w:lvl w:ilvl="5" w:tplc="FAA8BEBA">
      <w:numFmt w:val="bullet"/>
      <w:lvlText w:val="•"/>
      <w:lvlJc w:val="left"/>
      <w:pPr>
        <w:ind w:left="5140" w:hanging="284"/>
      </w:pPr>
      <w:rPr>
        <w:rFonts w:hint="default"/>
      </w:rPr>
    </w:lvl>
    <w:lvl w:ilvl="6" w:tplc="7238690C">
      <w:numFmt w:val="bullet"/>
      <w:lvlText w:val="•"/>
      <w:lvlJc w:val="left"/>
      <w:pPr>
        <w:ind w:left="6064" w:hanging="284"/>
      </w:pPr>
      <w:rPr>
        <w:rFonts w:hint="default"/>
      </w:rPr>
    </w:lvl>
    <w:lvl w:ilvl="7" w:tplc="62CE0FB0">
      <w:numFmt w:val="bullet"/>
      <w:lvlText w:val="•"/>
      <w:lvlJc w:val="left"/>
      <w:pPr>
        <w:ind w:left="6988" w:hanging="284"/>
      </w:pPr>
      <w:rPr>
        <w:rFonts w:hint="default"/>
      </w:rPr>
    </w:lvl>
    <w:lvl w:ilvl="8" w:tplc="31641A98">
      <w:numFmt w:val="bullet"/>
      <w:lvlText w:val="•"/>
      <w:lvlJc w:val="left"/>
      <w:pPr>
        <w:ind w:left="7912" w:hanging="284"/>
      </w:pPr>
      <w:rPr>
        <w:rFonts w:hint="default"/>
      </w:rPr>
    </w:lvl>
  </w:abstractNum>
  <w:abstractNum w:abstractNumId="3" w15:restartNumberingAfterBreak="0">
    <w:nsid w:val="39C0308B"/>
    <w:multiLevelType w:val="hybridMultilevel"/>
    <w:tmpl w:val="F1B2CAB6"/>
    <w:lvl w:ilvl="0" w:tplc="419682A6">
      <w:start w:val="1"/>
      <w:numFmt w:val="decimal"/>
      <w:lvlText w:val="%1)"/>
      <w:lvlJc w:val="left"/>
      <w:pPr>
        <w:ind w:left="465" w:hanging="224"/>
        <w:jc w:val="right"/>
      </w:pPr>
      <w:rPr>
        <w:rFonts w:ascii="Segoe UI" w:eastAsia="Segoe UI" w:hAnsi="Segoe UI" w:cs="Segoe UI" w:hint="default"/>
        <w:w w:val="99"/>
        <w:sz w:val="20"/>
        <w:szCs w:val="20"/>
      </w:rPr>
    </w:lvl>
    <w:lvl w:ilvl="1" w:tplc="9BF6A024">
      <w:start w:val="1"/>
      <w:numFmt w:val="lowerLetter"/>
      <w:lvlText w:val="%2)"/>
      <w:lvlJc w:val="left"/>
      <w:pPr>
        <w:ind w:left="808" w:hanging="243"/>
        <w:jc w:val="right"/>
      </w:pPr>
      <w:rPr>
        <w:rFonts w:ascii="Segoe UI" w:eastAsia="Segoe UI" w:hAnsi="Segoe UI" w:cs="Segoe UI" w:hint="default"/>
        <w:w w:val="99"/>
        <w:sz w:val="20"/>
        <w:szCs w:val="20"/>
      </w:rPr>
    </w:lvl>
    <w:lvl w:ilvl="2" w:tplc="24A432B6">
      <w:numFmt w:val="bullet"/>
      <w:lvlText w:val="-"/>
      <w:lvlJc w:val="left"/>
      <w:pPr>
        <w:ind w:left="954" w:hanging="286"/>
      </w:pPr>
      <w:rPr>
        <w:rFonts w:ascii="Segoe UI" w:eastAsia="Segoe UI" w:hAnsi="Segoe UI" w:cs="Segoe UI" w:hint="default"/>
        <w:w w:val="99"/>
        <w:sz w:val="20"/>
        <w:szCs w:val="20"/>
      </w:rPr>
    </w:lvl>
    <w:lvl w:ilvl="3" w:tplc="CBBEED84">
      <w:numFmt w:val="bullet"/>
      <w:lvlText w:val="•"/>
      <w:lvlJc w:val="left"/>
      <w:pPr>
        <w:ind w:left="960" w:hanging="286"/>
      </w:pPr>
      <w:rPr>
        <w:rFonts w:hint="default"/>
      </w:rPr>
    </w:lvl>
    <w:lvl w:ilvl="4" w:tplc="8D50CBE4">
      <w:numFmt w:val="bullet"/>
      <w:lvlText w:val="•"/>
      <w:lvlJc w:val="left"/>
      <w:pPr>
        <w:ind w:left="2197" w:hanging="286"/>
      </w:pPr>
      <w:rPr>
        <w:rFonts w:hint="default"/>
      </w:rPr>
    </w:lvl>
    <w:lvl w:ilvl="5" w:tplc="9842B4AE">
      <w:numFmt w:val="bullet"/>
      <w:lvlText w:val="•"/>
      <w:lvlJc w:val="left"/>
      <w:pPr>
        <w:ind w:left="3434" w:hanging="286"/>
      </w:pPr>
      <w:rPr>
        <w:rFonts w:hint="default"/>
      </w:rPr>
    </w:lvl>
    <w:lvl w:ilvl="6" w:tplc="0C6E2F88">
      <w:numFmt w:val="bullet"/>
      <w:lvlText w:val="•"/>
      <w:lvlJc w:val="left"/>
      <w:pPr>
        <w:ind w:left="4671" w:hanging="286"/>
      </w:pPr>
      <w:rPr>
        <w:rFonts w:hint="default"/>
      </w:rPr>
    </w:lvl>
    <w:lvl w:ilvl="7" w:tplc="BD10BA66">
      <w:numFmt w:val="bullet"/>
      <w:lvlText w:val="•"/>
      <w:lvlJc w:val="left"/>
      <w:pPr>
        <w:ind w:left="5908" w:hanging="286"/>
      </w:pPr>
      <w:rPr>
        <w:rFonts w:hint="default"/>
      </w:rPr>
    </w:lvl>
    <w:lvl w:ilvl="8" w:tplc="52D407B4">
      <w:numFmt w:val="bullet"/>
      <w:lvlText w:val="•"/>
      <w:lvlJc w:val="left"/>
      <w:pPr>
        <w:ind w:left="7145" w:hanging="286"/>
      </w:pPr>
      <w:rPr>
        <w:rFonts w:hint="default"/>
      </w:rPr>
    </w:lvl>
  </w:abstractNum>
  <w:abstractNum w:abstractNumId="4" w15:restartNumberingAfterBreak="0">
    <w:nsid w:val="4D5F681D"/>
    <w:multiLevelType w:val="hybridMultilevel"/>
    <w:tmpl w:val="C9E60720"/>
    <w:lvl w:ilvl="0" w:tplc="BE74F70E">
      <w:start w:val="1"/>
      <w:numFmt w:val="decimal"/>
      <w:lvlText w:val="%1)"/>
      <w:lvlJc w:val="left"/>
      <w:pPr>
        <w:ind w:left="385" w:hanging="284"/>
        <w:jc w:val="right"/>
      </w:pPr>
      <w:rPr>
        <w:rFonts w:ascii="Segoe UI" w:eastAsia="Segoe UI" w:hAnsi="Segoe UI" w:cs="Segoe UI" w:hint="default"/>
        <w:w w:val="99"/>
        <w:sz w:val="20"/>
        <w:szCs w:val="20"/>
      </w:rPr>
    </w:lvl>
    <w:lvl w:ilvl="1" w:tplc="9C4EE5C0">
      <w:numFmt w:val="bullet"/>
      <w:lvlText w:val="•"/>
      <w:lvlJc w:val="left"/>
      <w:pPr>
        <w:ind w:left="520" w:hanging="284"/>
      </w:pPr>
      <w:rPr>
        <w:rFonts w:hint="default"/>
      </w:rPr>
    </w:lvl>
    <w:lvl w:ilvl="2" w:tplc="9BF829DE">
      <w:numFmt w:val="bullet"/>
      <w:lvlText w:val="•"/>
      <w:lvlJc w:val="left"/>
      <w:pPr>
        <w:ind w:left="1531" w:hanging="284"/>
      </w:pPr>
      <w:rPr>
        <w:rFonts w:hint="default"/>
      </w:rPr>
    </w:lvl>
    <w:lvl w:ilvl="3" w:tplc="B7C6ADE6">
      <w:numFmt w:val="bullet"/>
      <w:lvlText w:val="•"/>
      <w:lvlJc w:val="left"/>
      <w:pPr>
        <w:ind w:left="2542" w:hanging="284"/>
      </w:pPr>
      <w:rPr>
        <w:rFonts w:hint="default"/>
      </w:rPr>
    </w:lvl>
    <w:lvl w:ilvl="4" w:tplc="03A8B576">
      <w:numFmt w:val="bullet"/>
      <w:lvlText w:val="•"/>
      <w:lvlJc w:val="left"/>
      <w:pPr>
        <w:ind w:left="3553" w:hanging="284"/>
      </w:pPr>
      <w:rPr>
        <w:rFonts w:hint="default"/>
      </w:rPr>
    </w:lvl>
    <w:lvl w:ilvl="5" w:tplc="DDD275D0">
      <w:numFmt w:val="bullet"/>
      <w:lvlText w:val="•"/>
      <w:lvlJc w:val="left"/>
      <w:pPr>
        <w:ind w:left="4564" w:hanging="284"/>
      </w:pPr>
      <w:rPr>
        <w:rFonts w:hint="default"/>
      </w:rPr>
    </w:lvl>
    <w:lvl w:ilvl="6" w:tplc="235AB4B2">
      <w:numFmt w:val="bullet"/>
      <w:lvlText w:val="•"/>
      <w:lvlJc w:val="left"/>
      <w:pPr>
        <w:ind w:left="5575" w:hanging="284"/>
      </w:pPr>
      <w:rPr>
        <w:rFonts w:hint="default"/>
      </w:rPr>
    </w:lvl>
    <w:lvl w:ilvl="7" w:tplc="C8283976">
      <w:numFmt w:val="bullet"/>
      <w:lvlText w:val="•"/>
      <w:lvlJc w:val="left"/>
      <w:pPr>
        <w:ind w:left="6586" w:hanging="284"/>
      </w:pPr>
      <w:rPr>
        <w:rFonts w:hint="default"/>
      </w:rPr>
    </w:lvl>
    <w:lvl w:ilvl="8" w:tplc="B410562E">
      <w:numFmt w:val="bullet"/>
      <w:lvlText w:val="•"/>
      <w:lvlJc w:val="left"/>
      <w:pPr>
        <w:ind w:left="7597" w:hanging="284"/>
      </w:pPr>
      <w:rPr>
        <w:rFonts w:hint="default"/>
      </w:rPr>
    </w:lvl>
  </w:abstractNum>
  <w:abstractNum w:abstractNumId="5" w15:restartNumberingAfterBreak="0">
    <w:nsid w:val="53E373DB"/>
    <w:multiLevelType w:val="hybridMultilevel"/>
    <w:tmpl w:val="EFD20A80"/>
    <w:lvl w:ilvl="0" w:tplc="2D022AF2">
      <w:start w:val="1"/>
      <w:numFmt w:val="decimal"/>
      <w:lvlText w:val="%1)"/>
      <w:lvlJc w:val="left"/>
      <w:pPr>
        <w:ind w:left="525" w:hanging="284"/>
        <w:jc w:val="right"/>
      </w:pPr>
      <w:rPr>
        <w:rFonts w:ascii="Segoe UI" w:eastAsia="Segoe UI" w:hAnsi="Segoe UI" w:cs="Segoe UI" w:hint="default"/>
        <w:w w:val="99"/>
        <w:sz w:val="20"/>
        <w:szCs w:val="20"/>
      </w:rPr>
    </w:lvl>
    <w:lvl w:ilvl="1" w:tplc="FC74A190">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BD1C8FCC">
      <w:start w:val="1"/>
      <w:numFmt w:val="lowerLetter"/>
      <w:lvlText w:val="%3)"/>
      <w:lvlJc w:val="left"/>
      <w:pPr>
        <w:ind w:left="808" w:hanging="238"/>
        <w:jc w:val="left"/>
      </w:pPr>
      <w:rPr>
        <w:rFonts w:ascii="Segoe UI" w:eastAsia="Segoe UI" w:hAnsi="Segoe UI" w:cs="Segoe UI" w:hint="default"/>
        <w:w w:val="99"/>
        <w:sz w:val="20"/>
        <w:szCs w:val="20"/>
      </w:rPr>
    </w:lvl>
    <w:lvl w:ilvl="3" w:tplc="133895B0">
      <w:numFmt w:val="bullet"/>
      <w:lvlText w:val="•"/>
      <w:lvlJc w:val="left"/>
      <w:pPr>
        <w:ind w:left="2791" w:hanging="238"/>
      </w:pPr>
      <w:rPr>
        <w:rFonts w:hint="default"/>
      </w:rPr>
    </w:lvl>
    <w:lvl w:ilvl="4" w:tplc="09240D38">
      <w:numFmt w:val="bullet"/>
      <w:lvlText w:val="•"/>
      <w:lvlJc w:val="left"/>
      <w:pPr>
        <w:ind w:left="3786" w:hanging="238"/>
      </w:pPr>
      <w:rPr>
        <w:rFonts w:hint="default"/>
      </w:rPr>
    </w:lvl>
    <w:lvl w:ilvl="5" w:tplc="5C42B9FA">
      <w:numFmt w:val="bullet"/>
      <w:lvlText w:val="•"/>
      <w:lvlJc w:val="left"/>
      <w:pPr>
        <w:ind w:left="4782" w:hanging="238"/>
      </w:pPr>
      <w:rPr>
        <w:rFonts w:hint="default"/>
      </w:rPr>
    </w:lvl>
    <w:lvl w:ilvl="6" w:tplc="438CD50A">
      <w:numFmt w:val="bullet"/>
      <w:lvlText w:val="•"/>
      <w:lvlJc w:val="left"/>
      <w:pPr>
        <w:ind w:left="5777" w:hanging="238"/>
      </w:pPr>
      <w:rPr>
        <w:rFonts w:hint="default"/>
      </w:rPr>
    </w:lvl>
    <w:lvl w:ilvl="7" w:tplc="7DA46C74">
      <w:numFmt w:val="bullet"/>
      <w:lvlText w:val="•"/>
      <w:lvlJc w:val="left"/>
      <w:pPr>
        <w:ind w:left="6773" w:hanging="238"/>
      </w:pPr>
      <w:rPr>
        <w:rFonts w:hint="default"/>
      </w:rPr>
    </w:lvl>
    <w:lvl w:ilvl="8" w:tplc="0E006EDE">
      <w:numFmt w:val="bullet"/>
      <w:lvlText w:val="•"/>
      <w:lvlJc w:val="left"/>
      <w:pPr>
        <w:ind w:left="7768" w:hanging="238"/>
      </w:pPr>
      <w:rPr>
        <w:rFonts w:hint="default"/>
      </w:rPr>
    </w:lvl>
  </w:abstractNum>
  <w:abstractNum w:abstractNumId="6" w15:restartNumberingAfterBreak="0">
    <w:nsid w:val="67BA1E83"/>
    <w:multiLevelType w:val="hybridMultilevel"/>
    <w:tmpl w:val="852C47BA"/>
    <w:lvl w:ilvl="0" w:tplc="247ADC0E">
      <w:start w:val="1"/>
      <w:numFmt w:val="decimal"/>
      <w:lvlText w:val="%1)"/>
      <w:lvlJc w:val="left"/>
      <w:pPr>
        <w:ind w:left="385" w:hanging="284"/>
        <w:jc w:val="right"/>
      </w:pPr>
      <w:rPr>
        <w:rFonts w:ascii="Segoe UI" w:eastAsia="Segoe UI" w:hAnsi="Segoe UI" w:cs="Segoe UI" w:hint="default"/>
        <w:w w:val="99"/>
        <w:sz w:val="20"/>
        <w:szCs w:val="20"/>
      </w:rPr>
    </w:lvl>
    <w:lvl w:ilvl="1" w:tplc="94CAA66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6BEA8712">
      <w:numFmt w:val="bullet"/>
      <w:lvlText w:val="•"/>
      <w:lvlJc w:val="left"/>
      <w:pPr>
        <w:ind w:left="1780" w:hanging="284"/>
      </w:pPr>
      <w:rPr>
        <w:rFonts w:hint="default"/>
      </w:rPr>
    </w:lvl>
    <w:lvl w:ilvl="3" w:tplc="68469B14">
      <w:numFmt w:val="bullet"/>
      <w:lvlText w:val="•"/>
      <w:lvlJc w:val="left"/>
      <w:pPr>
        <w:ind w:left="2760" w:hanging="284"/>
      </w:pPr>
      <w:rPr>
        <w:rFonts w:hint="default"/>
      </w:rPr>
    </w:lvl>
    <w:lvl w:ilvl="4" w:tplc="C8F4BB84">
      <w:numFmt w:val="bullet"/>
      <w:lvlText w:val="•"/>
      <w:lvlJc w:val="left"/>
      <w:pPr>
        <w:ind w:left="3740" w:hanging="284"/>
      </w:pPr>
      <w:rPr>
        <w:rFonts w:hint="default"/>
      </w:rPr>
    </w:lvl>
    <w:lvl w:ilvl="5" w:tplc="5FF6DD32">
      <w:numFmt w:val="bullet"/>
      <w:lvlText w:val="•"/>
      <w:lvlJc w:val="left"/>
      <w:pPr>
        <w:ind w:left="4720" w:hanging="284"/>
      </w:pPr>
      <w:rPr>
        <w:rFonts w:hint="default"/>
      </w:rPr>
    </w:lvl>
    <w:lvl w:ilvl="6" w:tplc="46BCF8A2">
      <w:numFmt w:val="bullet"/>
      <w:lvlText w:val="•"/>
      <w:lvlJc w:val="left"/>
      <w:pPr>
        <w:ind w:left="5700" w:hanging="284"/>
      </w:pPr>
      <w:rPr>
        <w:rFonts w:hint="default"/>
      </w:rPr>
    </w:lvl>
    <w:lvl w:ilvl="7" w:tplc="E74AA236">
      <w:numFmt w:val="bullet"/>
      <w:lvlText w:val="•"/>
      <w:lvlJc w:val="left"/>
      <w:pPr>
        <w:ind w:left="6680" w:hanging="284"/>
      </w:pPr>
      <w:rPr>
        <w:rFonts w:hint="default"/>
      </w:rPr>
    </w:lvl>
    <w:lvl w:ilvl="8" w:tplc="7AE2D05E">
      <w:numFmt w:val="bullet"/>
      <w:lvlText w:val="•"/>
      <w:lvlJc w:val="left"/>
      <w:pPr>
        <w:ind w:left="7660" w:hanging="284"/>
      </w:pPr>
      <w:rPr>
        <w:rFont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2E96"/>
    <w:rsid w:val="00247D96"/>
    <w:rsid w:val="004E2E96"/>
    <w:rsid w:val="009F1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69DCB"/>
  <w15:docId w15:val="{368D7140-5D1B-404B-AAE6-C488DF4A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hanging="283"/>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5293</Words>
  <Characters>31233</Characters>
  <Application>Microsoft Office Word</Application>
  <DocSecurity>0</DocSecurity>
  <Lines>260</Lines>
  <Paragraphs>72</Paragraphs>
  <ScaleCrop>false</ScaleCrop>
  <Company>SFZP</Company>
  <LinksUpToDate>false</LinksUpToDate>
  <CharactersWithSpaces>36454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dcterms:created xsi:type="dcterms:W3CDTF">2021-03-30T16:36:00Z</dcterms:created>
  <dcterms:modified xsi:type="dcterms:W3CDTF">2021-03-30T14:37:00Z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2021-03-30T00:00:00Z</vt:filetime>
  </property>
</Properties>
</file>