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ke SMLOUVĚ O DÍLO</w:t>
      </w:r>
      <w:bookmarkEnd w:id="0"/>
      <w:bookmarkEnd w:id="1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Vypracování projektové dokumentace</w:t>
      </w:r>
      <w:bookmarkEnd w:id="2"/>
      <w:bookmarkEnd w:id="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„III/34711 Skuhrov, opěrná zeď v km 11.570 - 11.585“</w:t>
      </w:r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objednatele: 154/2020 - KSÚSV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smlouvy zhotovitele: D20111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left"/>
      </w:pPr>
      <w:r>
        <mc:AlternateContent>
          <mc:Choice Requires="wps">
            <w:drawing>
              <wp:anchor distT="186055" distB="0" distL="3175" distR="0" simplePos="0" relativeHeight="125829378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1938655</wp:posOffset>
                </wp:positionV>
                <wp:extent cx="6489065" cy="80772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065" cy="8077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858"/>
                              <w:gridCol w:w="8362"/>
                            </w:tblGrid>
                            <w:tr>
                              <w:trPr>
                                <w:tblHeader/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technických: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192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tel.: e-mail: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Bankovní spojení: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účtu: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Komerční banka, a.s.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00090450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CZ00090450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.149999999999999pt;margin-top:152.65000000000001pt;width:510.94999999999999pt;height:63.600000000000001pt;z-index:-125829375;mso-wrap-distance-left:0.25pt;mso-wrap-distance-top:14.65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858"/>
                        <w:gridCol w:w="8362"/>
                      </w:tblGrid>
                      <w:tr>
                        <w:trPr>
                          <w:tblHeader/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technických: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92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 e-mail:</w:t>
                            </w:r>
                          </w:p>
                        </w:tc>
                      </w:tr>
                      <w:tr>
                        <w:trPr>
                          <w:trHeight w:val="49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1752600</wp:posOffset>
                </wp:positionV>
                <wp:extent cx="3090545" cy="1892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054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.899999999999999pt;margin-top:138.pt;width:243.34999999999999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41300" distL="114300" distR="114300" simplePos="0" relativeHeight="125829380" behindDoc="0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2717800</wp:posOffset>
                </wp:positionV>
                <wp:extent cx="2209800" cy="911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9800" cy="911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 Kraj Vysočina (dále jen „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Objednatel“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)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6.899999999999999pt;margin-top:214.pt;width:174.pt;height:71.75pt;z-index:-125829373;mso-wrap-distance-left:9.pt;mso-wrap-distance-right:9.pt;mso-wrap-distance-bottom:1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 Kraj Vysočina (dále jen „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Objednatel“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)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tbl>
      <w:tblPr>
        <w:tblOverlap w:val="never"/>
        <w:jc w:val="left"/>
        <w:tblLayout w:type="fixed"/>
      </w:tblPr>
      <w:tblGrid>
        <w:gridCol w:w="1858"/>
        <w:gridCol w:w="8362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0219" w:h="1138" w:vSpace="302" w:wrap="notBeside" w:vAnchor="text" w:hAnchor="text" w:x="87" w:y="30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0219" w:h="1138" w:vSpace="302" w:wrap="notBeside" w:vAnchor="text" w:hAnchor="text" w:x="87" w:y="3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4"/>
        <w:keepNext w:val="0"/>
        <w:keepLines w:val="0"/>
        <w:framePr w:w="907" w:h="298" w:hSpace="86" w:wrap="notBeside" w:vAnchor="text" w:hAnchor="text" w:x="517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widowControl w:val="0"/>
        <w:spacing w:after="99" w:line="1" w:lineRule="exact"/>
      </w:pPr>
    </w:p>
    <w:p>
      <w:pPr>
        <w:widowControl w:val="0"/>
        <w:spacing w:after="99" w:line="1" w:lineRule="exact"/>
      </w:pPr>
    </w:p>
    <w:tbl>
      <w:tblPr>
        <w:tblOverlap w:val="never"/>
        <w:jc w:val="center"/>
        <w:tblLayout w:type="fixed"/>
      </w:tblPr>
      <w:tblGrid>
        <w:gridCol w:w="1858"/>
        <w:gridCol w:w="8362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8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DIPONT s.r.o. - projektová a inženýrská činnost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Libouchec č. p. 505, 403 35 Libouchec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58"/>
        <w:gridCol w:w="8362"/>
      </w:tblGrid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zapsán v: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živnostenském rejstříku u Magistrátu města Ústí nad Labem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je zapsána v obchodním rejstříku vedeném u Krajského soudu v Ústí nad Labem, oddíl C, vložka 27153 Osoby pověřené jednat jménem zhotovitele ve věcech smluvních: technických: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858"/>
        <w:gridCol w:w="8362"/>
      </w:tblGrid>
      <w:tr>
        <w:trPr>
          <w:trHeight w:val="5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účtu 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KB a.s.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28693094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CZ28693094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na ukončení plnění v rozpracovanosti. Důvodem je nesouhlas majitelů pozemku - SJM Vladimír a Helena Jechovi, parc. č. 61, k. ú. Skuhrov u Havlíčkova Brodu, se zvětšením záboru.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 výše uvedenými důvody dochází ke změně ceny díla tímto způsobem: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mc:AlternateContent>
          <mc:Choice Requires="wps">
            <w:drawing>
              <wp:anchor distT="0" distB="948055" distL="114300" distR="114300" simplePos="0" relativeHeight="125829382" behindDoc="0" locked="0" layoutInCell="1" allowOverlap="1">
                <wp:simplePos x="0" y="0"/>
                <wp:positionH relativeFrom="page">
                  <wp:posOffset>5167630</wp:posOffset>
                </wp:positionH>
                <wp:positionV relativeFrom="paragraph">
                  <wp:posOffset>12700</wp:posOffset>
                </wp:positionV>
                <wp:extent cx="814070" cy="18605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78.000,00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6.89999999999998pt;margin-top:1.pt;width:64.099999999999994pt;height:14.65pt;z-index:-125829371;mso-wrap-distance-left:9.pt;mso-wrap-distance-right:9.pt;mso-wrap-distance-bottom:74.65000000000000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78.000,00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34950" distB="240665" distL="114300" distR="114300" simplePos="0" relativeHeight="125829384" behindDoc="0" locked="0" layoutInCell="1" allowOverlap="1">
                <wp:simplePos x="0" y="0"/>
                <wp:positionH relativeFrom="page">
                  <wp:posOffset>5167630</wp:posOffset>
                </wp:positionH>
                <wp:positionV relativeFrom="paragraph">
                  <wp:posOffset>247650</wp:posOffset>
                </wp:positionV>
                <wp:extent cx="814070" cy="65849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658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21.000,00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57.000,00 Kč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11.970,00 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06.89999999999998pt;margin-top:19.5pt;width:64.099999999999994pt;height:51.850000000000001pt;z-index:-125829369;mso-wrap-distance-left:9.pt;mso-wrap-distance-top:18.5pt;mso-wrap-distance-right:9.pt;mso-wrap-distance-bottom:18.94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21.000,00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57.000,00 Kč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11.970,00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948055" distB="0" distL="114300" distR="114300" simplePos="0" relativeHeight="125829386" behindDoc="0" locked="0" layoutInCell="1" allowOverlap="1">
                <wp:simplePos x="0" y="0"/>
                <wp:positionH relativeFrom="page">
                  <wp:posOffset>5167630</wp:posOffset>
                </wp:positionH>
                <wp:positionV relativeFrom="paragraph">
                  <wp:posOffset>960755</wp:posOffset>
                </wp:positionV>
                <wp:extent cx="814070" cy="18605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68.970,00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6.89999999999998pt;margin-top:75.650000000000006pt;width:64.099999999999994pt;height:14.65pt;z-index:-125829367;mso-wrap-distance-left:9.pt;mso-wrap-distance-top:74.650000000000006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68.970,00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díla bez DPH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21%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Nově sjednaná cena včetně DPH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8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Smlouvy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o dílo č. objednatele 154/2020 - KSÚSV uzavřené dne 18. 9. 2020 podle ustanovení § 2586 a násl. OZ a dále Obchodními podmínkami zadavatele pro veřejné zakázky na vypracování projektových dokumentací dle § 37 odst. 1 písm. c) ZZVZ, vydanými dle § 1751 a násl. OZ.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8" w:val="left"/>
        </w:tabs>
        <w:bidi w:val="0"/>
        <w:spacing w:before="0" w:line="240" w:lineRule="auto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90" w:left="928" w:right="579" w:bottom="2116" w:header="962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o ukončení plnění v rozpracovanosti ze dne 19. 2. 2021.</w:t>
      </w:r>
    </w:p>
    <w:p>
      <w:pPr>
        <w:pStyle w:val="Style6"/>
        <w:keepNext w:val="0"/>
        <w:keepLines w:val="0"/>
        <w:framePr w:w="787" w:h="302" w:wrap="none" w:hAnchor="page" w:x="10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</w:r>
    </w:p>
    <w:p>
      <w:pPr>
        <w:pStyle w:val="Style6"/>
        <w:keepNext w:val="0"/>
        <w:keepLines w:val="0"/>
        <w:framePr w:w="5602" w:h="302" w:wrap="none" w:hAnchor="page" w:x="244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Žádost o ukončení plnění v rozpracovanosti ze dne 19. 2. 2021</w:t>
      </w:r>
    </w:p>
    <w:p>
      <w:pPr>
        <w:pStyle w:val="Style6"/>
        <w:keepNext w:val="0"/>
        <w:keepLines w:val="0"/>
        <w:framePr w:w="1061" w:h="1051" w:wrap="none" w:hAnchor="page" w:x="1028" w:y="1523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</w:r>
    </w:p>
    <w:p>
      <w:pPr>
        <w:pStyle w:val="Style6"/>
        <w:keepNext w:val="0"/>
        <w:keepLines w:val="0"/>
        <w:framePr w:w="1061" w:h="1051" w:wrap="none" w:hAnchor="page" w:x="1028" w:y="1523"/>
        <w:widowControl w:val="0"/>
        <w:shd w:val="clear" w:color="auto" w:fill="auto"/>
        <w:tabs>
          <w:tab w:leader="dot" w:pos="9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</w:t>
        <w:tab/>
      </w:r>
    </w:p>
    <w:p>
      <w:pPr>
        <w:pStyle w:val="Style6"/>
        <w:keepNext w:val="0"/>
        <w:keepLines w:val="0"/>
        <w:framePr w:w="2323" w:h="2832" w:wrap="none" w:hAnchor="page" w:x="2564" w:y="2281"/>
        <w:widowControl w:val="0"/>
        <w:shd w:val="clear" w:color="auto" w:fill="auto"/>
        <w:tabs>
          <w:tab w:leader="dot" w:pos="221" w:val="left"/>
          <w:tab w:leader="dot" w:pos="2246" w:val="left"/>
        </w:tabs>
        <w:bidi w:val="0"/>
        <w:spacing w:before="0" w:after="2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dne: </w:t>
        <w:tab/>
      </w:r>
    </w:p>
    <w:p>
      <w:pPr>
        <w:pStyle w:val="Style6"/>
        <w:keepNext w:val="0"/>
        <w:keepLines w:val="0"/>
        <w:framePr w:w="2323" w:h="2832" w:wrap="none" w:hAnchor="page" w:x="2564" w:y="2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Marta Nováková</w:t>
      </w:r>
    </w:p>
    <w:p>
      <w:pPr>
        <w:pStyle w:val="Style6"/>
        <w:keepNext w:val="0"/>
        <w:keepLines w:val="0"/>
        <w:framePr w:w="3058" w:h="3835" w:wrap="none" w:hAnchor="page" w:x="6370" w:y="1523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6"/>
        <w:keepNext w:val="0"/>
        <w:keepLines w:val="0"/>
        <w:framePr w:w="3058" w:h="3835" w:wrap="none" w:hAnchor="page" w:x="6370" w:y="1523"/>
        <w:widowControl w:val="0"/>
        <w:shd w:val="clear" w:color="auto" w:fill="auto"/>
        <w:tabs>
          <w:tab w:leader="dot" w:pos="2870" w:val="left"/>
        </w:tabs>
        <w:bidi w:val="0"/>
        <w:spacing w:before="0" w:after="2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Jihlavě dne: </w:t>
        <w:tab/>
      </w:r>
    </w:p>
    <w:p>
      <w:pPr>
        <w:pStyle w:val="Style6"/>
        <w:keepNext w:val="0"/>
        <w:keepLines w:val="0"/>
        <w:framePr w:w="3058" w:h="3835" w:wrap="none" w:hAnchor="page" w:x="6370" w:y="1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</w:t>
        <w:br/>
        <w:t>ředitel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26" w:left="1027" w:right="1759" w:bottom="1087" w:header="898" w:footer="3" w:gutter="0"/>
          <w:cols w:space="720"/>
          <w:noEndnote/>
          <w:rtlGutter w:val="0"/>
          <w:docGrid w:linePitch="360"/>
        </w:sectPr>
      </w:pP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88CE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©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dipont</w:t>
      </w:r>
      <w:bookmarkEnd w:id="6"/>
      <w:bookmarkEnd w:id="7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righ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711" w:left="881" w:right="934" w:bottom="137" w:header="283" w:footer="3" w:gutter="0"/>
          <w:cols w:num="2" w:space="4149"/>
          <w:noEndnote/>
          <w:rtlGutter w:val="0"/>
          <w:docGrid w:linePitch="360"/>
        </w:sectPr>
      </w:pPr>
      <w:bookmarkStart w:id="8" w:name="bookmark8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80"/>
          <w:position w:val="0"/>
          <w:sz w:val="22"/>
          <w:szCs w:val="22"/>
          <w:shd w:val="clear" w:color="auto" w:fill="auto"/>
          <w:lang w:val="cs-CZ" w:eastAsia="cs-CZ" w:bidi="cs-CZ"/>
        </w:rPr>
        <w:t>PROJEKTOVÁ A INŽENÝRSKÁ ČINNOST</w:t>
      </w:r>
      <w:bookmarkEnd w:id="8"/>
      <w:bookmarkEnd w:id="9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left="0" w:right="0" w:bottom="137" w:header="0" w:footer="3" w:gutter="0"/>
          <w:cols w:space="720"/>
          <w:noEndnote/>
          <w:rtlGutter w:val="0"/>
          <w:docGrid w:linePitch="360"/>
        </w:sectPr>
      </w:pPr>
    </w:p>
    <w:p>
      <w:pPr>
        <w:pStyle w:val="Style27"/>
        <w:keepNext/>
        <w:keepLines/>
        <w:widowControl w:val="0"/>
        <w:pBdr>
          <w:top w:val="single" w:sz="4" w:space="0" w:color="auto"/>
        </w:pBdr>
        <w:shd w:val="clear" w:color="auto" w:fill="auto"/>
        <w:bidi w:val="0"/>
        <w:spacing w:before="0" w:after="280"/>
        <w:ind w:left="6440" w:right="0" w:firstLine="2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p.o.</w:t>
      </w:r>
      <w:bookmarkEnd w:id="10"/>
      <w:bookmarkEnd w:id="11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95" w:lineRule="auto"/>
        <w:ind w:left="6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1122/16;</w:t>
      </w:r>
    </w:p>
    <w:p>
      <w:pPr>
        <w:pStyle w:val="Style3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95" w:lineRule="auto"/>
        <w:ind w:left="644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640" w:line="286" w:lineRule="auto"/>
        <w:ind w:left="180" w:right="0" w:firstLine="2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4512945</wp:posOffset>
                </wp:positionH>
                <wp:positionV relativeFrom="paragraph">
                  <wp:posOffset>12700</wp:posOffset>
                </wp:positionV>
                <wp:extent cx="377825" cy="420370"/>
                <wp:wrapSquare wrapText="left"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88C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88C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88C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55.35000000000002pt;margin-top:1.pt;width:29.75pt;height:33.100000000000001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88C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88C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88CE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88CE"/>
          <w:spacing w:val="0"/>
          <w:w w:val="100"/>
          <w:position w:val="0"/>
          <w:shd w:val="clear" w:color="auto" w:fill="auto"/>
          <w:lang w:val="cs-CZ" w:eastAsia="cs-CZ" w:bidi="cs-CZ"/>
        </w:rPr>
        <w:t>ÚSTÍ NAD LABEM, 19.2.2021 č.j.: 47 /2020</w:t>
      </w:r>
    </w:p>
    <w:p>
      <w:pPr>
        <w:pStyle w:val="Style27"/>
        <w:keepNext/>
        <w:keepLines/>
        <w:widowControl w:val="0"/>
        <w:shd w:val="clear" w:color="auto" w:fill="auto"/>
        <w:tabs>
          <w:tab w:pos="2659" w:val="left"/>
        </w:tabs>
        <w:bidi w:val="0"/>
        <w:spacing w:before="0" w:after="0" w:line="202" w:lineRule="auto"/>
        <w:ind w:left="0" w:right="0" w:firstLine="0"/>
        <w:jc w:val="left"/>
      </w:pPr>
      <w:bookmarkStart w:id="12" w:name="bookmark12"/>
      <w:bookmarkStart w:id="13" w:name="bookmark13"/>
      <w:r>
        <w:rPr>
          <w:rFonts w:ascii="Calibri" w:eastAsia="Calibri" w:hAnsi="Calibri" w:cs="Calibri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„III/3471 Skuhrov, opěrná zeď v km 11,570 - 11.585“</w:t>
      </w:r>
      <w:bookmarkEnd w:id="12"/>
      <w:bookmarkEnd w:id="13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270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(žádost dodatek na ukončení plnění v rozpracovanosti )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Žádáme zdvořile o dodatek na ukončení prací v rozpracovanosti ke </w:t>
      </w: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smlouvě o dílo č. 154/2020 -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cs-CZ" w:eastAsia="cs-CZ" w:bidi="cs-CZ"/>
        </w:rPr>
        <w:t>KSÚSV (D20111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ze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dne 18. 9. 2020 na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zpracování projektové dokumentace k akci:</w:t>
      </w:r>
    </w:p>
    <w:p>
      <w:pPr>
        <w:pStyle w:val="Style27"/>
        <w:keepNext/>
        <w:keepLines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„III/3471 Skuhrov, opěrná zeď v km 11,570 - 11.585“</w:t>
      </w:r>
      <w:bookmarkEnd w:id="14"/>
      <w:bookmarkEnd w:id="15"/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Důvodem je nesouhlas majitelů pozemku (č. 61 k.ú. Skuhrov u Havlíčkova Brodu,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zvětšením záboru. Při zadání variantního řešení byl předpoklad, že bude možné zeď opravit ve stávající poloze, což se v průběhu zpracování variantní PD ukázalo jako nereálné.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tomu, že přes veškerou snahu projektanta nebylo možné získat souhlasné stanovisko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navrženému technickému řešení od účastníků stavebního řízení, nebude podána žádost o stavební povolení v termínu dle smlouvy a práce na zakázce byly dle vzájemné dohody mezi objednatelem a zhotovitelem ukončeny k datu 5.2.2021.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tabulce níže je přehled činností na zakázce k datu ukončení prací: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1" w:right="0" w:firstLine="0"/>
        <w:jc w:val="left"/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1)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Tabulka rozpracovanosti:</w:t>
      </w:r>
    </w:p>
    <w:tbl>
      <w:tblPr>
        <w:tblOverlap w:val="never"/>
        <w:jc w:val="center"/>
        <w:tblLayout w:type="fixed"/>
      </w:tblPr>
      <w:tblGrid>
        <w:gridCol w:w="4056"/>
        <w:gridCol w:w="1757"/>
        <w:gridCol w:w="1896"/>
        <w:gridCol w:w="2530"/>
      </w:tblGrid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Rozpis činností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 rozpracovanosti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nabídková cena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9D9D9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dle rozpracovanosti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Geodetické zaměření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12 000,00 Kč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projektové dokumentace pro společné povolení (DUSP)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38 000,00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Inženýrská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7 000,00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Dopracování dokumentace - PDPS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(bez DPH)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57 000,00 Kč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(21%)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11 970,00 Kč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68 970,00 Kč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18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ragraph">
                  <wp:posOffset>12700</wp:posOffset>
                </wp:positionV>
                <wp:extent cx="941705" cy="173990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 a razítko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19.39999999999998pt;margin-top:1.pt;width:74.150000000000006pt;height:13.69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 a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 potvrzuje: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left="881" w:right="699" w:bottom="13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0" w:after="11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11" w:left="0" w:right="0" w:bottom="13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2900045</wp:posOffset>
                </wp:positionH>
                <wp:positionV relativeFrom="paragraph">
                  <wp:posOffset>12700</wp:posOffset>
                </wp:positionV>
                <wp:extent cx="1042670" cy="804545"/>
                <wp:wrapSquare wrapText="bothSides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804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KB a.s.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Identifikace společnosti: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 28693094</w:t>
                            </w:r>
                          </w:p>
                          <w:p>
                            <w:pPr>
                              <w:pStyle w:val="Style3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CZ28693094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28.34999999999999pt;margin-top:1.pt;width:82.099999999999994pt;height:63.35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KB a.s.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Identifikace společnosti: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28693094</w:t>
                      </w:r>
                    </w:p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CZ28693094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 společnosti: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DIPONT s.r.o. - projektová a inženýrská činnost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Libouchec 505, 403 35 Libouchec (ČR)</w:t>
      </w:r>
    </w:p>
    <w:p>
      <w:pPr>
        <w:pStyle w:val="Style4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Pobočka Ústí nad Labem: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Klíšská 1432/18</w:t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400 01 Ústí nad Labem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right"/>
      </w:pPr>
      <w:r>
        <w:fldChar w:fldCharType="begin"/>
      </w:r>
      <w:r>
        <w:rPr/>
        <w:instrText> HYPERLINK "http://www.dipont.cz" </w:instrText>
      </w:r>
      <w:r>
        <w:fldChar w:fldCharType="separate"/>
      </w: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www.dipont.cz</w:t>
      </w:r>
      <w:bookmarkEnd w:id="16"/>
      <w:bookmarkEnd w:id="17"/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11" w:left="939" w:right="925" w:bottom="137" w:header="0" w:footer="3" w:gutter="0"/>
      <w:cols w:num="2" w:space="349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9980930</wp:posOffset>
              </wp:positionV>
              <wp:extent cx="5763895" cy="10668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63895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7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Dodatek č. 1 k SoD č. 154/2020 - KSÚSV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8.799999999999997pt;margin-top:785.89999999999998pt;width:453.85000000000002pt;height:8.4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7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Dodatek č. 1 k SoD č. 154/2020 - KSÚSV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598805</wp:posOffset>
              </wp:positionH>
              <wp:positionV relativeFrom="page">
                <wp:posOffset>9854565</wp:posOffset>
              </wp:positionV>
              <wp:extent cx="6577330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7.149999999999999pt;margin-top:775.95000000000005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Titulek tabulky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Nadpis #3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Záhlaví nebo zápatí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5">
    <w:name w:val="Nadpis #1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CharStyle28">
    <w:name w:val="Nadpis #4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Základní text (3)_"/>
    <w:basedOn w:val="DefaultParagraphFont"/>
    <w:link w:val="Style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15"/>
      <w:szCs w:val="15"/>
      <w:u w:val="none"/>
    </w:rPr>
  </w:style>
  <w:style w:type="character" w:customStyle="1" w:styleId="CharStyle34">
    <w:name w:val="Základní text (2)_"/>
    <w:basedOn w:val="DefaultParagraphFont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Základní text (4)_"/>
    <w:basedOn w:val="DefaultParagraphFont"/>
    <w:link w:val="Style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CharStyle46">
    <w:name w:val="Základní text (5)_"/>
    <w:basedOn w:val="DefaultParagraphFont"/>
    <w:link w:val="Style4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Titulek tabulky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after="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Nadpis #3"/>
    <w:basedOn w:val="Normal"/>
    <w:link w:val="CharStyle10"/>
    <w:pPr>
      <w:widowControl w:val="0"/>
      <w:shd w:val="clear" w:color="auto" w:fill="FFFFFF"/>
      <w:spacing w:after="130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Záhlaví nebo zápatí (2)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41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24">
    <w:name w:val="Nadpis #1"/>
    <w:basedOn w:val="Normal"/>
    <w:link w:val="CharStyle25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paragraph" w:customStyle="1" w:styleId="Style27">
    <w:name w:val="Nadpis #4"/>
    <w:basedOn w:val="Normal"/>
    <w:link w:val="CharStyle28"/>
    <w:pPr>
      <w:widowControl w:val="0"/>
      <w:shd w:val="clear" w:color="auto" w:fill="FFFFFF"/>
      <w:spacing w:line="269" w:lineRule="auto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">
    <w:name w:val="Základní text (3)"/>
    <w:basedOn w:val="Normal"/>
    <w:link w:val="CharStyle3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15"/>
      <w:szCs w:val="15"/>
      <w:u w:val="none"/>
    </w:rPr>
  </w:style>
  <w:style w:type="paragraph" w:customStyle="1" w:styleId="Style33">
    <w:name w:val="Základní text (2)"/>
    <w:basedOn w:val="Normal"/>
    <w:link w:val="CharStyle3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7">
    <w:name w:val="Základní text (4)"/>
    <w:basedOn w:val="Normal"/>
    <w:link w:val="CharStyle38"/>
    <w:pPr>
      <w:widowControl w:val="0"/>
      <w:shd w:val="clear" w:color="auto" w:fill="FFFFFF"/>
      <w:spacing w:line="235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paragraph" w:customStyle="1" w:styleId="Style45">
    <w:name w:val="Základní text (5)"/>
    <w:basedOn w:val="Normal"/>
    <w:link w:val="CharStyle46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Vážená paní (Vážený pan)</dc:title>
  <dc:subject>DIPONT - hlavičkový papír</dc:subject>
  <dc:creator>Jan Kotiš</dc:creator>
  <cp:keywords/>
</cp:coreProperties>
</file>