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D7" w:rsidRDefault="00501258">
      <w:pPr>
        <w:pStyle w:val="Nzev"/>
        <w:spacing w:before="80"/>
        <w:ind w:left="3283" w:right="3147"/>
      </w:pPr>
      <w:r>
        <w:rPr>
          <w:color w:val="808080"/>
        </w:rPr>
        <w:t>Smlouva č. 1190800018 o poskytnutí podpory</w:t>
      </w:r>
    </w:p>
    <w:p w:rsidR="00522FD7" w:rsidRDefault="00501258">
      <w:pPr>
        <w:pStyle w:val="Nzev"/>
      </w:pPr>
      <w:r>
        <w:rPr>
          <w:color w:val="808080"/>
        </w:rPr>
        <w:t>ze Státního fondu životního prostředí České republiky</w:t>
      </w:r>
    </w:p>
    <w:p w:rsidR="00522FD7" w:rsidRDefault="00522FD7">
      <w:pPr>
        <w:pStyle w:val="Zkladntext"/>
        <w:spacing w:before="11"/>
        <w:ind w:left="0"/>
        <w:jc w:val="left"/>
        <w:rPr>
          <w:sz w:val="59"/>
        </w:rPr>
      </w:pPr>
    </w:p>
    <w:p w:rsidR="00522FD7" w:rsidRDefault="00501258">
      <w:pPr>
        <w:pStyle w:val="Zkladntext"/>
        <w:ind w:left="242"/>
        <w:jc w:val="left"/>
      </w:pPr>
      <w:r>
        <w:t>Smluvní strany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01258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522FD7" w:rsidRDefault="0050125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522FD7" w:rsidRDefault="0050125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522FD7" w:rsidRDefault="00501258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522FD7" w:rsidRDefault="00501258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522FD7" w:rsidRDefault="00501258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522FD7" w:rsidRDefault="00501258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„Fond“)</w:t>
      </w:r>
    </w:p>
    <w:p w:rsidR="00522FD7" w:rsidRDefault="00522FD7">
      <w:pPr>
        <w:pStyle w:val="Zkladntext"/>
        <w:spacing w:before="12"/>
        <w:ind w:left="0"/>
        <w:jc w:val="left"/>
        <w:rPr>
          <w:sz w:val="19"/>
        </w:rPr>
      </w:pPr>
    </w:p>
    <w:p w:rsidR="00522FD7" w:rsidRDefault="00501258">
      <w:pPr>
        <w:pStyle w:val="Zkladntext"/>
        <w:ind w:left="242"/>
        <w:jc w:val="left"/>
      </w:pPr>
      <w:r>
        <w:rPr>
          <w:w w:val="99"/>
        </w:rPr>
        <w:t>a</w:t>
      </w:r>
    </w:p>
    <w:p w:rsidR="00522FD7" w:rsidRDefault="00522FD7">
      <w:pPr>
        <w:pStyle w:val="Zkladntext"/>
        <w:spacing w:before="1"/>
        <w:ind w:left="0"/>
        <w:jc w:val="left"/>
      </w:pPr>
    </w:p>
    <w:p w:rsidR="00522FD7" w:rsidRDefault="00501258">
      <w:pPr>
        <w:pStyle w:val="Nadpis1"/>
        <w:ind w:right="0"/>
        <w:jc w:val="left"/>
      </w:pPr>
      <w:r>
        <w:t>Správa Národního parku České Švýcarsko</w:t>
      </w:r>
    </w:p>
    <w:p w:rsidR="00522FD7" w:rsidRDefault="00501258">
      <w:pPr>
        <w:pStyle w:val="Zkladntext"/>
        <w:ind w:left="242"/>
        <w:jc w:val="left"/>
      </w:pPr>
      <w:r>
        <w:t>příspěvková organizace</w:t>
      </w:r>
    </w:p>
    <w:p w:rsidR="00522FD7" w:rsidRDefault="00501258">
      <w:pPr>
        <w:pStyle w:val="Zkladntext"/>
        <w:tabs>
          <w:tab w:val="left" w:pos="3122"/>
        </w:tabs>
        <w:spacing w:before="1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Pražská 457, 407 46 Krásná</w:t>
      </w:r>
      <w:r>
        <w:rPr>
          <w:spacing w:val="-2"/>
        </w:rPr>
        <w:t xml:space="preserve"> </w:t>
      </w:r>
      <w:r>
        <w:t>Lípa</w:t>
      </w:r>
    </w:p>
    <w:p w:rsidR="00522FD7" w:rsidRDefault="0050125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06342477</w:t>
      </w:r>
    </w:p>
    <w:p w:rsidR="00522FD7" w:rsidRDefault="0050125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zastoupená:</w:t>
      </w:r>
      <w:r>
        <w:tab/>
        <w:t>Ing. Pavlem B e n d o u, Ph.D.,</w:t>
      </w:r>
      <w:r>
        <w:rPr>
          <w:spacing w:val="-6"/>
        </w:rPr>
        <w:t xml:space="preserve"> </w:t>
      </w:r>
      <w:r>
        <w:t>ředitelem</w:t>
      </w:r>
    </w:p>
    <w:p w:rsidR="00522FD7" w:rsidRDefault="00501258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E77108" w:rsidRPr="00E77108">
        <w:rPr>
          <w:highlight w:val="yellow"/>
        </w:rPr>
        <w:t>xxxx</w:t>
      </w:r>
    </w:p>
    <w:p w:rsidR="00522FD7" w:rsidRDefault="00501258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E77108" w:rsidRPr="00E77108">
        <w:rPr>
          <w:highlight w:val="yellow"/>
        </w:rPr>
        <w:t>xxxx</w:t>
      </w:r>
      <w:bookmarkStart w:id="0" w:name="_GoBack"/>
      <w:bookmarkEnd w:id="0"/>
    </w:p>
    <w:p w:rsidR="00522FD7" w:rsidRDefault="00501258">
      <w:pPr>
        <w:pStyle w:val="Zkladntext"/>
        <w:tabs>
          <w:tab w:val="left" w:pos="3122"/>
        </w:tabs>
        <w:spacing w:before="1"/>
        <w:ind w:left="242" w:right="4942"/>
        <w:jc w:val="left"/>
      </w:pPr>
      <w:r>
        <w:t>variabilní</w:t>
      </w:r>
      <w:r>
        <w:rPr>
          <w:spacing w:val="-3"/>
        </w:rPr>
        <w:t xml:space="preserve"> </w:t>
      </w:r>
      <w:r>
        <w:t>symbol:</w:t>
      </w:r>
      <w:r>
        <w:tab/>
        <w:t>viz článek VI bod</w:t>
      </w:r>
      <w:r>
        <w:rPr>
          <w:spacing w:val="-9"/>
        </w:rPr>
        <w:t xml:space="preserve"> </w:t>
      </w:r>
      <w:r>
        <w:t>2. (dále jen „př</w:t>
      </w:r>
      <w:r>
        <w:t>íjemce</w:t>
      </w:r>
      <w:r>
        <w:rPr>
          <w:spacing w:val="-3"/>
        </w:rPr>
        <w:t xml:space="preserve"> </w:t>
      </w:r>
      <w:r>
        <w:t>podpory“)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01258">
      <w:pPr>
        <w:pStyle w:val="Zkladntext"/>
        <w:spacing w:before="185"/>
        <w:ind w:left="242"/>
        <w:jc w:val="left"/>
      </w:pPr>
      <w:r>
        <w:t>se dohodly takto: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01258">
      <w:pPr>
        <w:pStyle w:val="Nadpis1"/>
        <w:spacing w:before="187"/>
        <w:ind w:left="3275"/>
      </w:pPr>
      <w:r>
        <w:t>I.</w:t>
      </w:r>
    </w:p>
    <w:p w:rsidR="00522FD7" w:rsidRDefault="00501258">
      <w:pPr>
        <w:spacing w:before="1"/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522FD7" w:rsidRDefault="00522FD7">
      <w:pPr>
        <w:pStyle w:val="Zkladntext"/>
        <w:spacing w:before="11"/>
        <w:ind w:left="0"/>
        <w:jc w:val="left"/>
        <w:rPr>
          <w:b/>
          <w:sz w:val="19"/>
        </w:rPr>
      </w:pPr>
    </w:p>
    <w:p w:rsidR="00522FD7" w:rsidRDefault="00501258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7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22FD7" w:rsidRDefault="00501258">
      <w:pPr>
        <w:pStyle w:val="Zkladntext"/>
        <w:spacing w:before="1"/>
        <w:ind w:right="111"/>
      </w:pPr>
      <w:r>
        <w:t>„Smlouva“) se uzavírá na základě Rozhodnutí ministra životního prostředí č. 1190800018 o poskytnutí 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9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Ministerstva životního prostředí č. 4/2015 o poskytování finančn</w:t>
      </w:r>
      <w:r>
        <w:t>ích prostředků ze Státního fondu životního prostředí České republiky prostřednictvím Národního programu Životní prostředí (dále jen „Směrnice MŽP“), platné ke dni podání</w:t>
      </w:r>
      <w:r>
        <w:rPr>
          <w:spacing w:val="-3"/>
        </w:rPr>
        <w:t xml:space="preserve"> </w:t>
      </w:r>
      <w:r>
        <w:t>žádosti.</w:t>
      </w:r>
    </w:p>
    <w:p w:rsidR="00522FD7" w:rsidRDefault="00501258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</w:t>
      </w:r>
      <w:r>
        <w:rPr>
          <w:sz w:val="20"/>
        </w:rPr>
        <w:t>loh) a  Výzvou č. 8/2019   k předkládání žádostí o poskytnutí podpory v rámci Národního programu Životní prostředí, vydanou podle čl. 3 Směrnice MŽP (dále jen „Výzva“), a že náležitosti akce odpovídají podmínkám stanoveným Směrnicí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Výzvou.</w:t>
      </w:r>
    </w:p>
    <w:p w:rsidR="00522FD7" w:rsidRDefault="00522FD7">
      <w:pPr>
        <w:jc w:val="both"/>
        <w:rPr>
          <w:sz w:val="20"/>
        </w:rPr>
        <w:sectPr w:rsidR="00522FD7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522FD7" w:rsidRDefault="00501258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522FD7" w:rsidRDefault="00501258">
      <w:pPr>
        <w:pStyle w:val="Nadpis1"/>
        <w:spacing w:before="120"/>
        <w:ind w:left="3775" w:right="0"/>
        <w:jc w:val="left"/>
      </w:pPr>
      <w:r>
        <w:t>„Škola národního parku“</w:t>
      </w:r>
    </w:p>
    <w:p w:rsidR="00522FD7" w:rsidRDefault="00501258">
      <w:pPr>
        <w:pStyle w:val="Zkladntext"/>
        <w:spacing w:before="121"/>
        <w:jc w:val="left"/>
      </w:pPr>
      <w:r>
        <w:t>(dále jen „projekt“ nebo „akce“) realizovanou v letech 2019 až 2022. Akce je neinvestiční.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01258">
      <w:pPr>
        <w:pStyle w:val="Nadpis1"/>
        <w:spacing w:before="187" w:line="265" w:lineRule="exact"/>
        <w:ind w:left="3283" w:right="2799"/>
      </w:pPr>
      <w:r>
        <w:t>II.</w:t>
      </w:r>
    </w:p>
    <w:p w:rsidR="00522FD7" w:rsidRDefault="00501258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522FD7" w:rsidRDefault="00522FD7">
      <w:pPr>
        <w:pStyle w:val="Zkladntext"/>
        <w:spacing w:before="1"/>
        <w:ind w:left="0"/>
        <w:jc w:val="left"/>
        <w:rPr>
          <w:b/>
        </w:rPr>
      </w:pPr>
    </w:p>
    <w:p w:rsidR="00522FD7" w:rsidRDefault="0050125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957 554,66 Kč </w:t>
      </w:r>
      <w:r>
        <w:rPr>
          <w:sz w:val="20"/>
        </w:rPr>
        <w:t>(slovy: devět set padesát sedm tisíc pět set padesát čtyři</w:t>
      </w:r>
      <w:r>
        <w:rPr>
          <w:sz w:val="20"/>
        </w:rPr>
        <w:t xml:space="preserve"> korun českých a šedesát šest</w:t>
      </w:r>
      <w:r>
        <w:rPr>
          <w:spacing w:val="-15"/>
          <w:sz w:val="20"/>
        </w:rPr>
        <w:t xml:space="preserve"> </w:t>
      </w:r>
      <w:r>
        <w:rPr>
          <w:sz w:val="20"/>
        </w:rPr>
        <w:t>haléřů).</w:t>
      </w:r>
    </w:p>
    <w:p w:rsidR="00522FD7" w:rsidRDefault="00501258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1 126 534,90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22FD7" w:rsidRDefault="00501258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0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22FD7" w:rsidRDefault="00501258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</w:t>
      </w:r>
      <w:r>
        <w:rPr>
          <w:sz w:val="20"/>
        </w:rPr>
        <w:t xml:space="preserve">ry je limitována částkou uvedenou v bodu 1. Pokud skutečné výdaje akce (a to       i průběžně, v průběhu realizace akce) překročí základ pro stanovení podpory (popřípadě jeho část odpovídající postupu realizace akce), uhradí příjemce podpory částku tohoto </w:t>
      </w:r>
      <w:r>
        <w:rPr>
          <w:sz w:val="20"/>
        </w:rPr>
        <w:t>překročení z vlastních zdrojů.</w:t>
      </w:r>
    </w:p>
    <w:p w:rsidR="00522FD7" w:rsidRDefault="00501258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skutečně, účelně, efektivně, oprávněně a nezbytně vynaložených výdajů v přímé souvislosti s realizací projektu a musí být vzniklé a uhrazené v období realizace projektu (t. j. po zahájení projektu a před dokončením p</w:t>
      </w:r>
      <w:r>
        <w:rPr>
          <w:sz w:val="20"/>
        </w:rPr>
        <w:t>rojektu), nejdříve však po dni podání žádosti o poskytnutí dotace, s výjimkou výdajů na projektovou přípravu, které mohou být uznány jako způsobilé i v případě, že vznikly a byly uhrazeny před tímto</w:t>
      </w:r>
      <w:r>
        <w:rPr>
          <w:spacing w:val="-7"/>
          <w:sz w:val="20"/>
        </w:rPr>
        <w:t xml:space="preserve"> </w:t>
      </w:r>
      <w:r>
        <w:rPr>
          <w:sz w:val="20"/>
        </w:rPr>
        <w:t>datem.</w:t>
      </w:r>
    </w:p>
    <w:p w:rsidR="00522FD7" w:rsidRDefault="0050125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 xml:space="preserve">Platby  dodavatelům  lze  z podpory  poskytované  </w:t>
      </w:r>
      <w:r>
        <w:rPr>
          <w:sz w:val="20"/>
        </w:rPr>
        <w:t>Fondem  hradit  pouze  za  stavební  práce,  služby 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522FD7" w:rsidRDefault="0050125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01258">
      <w:pPr>
        <w:pStyle w:val="Nadpis1"/>
        <w:spacing w:before="188"/>
        <w:ind w:left="3274"/>
      </w:pPr>
      <w:r>
        <w:t>III.</w:t>
      </w:r>
    </w:p>
    <w:p w:rsidR="00522FD7" w:rsidRDefault="00501258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522FD7" w:rsidRDefault="00522FD7">
      <w:pPr>
        <w:pStyle w:val="Zkladntext"/>
        <w:spacing w:before="12"/>
        <w:ind w:left="0"/>
        <w:jc w:val="left"/>
        <w:rPr>
          <w:b/>
          <w:sz w:val="19"/>
        </w:rPr>
      </w:pP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10-15</w:t>
      </w:r>
      <w:r>
        <w:rPr>
          <w:spacing w:val="-5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byl dodržen poměr podpory a vlastních </w:t>
      </w:r>
      <w:r>
        <w:rPr>
          <w:sz w:val="20"/>
        </w:rPr>
        <w:t>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522FD7" w:rsidRDefault="00522FD7">
      <w:pPr>
        <w:pStyle w:val="Zkladntext"/>
        <w:spacing w:before="1"/>
        <w:ind w:left="0"/>
        <w:jc w:val="left"/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522FD7">
        <w:trPr>
          <w:trHeight w:val="506"/>
        </w:trPr>
        <w:tc>
          <w:tcPr>
            <w:tcW w:w="4112" w:type="dxa"/>
          </w:tcPr>
          <w:p w:rsidR="00522FD7" w:rsidRDefault="00501258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522FD7" w:rsidRDefault="00501258">
            <w:pPr>
              <w:pStyle w:val="TableParagraph"/>
              <w:spacing w:before="120"/>
              <w:ind w:left="0" w:right="1940"/>
              <w:jc w:val="right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522FD7">
        <w:trPr>
          <w:trHeight w:val="505"/>
        </w:trPr>
        <w:tc>
          <w:tcPr>
            <w:tcW w:w="4112" w:type="dxa"/>
          </w:tcPr>
          <w:p w:rsidR="00522FD7" w:rsidRDefault="00501258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522FD7" w:rsidRDefault="00501258">
            <w:pPr>
              <w:pStyle w:val="TableParagraph"/>
              <w:spacing w:before="120"/>
              <w:ind w:left="0" w:right="1938"/>
              <w:jc w:val="right"/>
              <w:rPr>
                <w:sz w:val="20"/>
              </w:rPr>
            </w:pPr>
            <w:r>
              <w:rPr>
                <w:sz w:val="20"/>
              </w:rPr>
              <w:t>704 416,16</w:t>
            </w:r>
          </w:p>
        </w:tc>
      </w:tr>
      <w:tr w:rsidR="00522FD7">
        <w:trPr>
          <w:trHeight w:val="506"/>
        </w:trPr>
        <w:tc>
          <w:tcPr>
            <w:tcW w:w="4112" w:type="dxa"/>
          </w:tcPr>
          <w:p w:rsidR="00522FD7" w:rsidRDefault="00501258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522FD7" w:rsidRDefault="00501258"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253 138,50</w:t>
            </w:r>
          </w:p>
        </w:tc>
      </w:tr>
    </w:tbl>
    <w:p w:rsidR="00522FD7" w:rsidRDefault="00522FD7">
      <w:pPr>
        <w:pStyle w:val="Zkladntext"/>
        <w:spacing w:before="11"/>
        <w:ind w:left="0"/>
        <w:jc w:val="left"/>
        <w:rPr>
          <w:sz w:val="19"/>
        </w:rPr>
      </w:pP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agendového</w:t>
      </w:r>
      <w:r>
        <w:rPr>
          <w:spacing w:val="2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21"/>
          <w:sz w:val="20"/>
        </w:rPr>
        <w:t xml:space="preserve"> </w:t>
      </w:r>
      <w:r>
        <w:rPr>
          <w:sz w:val="20"/>
        </w:rPr>
        <w:t>systému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1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1"/>
          <w:sz w:val="20"/>
        </w:rPr>
        <w:t xml:space="preserve"> </w:t>
      </w:r>
      <w:r>
        <w:rPr>
          <w:sz w:val="20"/>
        </w:rPr>
        <w:t>České</w:t>
      </w:r>
      <w:r>
        <w:rPr>
          <w:spacing w:val="19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20"/>
          <w:sz w:val="20"/>
        </w:rPr>
        <w:t xml:space="preserve"> </w:t>
      </w:r>
      <w:r>
        <w:rPr>
          <w:sz w:val="20"/>
        </w:rPr>
        <w:t>„AIS</w:t>
      </w:r>
    </w:p>
    <w:p w:rsidR="00522FD7" w:rsidRDefault="00522FD7">
      <w:pPr>
        <w:jc w:val="both"/>
        <w:rPr>
          <w:sz w:val="20"/>
        </w:rPr>
        <w:sectPr w:rsidR="00522FD7">
          <w:pgSz w:w="12240" w:h="15840"/>
          <w:pgMar w:top="1060" w:right="1020" w:bottom="1160" w:left="1460" w:header="0" w:footer="882" w:gutter="0"/>
          <w:cols w:space="708"/>
        </w:sectPr>
      </w:pPr>
    </w:p>
    <w:p w:rsidR="00522FD7" w:rsidRDefault="00501258">
      <w:pPr>
        <w:pStyle w:val="Zkladntext"/>
        <w:spacing w:before="73"/>
        <w:ind w:right="111"/>
      </w:pPr>
      <w:r>
        <w:lastRenderedPageBreak/>
        <w:t>SFŽP“) s každou žádostí o uvolnění finančních prostředků (bod 11) příslušné doklady prokazující oprávněnost vynaložených finančních prostředků.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</w:t>
      </w:r>
      <w:r>
        <w:rPr>
          <w:sz w:val="20"/>
        </w:rPr>
        <w:t>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</w:t>
      </w:r>
      <w:r>
        <w:rPr>
          <w:sz w:val="20"/>
        </w:rPr>
        <w:t>dpory v průběhu realizace akce nehradí z vlastních zdrojů plně výdaje akce přesahující základ pro stanovení podpory. Ustanovení článku V bodu 1 tím není</w:t>
      </w:r>
      <w:r>
        <w:rPr>
          <w:spacing w:val="-16"/>
          <w:sz w:val="20"/>
        </w:rPr>
        <w:t xml:space="preserve"> </w:t>
      </w:r>
      <w:r>
        <w:rPr>
          <w:sz w:val="20"/>
        </w:rPr>
        <w:t>dotčeno.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8"/>
          <w:sz w:val="20"/>
        </w:rPr>
        <w:t xml:space="preserve"> </w:t>
      </w:r>
      <w:r>
        <w:rPr>
          <w:sz w:val="20"/>
        </w:rPr>
        <w:t>projektu.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</w:t>
      </w:r>
      <w:r>
        <w:rPr>
          <w:sz w:val="20"/>
        </w:rPr>
        <w:t>tebního kalendáře  v AIS SFŽP a na základě žádostí      o uvolnění finančních prostředků doručených Fondu příjemcem podpory prostřednictvím AIS</w:t>
      </w:r>
      <w:r>
        <w:rPr>
          <w:spacing w:val="-20"/>
          <w:sz w:val="20"/>
        </w:rPr>
        <w:t xml:space="preserve"> </w:t>
      </w:r>
      <w:r>
        <w:rPr>
          <w:sz w:val="20"/>
        </w:rPr>
        <w:t>SFŽP.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0"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náležitosti:</w:t>
      </w:r>
    </w:p>
    <w:p w:rsidR="00522FD7" w:rsidRDefault="0050125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522FD7" w:rsidRDefault="00501258">
      <w:pPr>
        <w:pStyle w:val="Odstavecseseznamem"/>
        <w:numPr>
          <w:ilvl w:val="1"/>
          <w:numId w:val="5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4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4"/>
          <w:sz w:val="20"/>
        </w:rPr>
        <w:t xml:space="preserve"> </w:t>
      </w:r>
      <w:r>
        <w:rPr>
          <w:sz w:val="20"/>
        </w:rPr>
        <w:t>akce.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 předloží Fondu neuhrazené nebo částečně uhrazené f</w:t>
      </w:r>
      <w:r>
        <w:rPr>
          <w:sz w:val="20"/>
        </w:rPr>
        <w:t>aktury, doloží příjemce podpory Fondu nejpozději do 10 kalendářních dnů od uvolnění finančních prostředků relevantní doklady prokazující uhrazení těchto faktur, včetně podílu vlastních zdrojů. Fond akceptuje předložení faktur i z roku předcházejícího uvoln</w:t>
      </w:r>
      <w:r>
        <w:rPr>
          <w:sz w:val="20"/>
        </w:rPr>
        <w:t>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z w:val="20"/>
        </w:rPr>
        <w:t xml:space="preserve">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</w:t>
      </w:r>
      <w:r>
        <w:rPr>
          <w:sz w:val="20"/>
        </w:rPr>
        <w:t>it povinnost stanovenou v článku IV bodu 2 písm.</w:t>
      </w:r>
      <w:r>
        <w:rPr>
          <w:spacing w:val="-3"/>
          <w:sz w:val="20"/>
        </w:rPr>
        <w:t xml:space="preserve"> </w:t>
      </w:r>
      <w:r>
        <w:rPr>
          <w:sz w:val="20"/>
        </w:rPr>
        <w:t>c).</w:t>
      </w:r>
    </w:p>
    <w:p w:rsidR="00522FD7" w:rsidRDefault="0050125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522FD7" w:rsidRDefault="00522FD7">
      <w:pPr>
        <w:jc w:val="both"/>
        <w:rPr>
          <w:sz w:val="20"/>
        </w:rPr>
        <w:sectPr w:rsidR="00522FD7">
          <w:pgSz w:w="12240" w:h="15840"/>
          <w:pgMar w:top="1060" w:right="1020" w:bottom="1160" w:left="1460" w:header="0" w:footer="882" w:gutter="0"/>
          <w:cols w:space="708"/>
        </w:sectPr>
      </w:pPr>
    </w:p>
    <w:p w:rsidR="00522FD7" w:rsidRDefault="00501258">
      <w:pPr>
        <w:pStyle w:val="Nadpis1"/>
        <w:spacing w:before="73"/>
        <w:ind w:left="3278"/>
      </w:pPr>
      <w:r>
        <w:lastRenderedPageBreak/>
        <w:t>IV.</w:t>
      </w:r>
    </w:p>
    <w:p w:rsidR="00522FD7" w:rsidRDefault="00501258">
      <w:pPr>
        <w:ind w:left="1140" w:right="1016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522FD7" w:rsidRDefault="00522FD7">
      <w:pPr>
        <w:pStyle w:val="Zkladntext"/>
        <w:spacing w:before="1"/>
        <w:ind w:left="0"/>
        <w:jc w:val="left"/>
        <w:rPr>
          <w:b/>
        </w:rPr>
      </w:pPr>
    </w:p>
    <w:p w:rsidR="00522FD7" w:rsidRDefault="00501258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742"/>
        </w:tabs>
        <w:ind w:right="0" w:hanging="217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spacing w:before="120"/>
        <w:ind w:right="114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9"/>
          <w:sz w:val="20"/>
        </w:rPr>
        <w:t xml:space="preserve"> </w:t>
      </w:r>
      <w:r>
        <w:rPr>
          <w:sz w:val="20"/>
        </w:rPr>
        <w:t>podrobného</w:t>
      </w:r>
      <w:r>
        <w:rPr>
          <w:spacing w:val="-11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„Škola</w:t>
      </w:r>
      <w:r>
        <w:rPr>
          <w:spacing w:val="-11"/>
          <w:sz w:val="20"/>
        </w:rPr>
        <w:t xml:space="preserve"> </w:t>
      </w:r>
      <w:r>
        <w:rPr>
          <w:sz w:val="20"/>
        </w:rPr>
        <w:t>národního parku“, který je součástí žádosti ze dne 19. 11. 2019, aktualizovaného rozpočtu a harmonogramu, podle smluv, objednávek a dohod o provedení práce, včetně případných změn a do</w:t>
      </w:r>
      <w:r>
        <w:rPr>
          <w:sz w:val="20"/>
        </w:rPr>
        <w:t>plňků těchto dokumentů odsouhlasených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Fondem,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19"/>
        <w:ind w:right="121"/>
        <w:jc w:val="left"/>
        <w:rPr>
          <w:sz w:val="20"/>
        </w:rPr>
      </w:pPr>
      <w:r>
        <w:rPr>
          <w:sz w:val="20"/>
        </w:rPr>
        <w:t>vytvoří certifikační program ŠKOLA NÁRODNÍHO PARKU ČESKÉ ŠVÝRARSKO, který zvýší EVVO gramotnost dětí a mládeže v regionu NP České</w:t>
      </w:r>
      <w:r>
        <w:rPr>
          <w:spacing w:val="-1"/>
          <w:sz w:val="20"/>
        </w:rPr>
        <w:t xml:space="preserve"> </w:t>
      </w:r>
      <w:r>
        <w:rPr>
          <w:sz w:val="20"/>
        </w:rPr>
        <w:t>Švýcarsko,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758"/>
        </w:tabs>
        <w:ind w:left="758" w:right="0" w:hanging="233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18"/>
        <w:ind w:right="0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ind w:right="121"/>
        <w:rPr>
          <w:sz w:val="20"/>
        </w:rPr>
      </w:pPr>
      <w:r>
        <w:rPr>
          <w:sz w:val="20"/>
        </w:rPr>
        <w:t>zabezpečí, že účel, pro který je poskytnuta podpora podle této Smlouvy, bude u relevantních aktivit a jejich výstupů řádně plněn po dobu 5 let od ukončení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ind w:right="112"/>
        <w:rPr>
          <w:sz w:val="20"/>
        </w:rPr>
      </w:pPr>
      <w:r>
        <w:rPr>
          <w:sz w:val="20"/>
        </w:rPr>
        <w:t>bude  veškeré  výdaje  akce  vést  v účetnictví  nebo   daňové  evidenci  (zák</w:t>
      </w:r>
      <w:r>
        <w:rPr>
          <w:sz w:val="20"/>
        </w:rPr>
        <w:t>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</w:t>
      </w:r>
      <w:r>
        <w:rPr>
          <w:sz w:val="20"/>
        </w:rPr>
        <w:t>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spacing w:before="119"/>
        <w:ind w:right="112"/>
        <w:rPr>
          <w:sz w:val="20"/>
        </w:rPr>
      </w:pPr>
      <w:r>
        <w:rPr>
          <w:sz w:val="20"/>
        </w:rPr>
        <w:t xml:space="preserve">umožní provádět kontrolu provedení opatření na místě realizace včetně kontroly souvisejících dokumentů osobám pověřeným Fondem případně jiným oprávněným kontrolním orgánům, a to po dobu od </w:t>
      </w:r>
      <w:r>
        <w:rPr>
          <w:sz w:val="20"/>
        </w:rPr>
        <w:t>podání žádosti o poskytnutí dotace do konce 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projektu,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ind w:right="0"/>
        <w:rPr>
          <w:sz w:val="20"/>
        </w:rPr>
      </w:pPr>
      <w:r>
        <w:rPr>
          <w:sz w:val="20"/>
        </w:rPr>
        <w:t>bude dodržovat pravidla publicity dle pokynů v čl. 14.3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right="0" w:hanging="286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termín dokončení akce do konce 8/2022 a o dodržení tohoto termínu Fond bez zbytečného odkladu informovat (za termín ukončení projektu se považuje datum protokolu o předání a převzetí díla). Přitom se konstatuje, že akce byla zahájena v</w:t>
      </w:r>
      <w:r>
        <w:rPr>
          <w:spacing w:val="-5"/>
          <w:sz w:val="20"/>
        </w:rPr>
        <w:t xml:space="preserve"> </w:t>
      </w:r>
      <w:r>
        <w:rPr>
          <w:sz w:val="20"/>
        </w:rPr>
        <w:t>9/2019,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3" w:hanging="284"/>
        <w:jc w:val="both"/>
        <w:rPr>
          <w:sz w:val="20"/>
        </w:rPr>
      </w:pPr>
      <w:r>
        <w:rPr>
          <w:sz w:val="20"/>
        </w:rPr>
        <w:t xml:space="preserve">se zavazuje </w:t>
      </w:r>
      <w:r>
        <w:rPr>
          <w:sz w:val="20"/>
        </w:rPr>
        <w:t>nejpozději  do  konce  11/2022  předložit  Fondu  prostřednictvím  AIS  SFŽP  podklady k závěrečnému vyhodnocení akce (ZVA) podle čl. 12 písm. d) Výzvy a</w:t>
      </w:r>
      <w:r>
        <w:rPr>
          <w:spacing w:val="-7"/>
          <w:sz w:val="20"/>
        </w:rPr>
        <w:t xml:space="preserve"> </w:t>
      </w:r>
      <w:r>
        <w:rPr>
          <w:sz w:val="20"/>
        </w:rPr>
        <w:t>dále: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ind w:right="0"/>
        <w:rPr>
          <w:sz w:val="20"/>
        </w:rPr>
      </w:pPr>
      <w:r>
        <w:rPr>
          <w:sz w:val="20"/>
        </w:rPr>
        <w:t>po 1 ks od každého vytvořeného a vytištěného materiálu k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522FD7" w:rsidRDefault="00501258">
      <w:pPr>
        <w:pStyle w:val="Odstavecseseznamem"/>
        <w:numPr>
          <w:ilvl w:val="0"/>
          <w:numId w:val="3"/>
        </w:numPr>
        <w:tabs>
          <w:tab w:val="left" w:pos="809"/>
        </w:tabs>
        <w:spacing w:before="120"/>
        <w:ind w:right="0"/>
        <w:rPr>
          <w:sz w:val="20"/>
        </w:rPr>
      </w:pPr>
      <w:r>
        <w:rPr>
          <w:sz w:val="20"/>
        </w:rPr>
        <w:t xml:space="preserve">stručnou závěrečnou zprávu o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522FD7" w:rsidRDefault="00501258">
      <w:pPr>
        <w:pStyle w:val="Zkladntext"/>
        <w:spacing w:before="118"/>
        <w:ind w:right="109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 stanovené Fonde</w:t>
      </w:r>
      <w:r>
        <w:t>m) splnit. Fond není povinen vydat protokol o ZVA dříve, než obdrží veškeré požadované podklady a informace, na základě kterých bude moci jednoznačně rozhodnout o plnění podmínek této  Smlouvy a rovněž  v případě, že příjemce  podpory je v prodlení   s pln</w:t>
      </w:r>
      <w:r>
        <w:t>ěním finančních závazků vůči Fondu. Protokol o ZVA bude obsahovat vypořádání čerpaných prostředků a vyhodnocení plnění smluvních podmínek.</w:t>
      </w:r>
    </w:p>
    <w:p w:rsidR="00522FD7" w:rsidRDefault="00501258">
      <w:pPr>
        <w:pStyle w:val="Odstavecseseznamem"/>
        <w:numPr>
          <w:ilvl w:val="0"/>
          <w:numId w:val="4"/>
        </w:numPr>
        <w:tabs>
          <w:tab w:val="left" w:pos="466"/>
        </w:tabs>
        <w:ind w:right="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08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</w:t>
      </w:r>
      <w:r>
        <w:rPr>
          <w:sz w:val="20"/>
        </w:rPr>
        <w:t>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5"/>
          <w:sz w:val="20"/>
        </w:rPr>
        <w:t xml:space="preserve"> </w:t>
      </w:r>
      <w:r>
        <w:rPr>
          <w:sz w:val="20"/>
        </w:rPr>
        <w:t>platba,</w:t>
      </w:r>
    </w:p>
    <w:p w:rsidR="00522FD7" w:rsidRDefault="00522FD7">
      <w:pPr>
        <w:jc w:val="both"/>
        <w:rPr>
          <w:sz w:val="20"/>
        </w:rPr>
        <w:sectPr w:rsidR="00522FD7">
          <w:pgSz w:w="12240" w:h="15840"/>
          <w:pgMar w:top="1060" w:right="1020" w:bottom="1160" w:left="1460" w:header="0" w:footer="882" w:gutter="0"/>
          <w:cols w:space="708"/>
        </w:sectPr>
      </w:pP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left="808" w:hanging="284"/>
        <w:jc w:val="both"/>
        <w:rPr>
          <w:sz w:val="20"/>
        </w:rPr>
      </w:pPr>
      <w:r>
        <w:rPr>
          <w:sz w:val="20"/>
        </w:rPr>
        <w:lastRenderedPageBreak/>
        <w:t>vést o použití poskytnutých prostředků samostatnou průkaznou evidenci v souladu s právními předpisy,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0" w:hanging="284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</w:t>
      </w:r>
      <w:r>
        <w:rPr>
          <w:sz w:val="20"/>
        </w:rPr>
        <w:t>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3"/>
          <w:sz w:val="20"/>
        </w:rPr>
        <w:t xml:space="preserve"> </w:t>
      </w:r>
      <w:r>
        <w:rPr>
          <w:sz w:val="20"/>
        </w:rPr>
        <w:t>vznikne,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2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10"/>
          <w:sz w:val="20"/>
        </w:rPr>
        <w:t xml:space="preserve"> </w:t>
      </w:r>
      <w:r>
        <w:rPr>
          <w:sz w:val="20"/>
        </w:rPr>
        <w:t>4,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2" w:hanging="284"/>
        <w:jc w:val="both"/>
        <w:rPr>
          <w:sz w:val="20"/>
        </w:rPr>
      </w:pPr>
      <w:r>
        <w:rPr>
          <w:sz w:val="20"/>
        </w:rPr>
        <w:t>předkládat Fondu prostřednictvím AIS SFŽP roční finanční vypořádání vztahů vzniklých na základě této Smlouvy, a to vždy nejpozději do 31. ledna následujícího kalendářního roku; k obsahu ročního finančního vypořádání může Fond vyda</w:t>
      </w:r>
      <w:r>
        <w:rPr>
          <w:sz w:val="20"/>
        </w:rPr>
        <w:t>t příjemci podpory závazné</w:t>
      </w:r>
      <w:r>
        <w:rPr>
          <w:spacing w:val="-7"/>
          <w:sz w:val="20"/>
        </w:rPr>
        <w:t xml:space="preserve"> </w:t>
      </w:r>
      <w:r>
        <w:rPr>
          <w:sz w:val="20"/>
        </w:rPr>
        <w:t>pokyny,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left="808" w:right="113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věcnou,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08" w:hanging="284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 Smlouvy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28"/>
          <w:sz w:val="20"/>
        </w:rPr>
        <w:t xml:space="preserve"> </w:t>
      </w:r>
      <w:r>
        <w:rPr>
          <w:sz w:val="20"/>
        </w:rPr>
        <w:t>Smlouvou),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left="80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09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 pravdivé,  nezkreslené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Smlouvou,</w:t>
      </w:r>
    </w:p>
    <w:p w:rsidR="00522FD7" w:rsidRDefault="00501258">
      <w:pPr>
        <w:pStyle w:val="Odstavecseseznamem"/>
        <w:numPr>
          <w:ilvl w:val="1"/>
          <w:numId w:val="4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522FD7" w:rsidRDefault="00501258">
      <w:pPr>
        <w:pStyle w:val="Zkladntext"/>
        <w:ind w:left="808" w:right="112"/>
      </w:pPr>
      <w:r>
        <w:t>– odkaz na Zadávání veřejných zakázek pro OPŽP 2014 - 2020, a to i v průběhu realizace akce. Specifické povinnosti relevantní pouze pro OPŽP 2014 – 2020 se na příjemce podpory ne</w:t>
      </w:r>
      <w:r>
        <w:t>vztahují. V této souvislosti příjemce podpory prohlašuje, že uvedená pravidla byla dodržena.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22FD7">
      <w:pPr>
        <w:pStyle w:val="Zkladntext"/>
        <w:spacing w:before="12"/>
        <w:ind w:left="0"/>
        <w:jc w:val="left"/>
        <w:rPr>
          <w:sz w:val="33"/>
        </w:rPr>
      </w:pPr>
    </w:p>
    <w:p w:rsidR="00522FD7" w:rsidRDefault="00501258">
      <w:pPr>
        <w:pStyle w:val="Nadpis1"/>
        <w:ind w:left="3273"/>
      </w:pPr>
      <w:r>
        <w:t>V.</w:t>
      </w:r>
    </w:p>
    <w:p w:rsidR="00522FD7" w:rsidRDefault="00501258">
      <w:pPr>
        <w:spacing w:before="1"/>
        <w:ind w:left="1143" w:right="1016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522FD7" w:rsidRDefault="00522FD7">
      <w:pPr>
        <w:pStyle w:val="Zkladntext"/>
        <w:ind w:left="0"/>
        <w:jc w:val="left"/>
        <w:rPr>
          <w:b/>
        </w:rPr>
      </w:pPr>
    </w:p>
    <w:p w:rsidR="00522FD7" w:rsidRDefault="00501258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</w:t>
      </w:r>
      <w:r>
        <w:rPr>
          <w:sz w:val="20"/>
        </w:rPr>
        <w:t>šných  ustanovení  zákona  č.  218/2000  Sb.,  o  rozpočtových  pravidlech a o změně některých souvisejících zákonů (rozpočtová pravidla),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22FD7" w:rsidRDefault="0050125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 xml:space="preserve">Porušení povinností podle článku II bodů 5 nebo 6 nebo podle článku IV bodu 2 písm. a), c), d) nebo </w:t>
      </w:r>
      <w:r>
        <w:rPr>
          <w:sz w:val="20"/>
        </w:rPr>
        <w:t>e) bude postiženo odvodem ve výši 100 % z poskytnuté podpory. Porušení povinností podle</w:t>
      </w:r>
      <w:r>
        <w:rPr>
          <w:spacing w:val="-21"/>
          <w:sz w:val="20"/>
        </w:rPr>
        <w:t xml:space="preserve"> </w:t>
      </w:r>
      <w:r>
        <w:rPr>
          <w:sz w:val="20"/>
        </w:rPr>
        <w:t>článku</w:t>
      </w:r>
    </w:p>
    <w:p w:rsidR="00522FD7" w:rsidRDefault="00522FD7">
      <w:pPr>
        <w:jc w:val="both"/>
        <w:rPr>
          <w:sz w:val="20"/>
        </w:rPr>
        <w:sectPr w:rsidR="00522FD7">
          <w:pgSz w:w="12240" w:h="15840"/>
          <w:pgMar w:top="1060" w:right="1020" w:bottom="1160" w:left="1460" w:header="0" w:footer="882" w:gutter="0"/>
          <w:cols w:space="708"/>
        </w:sectPr>
      </w:pPr>
    </w:p>
    <w:p w:rsidR="00522FD7" w:rsidRDefault="00501258">
      <w:pPr>
        <w:pStyle w:val="Zkladntext"/>
        <w:spacing w:before="73"/>
        <w:ind w:right="111"/>
      </w:pPr>
      <w:r>
        <w:lastRenderedPageBreak/>
        <w:t>IV</w:t>
      </w:r>
      <w:r>
        <w:rPr>
          <w:spacing w:val="-6"/>
        </w:rPr>
        <w:t xml:space="preserve"> </w:t>
      </w:r>
      <w:r>
        <w:t>bodu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první nebo</w:t>
      </w:r>
      <w:r>
        <w:rPr>
          <w:spacing w:val="-4"/>
        </w:rPr>
        <w:t xml:space="preserve"> </w:t>
      </w:r>
      <w:r>
        <w:t>druhou</w:t>
      </w:r>
      <w:r>
        <w:rPr>
          <w:spacing w:val="-6"/>
        </w:rPr>
        <w:t xml:space="preserve"> </w:t>
      </w:r>
      <w:r>
        <w:t>odrážkou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postiženo</w:t>
      </w:r>
      <w:r>
        <w:rPr>
          <w:spacing w:val="-3"/>
        </w:rPr>
        <w:t xml:space="preserve"> </w:t>
      </w:r>
      <w:r>
        <w:t>odvodem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výši</w:t>
      </w:r>
      <w:r>
        <w:rPr>
          <w:spacing w:val="-7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poskytnuté podpory.</w:t>
      </w:r>
    </w:p>
    <w:p w:rsidR="00522FD7" w:rsidRDefault="00501258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 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li</w:t>
      </w:r>
      <w:r>
        <w:rPr>
          <w:spacing w:val="-12"/>
          <w:sz w:val="20"/>
        </w:rPr>
        <w:t xml:space="preserve"> </w:t>
      </w:r>
      <w:r>
        <w:rPr>
          <w:sz w:val="20"/>
        </w:rPr>
        <w:t>naplněn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článku IV bodu 1 písm. a) za druhou odrážkou na méně než 50 % </w:t>
      </w:r>
      <w:r>
        <w:rPr>
          <w:sz w:val="20"/>
        </w:rPr>
        <w:t>stanovených indikátorů, bude toto porušení postiženo odvodem ve výši 100 % z poskytnuté podpory. V případě plnění účelu akce v rozmezí 50 - 90</w:t>
      </w:r>
    </w:p>
    <w:p w:rsidR="00522FD7" w:rsidRDefault="00501258">
      <w:pPr>
        <w:pStyle w:val="Zkladntext"/>
        <w:ind w:right="110"/>
      </w:pPr>
      <w:r>
        <w:t>% stanovených indikátorů, bude toto porušení postiženo odvodem v rozmezí 10 – 50 % z poskytnuté podpory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</w:t>
      </w:r>
      <w:r>
        <w:t>sti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míře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indikátorů</w:t>
      </w:r>
      <w:r>
        <w:rPr>
          <w:spacing w:val="-4"/>
        </w:rPr>
        <w:t xml:space="preserve"> </w:t>
      </w:r>
      <w:r>
        <w:t>účelu</w:t>
      </w:r>
      <w:r>
        <w:rPr>
          <w:spacing w:val="-5"/>
        </w:rPr>
        <w:t xml:space="preserve"> </w:t>
      </w:r>
      <w:r>
        <w:t>akce.</w:t>
      </w:r>
      <w:r>
        <w:rPr>
          <w:spacing w:val="-5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účelu</w:t>
      </w:r>
      <w:r>
        <w:rPr>
          <w:spacing w:val="-6"/>
        </w:rPr>
        <w:t xml:space="preserve"> </w:t>
      </w:r>
      <w:r>
        <w:t>akce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rozmezí</w:t>
      </w:r>
      <w:r>
        <w:rPr>
          <w:spacing w:val="-6"/>
        </w:rPr>
        <w:t xml:space="preserve"> </w:t>
      </w:r>
      <w:r>
        <w:t>90</w:t>
      </w:r>
    </w:p>
    <w:p w:rsidR="00522FD7" w:rsidRDefault="00501258">
      <w:pPr>
        <w:pStyle w:val="Zkladntext"/>
      </w:pPr>
      <w:r>
        <w:t>- 100 % stanovených indikátorů nebude postiženo odvodem.</w:t>
      </w:r>
    </w:p>
    <w:p w:rsidR="00522FD7" w:rsidRDefault="0050125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 povinností podle  článku IV bodu 1 písm. c)  nebo d) bude postiženo  odvodem ve výši 0,5 %  z poskytnuté podpory za každý započatý měsíc prodlení. Porušení těchto povinností nepřesahující lhůtu 10 kalendářních dnů nebude postiženo a nebude tak pov</w:t>
      </w:r>
      <w:r>
        <w:rPr>
          <w:sz w:val="20"/>
        </w:rPr>
        <w:t>ažováno za porušení podmínek poskytnutí podpory.</w:t>
      </w:r>
    </w:p>
    <w:p w:rsidR="00522FD7" w:rsidRDefault="0050125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522FD7" w:rsidRDefault="00501258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</w:t>
      </w:r>
      <w:r>
        <w:rPr>
          <w:sz w:val="20"/>
        </w:rPr>
        <w:t>o odvodem ve výši 1 % z poskytnuté podpory.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01258">
      <w:pPr>
        <w:pStyle w:val="Nadpis1"/>
        <w:spacing w:before="185"/>
        <w:ind w:left="3276"/>
      </w:pPr>
      <w:r>
        <w:t>VI.</w:t>
      </w:r>
    </w:p>
    <w:p w:rsidR="00522FD7" w:rsidRDefault="00501258">
      <w:pPr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522FD7" w:rsidRDefault="00522FD7">
      <w:pPr>
        <w:pStyle w:val="Zkladntext"/>
        <w:spacing w:before="1"/>
        <w:ind w:left="0"/>
        <w:jc w:val="left"/>
        <w:rPr>
          <w:b/>
        </w:rPr>
      </w:pP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</w:t>
      </w:r>
      <w:r>
        <w:rPr>
          <w:sz w:val="20"/>
        </w:rPr>
        <w:t>d s obecně závaznými předpisy a Směrnicí MŽP. V případě neuzavření takového dodatku má Fond právo uplatnit postup podle článku V bodu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</w:t>
      </w:r>
      <w:r>
        <w:rPr>
          <w:sz w:val="20"/>
        </w:rPr>
        <w:t>ždy číslo této Smlouvy, a to již v označení věci,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</w:t>
      </w:r>
      <w:r>
        <w:rPr>
          <w:sz w:val="20"/>
        </w:rPr>
        <w:t>vající část podpory podle článku III bodů 2 až 8, a to zejména tehdy, kdy bude docíleno nižších přínosů (nebo dojde k jejich opoždění), než jak tato Smlouva 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rPr>
          <w:sz w:val="20"/>
        </w:rPr>
      </w:pPr>
      <w:r>
        <w:rPr>
          <w:sz w:val="20"/>
        </w:rPr>
        <w:t>Jednostranně je možno tuto Smlouvu vypovědět pouze za podmínek stanovených z</w:t>
      </w:r>
      <w:r>
        <w:rPr>
          <w:sz w:val="20"/>
        </w:rPr>
        <w:t>ákonem či touto Smlouvou.</w:t>
      </w: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ind w:right="0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Pro  účely  této  Smlouvy se  informací  (povinností  informovat) rozumí podání informace v AIS  SFŽP,  v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</w:t>
      </w:r>
      <w:r>
        <w:rPr>
          <w:sz w:val="20"/>
        </w:rPr>
        <w:t>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 Smlouvy  v registru  smluv podle zákona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</w:t>
      </w:r>
      <w:r>
        <w:rPr>
          <w:sz w:val="20"/>
        </w:rPr>
        <w:t>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22FD7" w:rsidRDefault="00522FD7">
      <w:pPr>
        <w:jc w:val="both"/>
        <w:rPr>
          <w:sz w:val="20"/>
        </w:rPr>
        <w:sectPr w:rsidR="00522FD7">
          <w:pgSz w:w="12240" w:h="15840"/>
          <w:pgMar w:top="1060" w:right="1020" w:bottom="1160" w:left="1460" w:header="0" w:footer="882" w:gutter="0"/>
          <w:cols w:space="708"/>
        </w:sectPr>
      </w:pPr>
    </w:p>
    <w:p w:rsidR="00522FD7" w:rsidRDefault="00501258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rPr>
          <w:sz w:val="20"/>
        </w:rPr>
      </w:pPr>
      <w:r>
        <w:rPr>
          <w:sz w:val="20"/>
        </w:rPr>
        <w:lastRenderedPageBreak/>
        <w:t xml:space="preserve">Tato Smlouva je vyhotovena a podepsána ve dvou exemplářích, z nichž každý má platnost originálu. Každá smluvní strana obdrží </w:t>
      </w:r>
      <w:r>
        <w:rPr>
          <w:sz w:val="20"/>
        </w:rPr>
        <w:t>jeden</w:t>
      </w:r>
      <w:r>
        <w:rPr>
          <w:spacing w:val="-2"/>
          <w:sz w:val="20"/>
        </w:rPr>
        <w:t xml:space="preserve"> </w:t>
      </w:r>
      <w:r>
        <w:rPr>
          <w:sz w:val="20"/>
        </w:rPr>
        <w:t>exemplář.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22FD7">
      <w:pPr>
        <w:pStyle w:val="Zkladntext"/>
        <w:spacing w:before="2"/>
        <w:ind w:left="0"/>
        <w:jc w:val="left"/>
        <w:rPr>
          <w:sz w:val="34"/>
        </w:rPr>
      </w:pPr>
    </w:p>
    <w:p w:rsidR="00522FD7" w:rsidRDefault="00501258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522FD7" w:rsidRDefault="00522FD7">
      <w:pPr>
        <w:pStyle w:val="Zkladntext"/>
        <w:spacing w:before="11"/>
        <w:ind w:left="0"/>
        <w:jc w:val="left"/>
        <w:rPr>
          <w:sz w:val="19"/>
        </w:rPr>
      </w:pPr>
    </w:p>
    <w:p w:rsidR="00522FD7" w:rsidRDefault="00501258">
      <w:pPr>
        <w:pStyle w:val="Zkladntext"/>
        <w:spacing w:before="1"/>
        <w:ind w:left="242"/>
        <w:jc w:val="left"/>
      </w:pPr>
      <w:r>
        <w:t>dne: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22FD7">
      <w:pPr>
        <w:pStyle w:val="Zkladntext"/>
        <w:spacing w:before="12"/>
        <w:ind w:left="0"/>
        <w:jc w:val="left"/>
        <w:rPr>
          <w:sz w:val="27"/>
        </w:rPr>
      </w:pPr>
    </w:p>
    <w:p w:rsidR="00522FD7" w:rsidRDefault="00501258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522FD7" w:rsidRDefault="00501258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22FD7">
      <w:pPr>
        <w:pStyle w:val="Zkladntext"/>
        <w:spacing w:before="2"/>
        <w:ind w:left="0"/>
        <w:jc w:val="left"/>
        <w:rPr>
          <w:sz w:val="23"/>
        </w:rPr>
      </w:pPr>
    </w:p>
    <w:p w:rsidR="00522FD7" w:rsidRDefault="00501258">
      <w:pPr>
        <w:pStyle w:val="Zkladntext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522FD7" w:rsidRDefault="00522FD7">
      <w:pPr>
        <w:sectPr w:rsidR="00522FD7">
          <w:pgSz w:w="12240" w:h="15840"/>
          <w:pgMar w:top="1060" w:right="1020" w:bottom="1160" w:left="1460" w:header="0" w:footer="882" w:gutter="0"/>
          <w:cols w:space="708"/>
        </w:sectPr>
      </w:pPr>
    </w:p>
    <w:p w:rsidR="00522FD7" w:rsidRDefault="00501258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22FD7">
      <w:pPr>
        <w:pStyle w:val="Zkladntext"/>
        <w:ind w:left="0"/>
        <w:jc w:val="left"/>
        <w:rPr>
          <w:sz w:val="26"/>
        </w:rPr>
      </w:pPr>
    </w:p>
    <w:p w:rsidR="00522FD7" w:rsidRDefault="00522FD7">
      <w:pPr>
        <w:pStyle w:val="Zkladntext"/>
        <w:spacing w:before="2"/>
        <w:ind w:left="0"/>
        <w:jc w:val="left"/>
        <w:rPr>
          <w:sz w:val="24"/>
        </w:rPr>
      </w:pPr>
    </w:p>
    <w:p w:rsidR="00522FD7" w:rsidRDefault="00501258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522FD7" w:rsidRDefault="00522FD7">
      <w:pPr>
        <w:pStyle w:val="Zkladntext"/>
        <w:spacing w:before="1"/>
        <w:ind w:left="0"/>
        <w:jc w:val="left"/>
        <w:rPr>
          <w:b/>
          <w:sz w:val="27"/>
        </w:rPr>
      </w:pPr>
    </w:p>
    <w:p w:rsidR="00522FD7" w:rsidRDefault="00501258">
      <w:pPr>
        <w:pStyle w:val="Odstavecseseznamem"/>
        <w:numPr>
          <w:ilvl w:val="1"/>
          <w:numId w:val="1"/>
        </w:numPr>
        <w:tabs>
          <w:tab w:val="left" w:pos="670"/>
        </w:tabs>
        <w:spacing w:before="1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Podle této přílohy se v </w:t>
      </w:r>
      <w:r>
        <w:rPr>
          <w:sz w:val="20"/>
        </w:rPr>
        <w:t>souladu se zákonem č. 218/2000 Sb., o rozpočtových pravidel a o změně některých souvisejících zákonů, ve znění pozdějších předpisů, stanovuje výše finanční opravy za porušení rozpočtové kázně v  případě  pochybení,  které spočívá v  porušení  povinností st</w:t>
      </w:r>
      <w:r>
        <w:rPr>
          <w:sz w:val="20"/>
        </w:rPr>
        <w:t>anovených 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2)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při</w:t>
      </w:r>
      <w:r>
        <w:rPr>
          <w:spacing w:val="3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37"/>
          <w:sz w:val="20"/>
        </w:rPr>
        <w:t xml:space="preserve"> </w:t>
      </w:r>
      <w:r>
        <w:rPr>
          <w:sz w:val="20"/>
        </w:rPr>
        <w:t>zakázek</w:t>
      </w:r>
      <w:r>
        <w:rPr>
          <w:spacing w:val="39"/>
          <w:sz w:val="20"/>
        </w:rPr>
        <w:t xml:space="preserve"> </w:t>
      </w:r>
      <w:r>
        <w:rPr>
          <w:sz w:val="20"/>
        </w:rPr>
        <w:t>(dále</w:t>
      </w:r>
      <w:r>
        <w:rPr>
          <w:spacing w:val="39"/>
          <w:sz w:val="20"/>
        </w:rPr>
        <w:t xml:space="preserve"> </w:t>
      </w:r>
      <w:r>
        <w:rPr>
          <w:sz w:val="20"/>
        </w:rPr>
        <w:t>souhrnně</w:t>
      </w:r>
      <w:r>
        <w:rPr>
          <w:spacing w:val="36"/>
          <w:sz w:val="20"/>
        </w:rPr>
        <w:t xml:space="preserve"> </w:t>
      </w:r>
      <w:r>
        <w:rPr>
          <w:sz w:val="20"/>
        </w:rPr>
        <w:t>jen</w:t>
      </w:r>
    </w:p>
    <w:p w:rsidR="00522FD7" w:rsidRDefault="00501258">
      <w:pPr>
        <w:pStyle w:val="Zkladntext"/>
        <w:spacing w:line="264" w:lineRule="auto"/>
        <w:ind w:left="669" w:right="110"/>
      </w:pPr>
      <w:r>
        <w:t>„veřejné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7"/>
        </w:rPr>
        <w:t xml:space="preserve"> </w:t>
      </w:r>
      <w:r>
        <w:t>Sb.,</w:t>
      </w:r>
    </w:p>
    <w:p w:rsidR="00522FD7" w:rsidRDefault="00501258">
      <w:pPr>
        <w:pStyle w:val="Zkladntext"/>
        <w:spacing w:before="1" w:line="264" w:lineRule="auto"/>
        <w:ind w:left="66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</w:t>
      </w:r>
      <w:r>
        <w:t>ro zadávání veřejných zakázek v OPŽP 2014 – 2020, ve znění účinném v době zahájení výběrového/zadávacího řízení (dále jen „Pokyny OPŽP“), případně v dokumentu Zadávání veřejných zakázek v OPŽP 2014 – 2020, ve znění účinném v době zahájení výběrového/zadáva</w:t>
      </w:r>
      <w:r>
        <w:t>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522FD7" w:rsidRDefault="00501258">
      <w:pPr>
        <w:pStyle w:val="Odstavecseseznamem"/>
        <w:numPr>
          <w:ilvl w:val="1"/>
          <w:numId w:val="1"/>
        </w:numPr>
        <w:tabs>
          <w:tab w:val="left" w:pos="670"/>
        </w:tabs>
        <w:spacing w:before="119" w:line="264" w:lineRule="auto"/>
        <w:ind w:right="106" w:hanging="293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522FD7" w:rsidRDefault="00501258">
      <w:pPr>
        <w:pStyle w:val="Odstavecseseznamem"/>
        <w:numPr>
          <w:ilvl w:val="1"/>
          <w:numId w:val="1"/>
        </w:numPr>
        <w:tabs>
          <w:tab w:val="left" w:pos="670"/>
        </w:tabs>
        <w:spacing w:before="120" w:line="264" w:lineRule="auto"/>
        <w:ind w:right="108" w:hanging="346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</w:t>
      </w:r>
      <w:r>
        <w:rPr>
          <w:sz w:val="20"/>
        </w:rPr>
        <w:t xml:space="preserve"> oprava stanovena ve výši vyčísleného finančního dopadu. V případě, že není možné přesně vyčíslit finanční dopad identifikovaného porušení, bude finanční oprava stanovena podle typu porušení, viz tabulka níže.</w:t>
      </w:r>
    </w:p>
    <w:p w:rsidR="00522FD7" w:rsidRDefault="00501258">
      <w:pPr>
        <w:pStyle w:val="Odstavecseseznamem"/>
        <w:numPr>
          <w:ilvl w:val="1"/>
          <w:numId w:val="1"/>
        </w:numPr>
        <w:tabs>
          <w:tab w:val="left" w:pos="670"/>
        </w:tabs>
        <w:spacing w:line="264" w:lineRule="auto"/>
        <w:ind w:right="109" w:hanging="365"/>
        <w:jc w:val="both"/>
        <w:rPr>
          <w:sz w:val="20"/>
        </w:rPr>
      </w:pPr>
      <w:r>
        <w:rPr>
          <w:sz w:val="20"/>
        </w:rPr>
        <w:t>Výše finanční opravy se vypočte z částky, kter</w:t>
      </w:r>
      <w:r>
        <w:rPr>
          <w:sz w:val="20"/>
        </w:rPr>
        <w:t>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522FD7" w:rsidRDefault="00501258">
      <w:pPr>
        <w:pStyle w:val="Odstavecseseznamem"/>
        <w:numPr>
          <w:ilvl w:val="1"/>
          <w:numId w:val="1"/>
        </w:numPr>
        <w:tabs>
          <w:tab w:val="left" w:pos="670"/>
        </w:tabs>
        <w:spacing w:line="264" w:lineRule="auto"/>
        <w:ind w:hanging="310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 za jednotlivá porušení se</w:t>
      </w:r>
      <w:r>
        <w:rPr>
          <w:sz w:val="20"/>
        </w:rPr>
        <w:t xml:space="preserve"> nesčítají a výsledná finanční oprava je stanovena s ohledem na nejzávažnější porušení.</w:t>
      </w:r>
    </w:p>
    <w:p w:rsidR="00522FD7" w:rsidRDefault="00501258">
      <w:pPr>
        <w:pStyle w:val="Odstavecseseznamem"/>
        <w:numPr>
          <w:ilvl w:val="1"/>
          <w:numId w:val="1"/>
        </w:numPr>
        <w:tabs>
          <w:tab w:val="left" w:pos="670"/>
        </w:tabs>
        <w:spacing w:before="118" w:line="264" w:lineRule="auto"/>
        <w:ind w:right="108" w:hanging="365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nebo  možného  vlivu  na výsledek výběrového/zadávacího řízení, z hlediska míry porušení zá</w:t>
      </w:r>
      <w:r>
        <w:rPr>
          <w:sz w:val="20"/>
        </w:rPr>
        <w:t>kladních zásad zadávání veřejných zakázek a z hlediska míry porušení principů hospodárnosti,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522FD7" w:rsidRDefault="00501258">
      <w:pPr>
        <w:pStyle w:val="Odstavecseseznamem"/>
        <w:numPr>
          <w:ilvl w:val="1"/>
          <w:numId w:val="1"/>
        </w:numPr>
        <w:tabs>
          <w:tab w:val="left" w:pos="670"/>
        </w:tabs>
        <w:spacing w:before="122" w:line="264" w:lineRule="auto"/>
        <w:ind w:right="116" w:hanging="41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</w:t>
      </w:r>
      <w:r>
        <w:rPr>
          <w:sz w:val="20"/>
        </w:rPr>
        <w:t>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522FD7" w:rsidRDefault="00522FD7">
      <w:pPr>
        <w:spacing w:line="264" w:lineRule="auto"/>
        <w:jc w:val="both"/>
        <w:rPr>
          <w:sz w:val="20"/>
        </w:rPr>
        <w:sectPr w:rsidR="00522FD7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22FD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22FD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22FD7" w:rsidRDefault="00501258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522FD7" w:rsidRDefault="005012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522FD7" w:rsidRDefault="00501258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22FD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22FD7" w:rsidRDefault="0050125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22FD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22FD7" w:rsidRDefault="0050125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22FD7" w:rsidRDefault="00501258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22FD7" w:rsidRDefault="0050125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22FD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22FD7" w:rsidRDefault="0050125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22FD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522FD7" w:rsidRDefault="00501258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522FD7" w:rsidRDefault="0050125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522FD7" w:rsidRDefault="0050125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522FD7" w:rsidRDefault="0050125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522FD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522FD7" w:rsidRDefault="0050125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522FD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522FD7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522FD7" w:rsidRDefault="00501258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522FD7" w:rsidRDefault="0050125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522FD7" w:rsidRDefault="0050125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522FD7" w:rsidRDefault="0050125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22FD7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522FD7" w:rsidRDefault="00501258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 pro doručení nabídek</w:t>
            </w:r>
          </w:p>
        </w:tc>
      </w:tr>
      <w:tr w:rsidR="00522FD7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22FD7" w:rsidRDefault="0050125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522FD7" w:rsidRDefault="00501258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522FD7" w:rsidRDefault="00522FD7">
      <w:pPr>
        <w:spacing w:line="261" w:lineRule="auto"/>
        <w:rPr>
          <w:sz w:val="20"/>
        </w:rPr>
        <w:sectPr w:rsidR="00522FD7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22FD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22FD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22FD7" w:rsidRDefault="00501258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522FD7" w:rsidRDefault="00501258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522FD7" w:rsidRDefault="0050125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22FD7" w:rsidRDefault="0050125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522FD7" w:rsidRDefault="00501258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522FD7" w:rsidRDefault="00501258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22FD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522FD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522FD7" w:rsidRDefault="0050125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522FD7" w:rsidRDefault="0050125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522FD7" w:rsidRDefault="00501258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522FD7" w:rsidRDefault="0050125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22FD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22FD7" w:rsidRDefault="00501258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22FD7" w:rsidRDefault="00501258">
            <w:pPr>
              <w:pStyle w:val="TableParagraph"/>
              <w:spacing w:before="24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22FD7" w:rsidRDefault="0050125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522FD7" w:rsidRDefault="00501258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522FD7" w:rsidRDefault="00501258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22FD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22FD7" w:rsidRDefault="00501258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522FD7" w:rsidRDefault="00501258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522FD7" w:rsidRDefault="005012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522FD7" w:rsidRDefault="0050125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522FD7" w:rsidRDefault="0050125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522FD7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522FD7" w:rsidRDefault="0050125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522FD7" w:rsidRDefault="00501258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22FD7" w:rsidRDefault="0050125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22FD7" w:rsidRDefault="00522FD7">
      <w:pPr>
        <w:spacing w:line="264" w:lineRule="auto"/>
        <w:rPr>
          <w:sz w:val="20"/>
        </w:rPr>
        <w:sectPr w:rsidR="00522FD7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22FD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22FD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522FD7" w:rsidRDefault="0050125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522FD7" w:rsidRDefault="00501258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522FD7" w:rsidRDefault="005012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22FD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522FD7" w:rsidRDefault="00501258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FD7" w:rsidRDefault="00501258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522FD7" w:rsidRDefault="00501258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522FD7" w:rsidRDefault="00501258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22FD7" w:rsidRDefault="00501258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22FD7" w:rsidRDefault="00501258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22FD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522FD7" w:rsidRDefault="0050125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22FD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522FD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522FD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522FD7" w:rsidRDefault="005012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22FD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522FD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22FD7" w:rsidRDefault="0050125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522FD7" w:rsidRDefault="0050125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522FD7" w:rsidRDefault="0050125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22FD7" w:rsidRDefault="0050125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22FD7" w:rsidRDefault="0050125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22FD7">
        <w:trPr>
          <w:trHeight w:val="517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22FD7" w:rsidRDefault="00522FD7">
      <w:pPr>
        <w:rPr>
          <w:sz w:val="20"/>
        </w:rPr>
        <w:sectPr w:rsidR="00522FD7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22FD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22FD7">
        <w:trPr>
          <w:trHeight w:val="312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522FD7" w:rsidRDefault="00522FD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22FD7" w:rsidRDefault="005012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22FD7" w:rsidRDefault="0050125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522FD7" w:rsidRDefault="0050125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522FD7" w:rsidRDefault="005012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522FD7" w:rsidRDefault="0050125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22FD7" w:rsidRDefault="005012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22FD7" w:rsidRDefault="00501258">
            <w:pPr>
              <w:pStyle w:val="TableParagraph"/>
              <w:spacing w:before="27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522FD7" w:rsidRDefault="0050125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81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</w:t>
            </w:r>
            <w:r>
              <w:rPr>
                <w:sz w:val="20"/>
              </w:rPr>
              <w:t>ti porušení</w:t>
            </w:r>
          </w:p>
        </w:tc>
      </w:tr>
      <w:tr w:rsidR="00522FD7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522FD7" w:rsidRDefault="005012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522FD7" w:rsidRDefault="0050125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22FD7" w:rsidRDefault="0050125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522FD7" w:rsidRDefault="00501258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522FD7" w:rsidRDefault="00501258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522FD7" w:rsidRDefault="005012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522FD7" w:rsidRDefault="00501258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522FD7" w:rsidRDefault="0050125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22FD7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522FD7" w:rsidRDefault="0050125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522FD7" w:rsidRDefault="0050125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22FD7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522FD7" w:rsidRDefault="00501258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522FD7" w:rsidRDefault="00501258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522FD7" w:rsidRDefault="00522FD7">
      <w:pPr>
        <w:rPr>
          <w:sz w:val="20"/>
        </w:rPr>
        <w:sectPr w:rsidR="00522FD7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22FD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22FD7" w:rsidRDefault="0050125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22FD7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522FD7" w:rsidRDefault="00501258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522FD7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522FD7" w:rsidRDefault="00501258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522FD7" w:rsidRDefault="00501258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522FD7" w:rsidRDefault="00501258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522FD7" w:rsidRDefault="00501258">
            <w:pPr>
              <w:pStyle w:val="TableParagraph"/>
              <w:spacing w:before="144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522FD7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522FD7" w:rsidRDefault="005012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522FD7" w:rsidRDefault="0050125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FD7" w:rsidRDefault="0050125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522FD7" w:rsidRDefault="0050125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522FD7" w:rsidRDefault="00501258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522FD7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22FD7" w:rsidRDefault="00501258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522FD7" w:rsidRDefault="0050125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522FD7" w:rsidRDefault="00501258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522FD7" w:rsidRDefault="0050125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22FD7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2FD7" w:rsidRDefault="00501258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522FD7" w:rsidRDefault="0050125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522FD7" w:rsidRDefault="00501258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522FD7" w:rsidRDefault="00501258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2FD7" w:rsidRDefault="00501258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FD7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22FD7" w:rsidRDefault="00522FD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22FD7" w:rsidRDefault="0050125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501258" w:rsidRDefault="00501258"/>
    <w:sectPr w:rsidR="00501258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58" w:rsidRDefault="00501258">
      <w:r>
        <w:separator/>
      </w:r>
    </w:p>
  </w:endnote>
  <w:endnote w:type="continuationSeparator" w:id="0">
    <w:p w:rsidR="00501258" w:rsidRDefault="0050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D7" w:rsidRDefault="00501258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522FD7" w:rsidRDefault="00501258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77108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58" w:rsidRDefault="00501258">
      <w:r>
        <w:separator/>
      </w:r>
    </w:p>
  </w:footnote>
  <w:footnote w:type="continuationSeparator" w:id="0">
    <w:p w:rsidR="00501258" w:rsidRDefault="0050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698"/>
    <w:multiLevelType w:val="hybridMultilevel"/>
    <w:tmpl w:val="0E5A0BF8"/>
    <w:lvl w:ilvl="0" w:tplc="6DA6ED2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15288C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B564C82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AE1C06B4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AADE88E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E9EE108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E8629E54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7D6AD68E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8A26419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F412B5C"/>
    <w:multiLevelType w:val="hybridMultilevel"/>
    <w:tmpl w:val="4D3E9E9E"/>
    <w:lvl w:ilvl="0" w:tplc="B4E2BA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FB8164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C08A2C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522F8D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31E0E1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C02512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A46FD9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7D6278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D6095B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47B3C5C"/>
    <w:multiLevelType w:val="hybridMultilevel"/>
    <w:tmpl w:val="90E8826E"/>
    <w:lvl w:ilvl="0" w:tplc="3FD09FD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F56725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35CD21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ABC16A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E1ED66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FAA574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EDA0CF9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37A810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26CF70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7743EB6"/>
    <w:multiLevelType w:val="hybridMultilevel"/>
    <w:tmpl w:val="25EE7094"/>
    <w:lvl w:ilvl="0" w:tplc="7806038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060D23A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3DE9870">
      <w:numFmt w:val="bullet"/>
      <w:lvlText w:val="•"/>
      <w:lvlJc w:val="left"/>
      <w:pPr>
        <w:ind w:left="1671" w:hanging="240"/>
      </w:pPr>
      <w:rPr>
        <w:rFonts w:hint="default"/>
        <w:lang w:val="cs-CZ" w:eastAsia="cs-CZ" w:bidi="cs-CZ"/>
      </w:rPr>
    </w:lvl>
    <w:lvl w:ilvl="3" w:tplc="80E071D6">
      <w:numFmt w:val="bullet"/>
      <w:lvlText w:val="•"/>
      <w:lvlJc w:val="left"/>
      <w:pPr>
        <w:ind w:left="2682" w:hanging="240"/>
      </w:pPr>
      <w:rPr>
        <w:rFonts w:hint="default"/>
        <w:lang w:val="cs-CZ" w:eastAsia="cs-CZ" w:bidi="cs-CZ"/>
      </w:rPr>
    </w:lvl>
    <w:lvl w:ilvl="4" w:tplc="9B86CDA8">
      <w:numFmt w:val="bullet"/>
      <w:lvlText w:val="•"/>
      <w:lvlJc w:val="left"/>
      <w:pPr>
        <w:ind w:left="3693" w:hanging="240"/>
      </w:pPr>
      <w:rPr>
        <w:rFonts w:hint="default"/>
        <w:lang w:val="cs-CZ" w:eastAsia="cs-CZ" w:bidi="cs-CZ"/>
      </w:rPr>
    </w:lvl>
    <w:lvl w:ilvl="5" w:tplc="282CA620">
      <w:numFmt w:val="bullet"/>
      <w:lvlText w:val="•"/>
      <w:lvlJc w:val="left"/>
      <w:pPr>
        <w:ind w:left="4704" w:hanging="240"/>
      </w:pPr>
      <w:rPr>
        <w:rFonts w:hint="default"/>
        <w:lang w:val="cs-CZ" w:eastAsia="cs-CZ" w:bidi="cs-CZ"/>
      </w:rPr>
    </w:lvl>
    <w:lvl w:ilvl="6" w:tplc="A22E62F8">
      <w:numFmt w:val="bullet"/>
      <w:lvlText w:val="•"/>
      <w:lvlJc w:val="left"/>
      <w:pPr>
        <w:ind w:left="5715" w:hanging="240"/>
      </w:pPr>
      <w:rPr>
        <w:rFonts w:hint="default"/>
        <w:lang w:val="cs-CZ" w:eastAsia="cs-CZ" w:bidi="cs-CZ"/>
      </w:rPr>
    </w:lvl>
    <w:lvl w:ilvl="7" w:tplc="4EFC6FFC">
      <w:numFmt w:val="bullet"/>
      <w:lvlText w:val="•"/>
      <w:lvlJc w:val="left"/>
      <w:pPr>
        <w:ind w:left="6726" w:hanging="240"/>
      </w:pPr>
      <w:rPr>
        <w:rFonts w:hint="default"/>
        <w:lang w:val="cs-CZ" w:eastAsia="cs-CZ" w:bidi="cs-CZ"/>
      </w:rPr>
    </w:lvl>
    <w:lvl w:ilvl="8" w:tplc="758E3BE8">
      <w:numFmt w:val="bullet"/>
      <w:lvlText w:val="•"/>
      <w:lvlJc w:val="left"/>
      <w:pPr>
        <w:ind w:left="7737" w:hanging="240"/>
      </w:pPr>
      <w:rPr>
        <w:rFonts w:hint="default"/>
        <w:lang w:val="cs-CZ" w:eastAsia="cs-CZ" w:bidi="cs-CZ"/>
      </w:rPr>
    </w:lvl>
  </w:abstractNum>
  <w:abstractNum w:abstractNumId="4" w15:restartNumberingAfterBreak="0">
    <w:nsid w:val="49C1464F"/>
    <w:multiLevelType w:val="hybridMultilevel"/>
    <w:tmpl w:val="FD426586"/>
    <w:lvl w:ilvl="0" w:tplc="24762D3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E0E43F2">
      <w:numFmt w:val="bullet"/>
      <w:lvlText w:val="•"/>
      <w:lvlJc w:val="left"/>
      <w:pPr>
        <w:ind w:left="660" w:hanging="284"/>
      </w:pPr>
      <w:rPr>
        <w:rFonts w:hint="default"/>
        <w:lang w:val="cs-CZ" w:eastAsia="cs-CZ" w:bidi="cs-CZ"/>
      </w:rPr>
    </w:lvl>
    <w:lvl w:ilvl="2" w:tplc="2CEEFAFE">
      <w:numFmt w:val="bullet"/>
      <w:lvlText w:val="•"/>
      <w:lvlJc w:val="left"/>
      <w:pPr>
        <w:ind w:left="1671" w:hanging="284"/>
      </w:pPr>
      <w:rPr>
        <w:rFonts w:hint="default"/>
        <w:lang w:val="cs-CZ" w:eastAsia="cs-CZ" w:bidi="cs-CZ"/>
      </w:rPr>
    </w:lvl>
    <w:lvl w:ilvl="3" w:tplc="929CD942">
      <w:numFmt w:val="bullet"/>
      <w:lvlText w:val="•"/>
      <w:lvlJc w:val="left"/>
      <w:pPr>
        <w:ind w:left="2682" w:hanging="284"/>
      </w:pPr>
      <w:rPr>
        <w:rFonts w:hint="default"/>
        <w:lang w:val="cs-CZ" w:eastAsia="cs-CZ" w:bidi="cs-CZ"/>
      </w:rPr>
    </w:lvl>
    <w:lvl w:ilvl="4" w:tplc="48D0CE8E">
      <w:numFmt w:val="bullet"/>
      <w:lvlText w:val="•"/>
      <w:lvlJc w:val="left"/>
      <w:pPr>
        <w:ind w:left="3693" w:hanging="284"/>
      </w:pPr>
      <w:rPr>
        <w:rFonts w:hint="default"/>
        <w:lang w:val="cs-CZ" w:eastAsia="cs-CZ" w:bidi="cs-CZ"/>
      </w:rPr>
    </w:lvl>
    <w:lvl w:ilvl="5" w:tplc="AC5CB83C">
      <w:numFmt w:val="bullet"/>
      <w:lvlText w:val="•"/>
      <w:lvlJc w:val="left"/>
      <w:pPr>
        <w:ind w:left="4704" w:hanging="284"/>
      </w:pPr>
      <w:rPr>
        <w:rFonts w:hint="default"/>
        <w:lang w:val="cs-CZ" w:eastAsia="cs-CZ" w:bidi="cs-CZ"/>
      </w:rPr>
    </w:lvl>
    <w:lvl w:ilvl="6" w:tplc="4B349E48">
      <w:numFmt w:val="bullet"/>
      <w:lvlText w:val="•"/>
      <w:lvlJc w:val="left"/>
      <w:pPr>
        <w:ind w:left="5715" w:hanging="284"/>
      </w:pPr>
      <w:rPr>
        <w:rFonts w:hint="default"/>
        <w:lang w:val="cs-CZ" w:eastAsia="cs-CZ" w:bidi="cs-CZ"/>
      </w:rPr>
    </w:lvl>
    <w:lvl w:ilvl="7" w:tplc="BCB038CE">
      <w:numFmt w:val="bullet"/>
      <w:lvlText w:val="•"/>
      <w:lvlJc w:val="left"/>
      <w:pPr>
        <w:ind w:left="6726" w:hanging="284"/>
      </w:pPr>
      <w:rPr>
        <w:rFonts w:hint="default"/>
        <w:lang w:val="cs-CZ" w:eastAsia="cs-CZ" w:bidi="cs-CZ"/>
      </w:rPr>
    </w:lvl>
    <w:lvl w:ilvl="8" w:tplc="C14E54D4">
      <w:numFmt w:val="bullet"/>
      <w:lvlText w:val="•"/>
      <w:lvlJc w:val="left"/>
      <w:pPr>
        <w:ind w:left="7737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7DB31D2"/>
    <w:multiLevelType w:val="hybridMultilevel"/>
    <w:tmpl w:val="F260DA64"/>
    <w:lvl w:ilvl="0" w:tplc="AE78CA58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F3E1108">
      <w:numFmt w:val="bullet"/>
      <w:lvlText w:val="•"/>
      <w:lvlJc w:val="left"/>
      <w:pPr>
        <w:ind w:left="1696" w:hanging="284"/>
      </w:pPr>
      <w:rPr>
        <w:rFonts w:hint="default"/>
        <w:lang w:val="cs-CZ" w:eastAsia="cs-CZ" w:bidi="cs-CZ"/>
      </w:rPr>
    </w:lvl>
    <w:lvl w:ilvl="2" w:tplc="B0262D4E">
      <w:numFmt w:val="bullet"/>
      <w:lvlText w:val="•"/>
      <w:lvlJc w:val="left"/>
      <w:pPr>
        <w:ind w:left="2592" w:hanging="284"/>
      </w:pPr>
      <w:rPr>
        <w:rFonts w:hint="default"/>
        <w:lang w:val="cs-CZ" w:eastAsia="cs-CZ" w:bidi="cs-CZ"/>
      </w:rPr>
    </w:lvl>
    <w:lvl w:ilvl="3" w:tplc="5D145214">
      <w:numFmt w:val="bullet"/>
      <w:lvlText w:val="•"/>
      <w:lvlJc w:val="left"/>
      <w:pPr>
        <w:ind w:left="3488" w:hanging="284"/>
      </w:pPr>
      <w:rPr>
        <w:rFonts w:hint="default"/>
        <w:lang w:val="cs-CZ" w:eastAsia="cs-CZ" w:bidi="cs-CZ"/>
      </w:rPr>
    </w:lvl>
    <w:lvl w:ilvl="4" w:tplc="4698A29C">
      <w:numFmt w:val="bullet"/>
      <w:lvlText w:val="•"/>
      <w:lvlJc w:val="left"/>
      <w:pPr>
        <w:ind w:left="4384" w:hanging="284"/>
      </w:pPr>
      <w:rPr>
        <w:rFonts w:hint="default"/>
        <w:lang w:val="cs-CZ" w:eastAsia="cs-CZ" w:bidi="cs-CZ"/>
      </w:rPr>
    </w:lvl>
    <w:lvl w:ilvl="5" w:tplc="B194ED2C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46FCA100">
      <w:numFmt w:val="bullet"/>
      <w:lvlText w:val="•"/>
      <w:lvlJc w:val="left"/>
      <w:pPr>
        <w:ind w:left="6176" w:hanging="284"/>
      </w:pPr>
      <w:rPr>
        <w:rFonts w:hint="default"/>
        <w:lang w:val="cs-CZ" w:eastAsia="cs-CZ" w:bidi="cs-CZ"/>
      </w:rPr>
    </w:lvl>
    <w:lvl w:ilvl="7" w:tplc="2E3E4E7E">
      <w:numFmt w:val="bullet"/>
      <w:lvlText w:val="•"/>
      <w:lvlJc w:val="left"/>
      <w:pPr>
        <w:ind w:left="7072" w:hanging="284"/>
      </w:pPr>
      <w:rPr>
        <w:rFonts w:hint="default"/>
        <w:lang w:val="cs-CZ" w:eastAsia="cs-CZ" w:bidi="cs-CZ"/>
      </w:rPr>
    </w:lvl>
    <w:lvl w:ilvl="8" w:tplc="990ABBF8">
      <w:numFmt w:val="bullet"/>
      <w:lvlText w:val="•"/>
      <w:lvlJc w:val="left"/>
      <w:pPr>
        <w:ind w:left="79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A176FED"/>
    <w:multiLevelType w:val="hybridMultilevel"/>
    <w:tmpl w:val="4B0C8B60"/>
    <w:lvl w:ilvl="0" w:tplc="8DB4CDF8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0AA8D60">
      <w:start w:val="1"/>
      <w:numFmt w:val="lowerLetter"/>
      <w:lvlText w:val="%2)"/>
      <w:lvlJc w:val="left"/>
      <w:pPr>
        <w:ind w:left="741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2DF2FDBA">
      <w:numFmt w:val="bullet"/>
      <w:lvlText w:val="•"/>
      <w:lvlJc w:val="left"/>
      <w:pPr>
        <w:ind w:left="800" w:hanging="216"/>
      </w:pPr>
      <w:rPr>
        <w:rFonts w:hint="default"/>
        <w:lang w:val="cs-CZ" w:eastAsia="cs-CZ" w:bidi="cs-CZ"/>
      </w:rPr>
    </w:lvl>
    <w:lvl w:ilvl="3" w:tplc="670460D8">
      <w:numFmt w:val="bullet"/>
      <w:lvlText w:val="•"/>
      <w:lvlJc w:val="left"/>
      <w:pPr>
        <w:ind w:left="1920" w:hanging="216"/>
      </w:pPr>
      <w:rPr>
        <w:rFonts w:hint="default"/>
        <w:lang w:val="cs-CZ" w:eastAsia="cs-CZ" w:bidi="cs-CZ"/>
      </w:rPr>
    </w:lvl>
    <w:lvl w:ilvl="4" w:tplc="D32845A6">
      <w:numFmt w:val="bullet"/>
      <w:lvlText w:val="•"/>
      <w:lvlJc w:val="left"/>
      <w:pPr>
        <w:ind w:left="3040" w:hanging="216"/>
      </w:pPr>
      <w:rPr>
        <w:rFonts w:hint="default"/>
        <w:lang w:val="cs-CZ" w:eastAsia="cs-CZ" w:bidi="cs-CZ"/>
      </w:rPr>
    </w:lvl>
    <w:lvl w:ilvl="5" w:tplc="85942704">
      <w:numFmt w:val="bullet"/>
      <w:lvlText w:val="•"/>
      <w:lvlJc w:val="left"/>
      <w:pPr>
        <w:ind w:left="4160" w:hanging="216"/>
      </w:pPr>
      <w:rPr>
        <w:rFonts w:hint="default"/>
        <w:lang w:val="cs-CZ" w:eastAsia="cs-CZ" w:bidi="cs-CZ"/>
      </w:rPr>
    </w:lvl>
    <w:lvl w:ilvl="6" w:tplc="0F76618E">
      <w:numFmt w:val="bullet"/>
      <w:lvlText w:val="•"/>
      <w:lvlJc w:val="left"/>
      <w:pPr>
        <w:ind w:left="5280" w:hanging="216"/>
      </w:pPr>
      <w:rPr>
        <w:rFonts w:hint="default"/>
        <w:lang w:val="cs-CZ" w:eastAsia="cs-CZ" w:bidi="cs-CZ"/>
      </w:rPr>
    </w:lvl>
    <w:lvl w:ilvl="7" w:tplc="F4E23F06">
      <w:numFmt w:val="bullet"/>
      <w:lvlText w:val="•"/>
      <w:lvlJc w:val="left"/>
      <w:pPr>
        <w:ind w:left="6400" w:hanging="216"/>
      </w:pPr>
      <w:rPr>
        <w:rFonts w:hint="default"/>
        <w:lang w:val="cs-CZ" w:eastAsia="cs-CZ" w:bidi="cs-CZ"/>
      </w:rPr>
    </w:lvl>
    <w:lvl w:ilvl="8" w:tplc="26DC0D06">
      <w:numFmt w:val="bullet"/>
      <w:lvlText w:val="•"/>
      <w:lvlJc w:val="left"/>
      <w:pPr>
        <w:ind w:left="7520" w:hanging="216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2FD7"/>
    <w:rsid w:val="00501258"/>
    <w:rsid w:val="00522FD7"/>
    <w:rsid w:val="00E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CB5390"/>
  <w15:docId w15:val="{1F0A0843-CE91-43E6-8401-C5A8EB57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3" w:right="1016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4235</Words>
  <Characters>24993</Characters>
  <Application>Microsoft Office Word</Application>
  <DocSecurity>0</DocSecurity>
  <Lines>208</Lines>
  <Paragraphs>58</Paragraphs>
  <ScaleCrop>false</ScaleCrop>
  <Company>SFZP</Company>
  <LinksUpToDate>false</LinksUpToDate>
  <CharactersWithSpaces>29170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2021-03-29T11:30:00Z</dcterms:created>
  <dcterms:modified xsi:type="dcterms:W3CDTF">2021-03-29T11:31:00Z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