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D" w:rsidRPr="006E221E" w:rsidRDefault="007E0D6D" w:rsidP="00AF3828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cs-CZ"/>
        </w:rPr>
      </w:pPr>
      <w:r w:rsidRPr="006E221E">
        <w:rPr>
          <w:rFonts w:ascii="Arial" w:eastAsia="Times New Roman" w:hAnsi="Arial" w:cs="Arial"/>
          <w:b/>
          <w:kern w:val="36"/>
          <w:sz w:val="36"/>
          <w:szCs w:val="36"/>
          <w:lang w:eastAsia="cs-CZ"/>
        </w:rPr>
        <w:t>Smlouva o nájmu prostoru sloužícího</w:t>
      </w:r>
      <w:r w:rsidR="006E221E" w:rsidRPr="006E221E">
        <w:rPr>
          <w:rFonts w:ascii="Arial" w:eastAsia="Times New Roman" w:hAnsi="Arial" w:cs="Arial"/>
          <w:b/>
          <w:kern w:val="36"/>
          <w:sz w:val="36"/>
          <w:szCs w:val="36"/>
          <w:lang w:eastAsia="cs-CZ"/>
        </w:rPr>
        <w:t xml:space="preserve"> k</w:t>
      </w:r>
      <w:r w:rsidRPr="006E221E">
        <w:rPr>
          <w:rFonts w:ascii="Arial" w:eastAsia="Times New Roman" w:hAnsi="Arial" w:cs="Arial"/>
          <w:b/>
          <w:kern w:val="36"/>
          <w:sz w:val="36"/>
          <w:szCs w:val="36"/>
          <w:lang w:eastAsia="cs-CZ"/>
        </w:rPr>
        <w:t xml:space="preserve"> podnikání</w:t>
      </w:r>
    </w:p>
    <w:p w:rsidR="007E0D6D" w:rsidRPr="00BD6D79" w:rsidRDefault="007E0D6D" w:rsidP="00AF3828">
      <w:pPr>
        <w:shd w:val="clear" w:color="auto" w:fill="FFFFFF"/>
        <w:spacing w:after="0" w:line="288" w:lineRule="atLeast"/>
        <w:jc w:val="center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BD6D79">
        <w:rPr>
          <w:rFonts w:ascii="Arial CE" w:eastAsia="Times New Roman" w:hAnsi="Arial CE" w:cs="Arial CE"/>
          <w:sz w:val="18"/>
          <w:szCs w:val="18"/>
          <w:lang w:eastAsia="cs-CZ"/>
        </w:rPr>
        <w:t>uzavřená dle ustanovení </w:t>
      </w:r>
      <w:hyperlink r:id="rId5" w:anchor="p2302" w:tgtFrame="_blank" w:tooltip="Nový občanský zákoník § 2302" w:history="1">
        <w:r w:rsidRPr="00BD6D79">
          <w:rPr>
            <w:rFonts w:ascii="Arial CE" w:eastAsia="Times New Roman" w:hAnsi="Arial CE" w:cs="Arial CE"/>
            <w:sz w:val="18"/>
            <w:szCs w:val="18"/>
            <w:lang w:eastAsia="cs-CZ"/>
          </w:rPr>
          <w:t>§ 2302</w:t>
        </w:r>
      </w:hyperlink>
      <w:r w:rsidRPr="00BD6D79">
        <w:rPr>
          <w:rFonts w:ascii="Arial CE" w:eastAsia="Times New Roman" w:hAnsi="Arial CE" w:cs="Arial CE"/>
          <w:sz w:val="18"/>
          <w:szCs w:val="18"/>
          <w:lang w:eastAsia="cs-CZ"/>
        </w:rPr>
        <w:t> a násl. </w:t>
      </w:r>
      <w:hyperlink r:id="rId6" w:tgtFrame="_blank" w:tooltip="Nový občanský zákoník" w:history="1">
        <w:r w:rsidRPr="00BD6D79">
          <w:rPr>
            <w:rFonts w:ascii="Arial CE" w:eastAsia="Times New Roman" w:hAnsi="Arial CE" w:cs="Arial CE"/>
            <w:sz w:val="18"/>
            <w:szCs w:val="18"/>
            <w:lang w:eastAsia="cs-CZ"/>
          </w:rPr>
          <w:t>zákona č. 89/2012 Sb.</w:t>
        </w:r>
      </w:hyperlink>
      <w:r w:rsidRPr="00BD6D79">
        <w:rPr>
          <w:rFonts w:ascii="Arial CE" w:eastAsia="Times New Roman" w:hAnsi="Arial CE" w:cs="Arial CE"/>
          <w:sz w:val="18"/>
          <w:szCs w:val="18"/>
          <w:lang w:eastAsia="cs-CZ"/>
        </w:rPr>
        <w:t>, občanského zákoníku (dále jen „NOZ“).</w:t>
      </w:r>
    </w:p>
    <w:p w:rsidR="007E0D6D" w:rsidRDefault="007E0D6D" w:rsidP="007E0D6D">
      <w:pPr>
        <w:shd w:val="clear" w:color="auto" w:fill="FFFFFF"/>
        <w:spacing w:after="150" w:line="288" w:lineRule="atLeast"/>
        <w:outlineLvl w:val="1"/>
        <w:rPr>
          <w:rFonts w:ascii="Trebuchet MS" w:eastAsia="Times New Roman" w:hAnsi="Trebuchet MS" w:cs="Times New Roman"/>
          <w:color w:val="7FB23A"/>
          <w:sz w:val="34"/>
          <w:szCs w:val="34"/>
          <w:lang w:eastAsia="cs-CZ"/>
        </w:rPr>
      </w:pPr>
    </w:p>
    <w:p w:rsidR="007E0D6D" w:rsidRPr="004177B5" w:rsidRDefault="007E0D6D" w:rsidP="007E0D6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I. Subjekty</w:t>
      </w:r>
    </w:p>
    <w:p w:rsidR="007E0D6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Název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: </w:t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Základní škola, Liberec, Broumovská 847/7, příspěvková organizace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br/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Adresa: Broumovská 847/7, Liberec 6, 46006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br/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IČO: 65642368</w:t>
      </w:r>
    </w:p>
    <w:p w:rsidR="006E221E" w:rsidRPr="007E0D6D" w:rsidRDefault="006E221E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Zastoupená: Mgr. Martin Mikuš, ředitel</w:t>
      </w:r>
    </w:p>
    <w:p w:rsidR="007E0D6D" w:rsidRPr="007E0D6D" w:rsidRDefault="007E0D6D" w:rsidP="006E221E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dále jen „Pronajímatel“, na straně jedné</w:t>
      </w:r>
    </w:p>
    <w:p w:rsidR="007E0D6D" w:rsidRPr="007E0D6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a</w:t>
      </w:r>
    </w:p>
    <w:p w:rsidR="009F2A34" w:rsidRDefault="009F2A34" w:rsidP="007E0D6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cs-CZ"/>
        </w:rPr>
        <w:t>Název:</w:t>
      </w:r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 Komunitní práce Liberec</w:t>
      </w:r>
    </w:p>
    <w:p w:rsidR="009F2A34" w:rsidRDefault="009F2A34" w:rsidP="007E0D6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cs-CZ"/>
        </w:rPr>
        <w:t>Adresa</w:t>
      </w:r>
      <w:r w:rsidR="0092300C" w:rsidRPr="0092300C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: </w:t>
      </w:r>
      <w:proofErr w:type="spellStart"/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Josefinino</w:t>
      </w:r>
      <w:proofErr w:type="spellEnd"/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 údolí 9/9, Liberec 5</w:t>
      </w:r>
      <w:r w:rsidR="007E0D6D" w:rsidRPr="0092300C">
        <w:rPr>
          <w:rFonts w:ascii="Arial" w:eastAsia="Times New Roman" w:hAnsi="Arial" w:cs="Arial"/>
          <w:color w:val="222222"/>
          <w:sz w:val="18"/>
          <w:szCs w:val="18"/>
          <w:lang w:eastAsia="cs-CZ"/>
        </w:rPr>
        <w:br/>
        <w:t xml:space="preserve">IČ: </w:t>
      </w:r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27275558</w:t>
      </w:r>
    </w:p>
    <w:p w:rsidR="007E0D6D" w:rsidRDefault="009F2A34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Kontaktní osoba: </w:t>
      </w:r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Kratochvíl Tomáš</w:t>
      </w:r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ab/>
      </w:r>
      <w:r w:rsidR="00A15E13">
        <w:rPr>
          <w:rFonts w:ascii="Arial" w:eastAsia="Times New Roman" w:hAnsi="Arial" w:cs="Arial"/>
          <w:color w:val="222222"/>
          <w:sz w:val="18"/>
          <w:szCs w:val="18"/>
          <w:lang w:eastAsia="cs-CZ"/>
        </w:rPr>
        <w:tab/>
        <w:t>Slíva Patrik 608932153</w:t>
      </w:r>
      <w:r w:rsidR="007E0D6D" w:rsidRPr="0092300C">
        <w:rPr>
          <w:rFonts w:ascii="Arial" w:eastAsia="Times New Roman" w:hAnsi="Arial" w:cs="Arial"/>
          <w:color w:val="222222"/>
          <w:sz w:val="18"/>
          <w:szCs w:val="18"/>
          <w:lang w:eastAsia="cs-CZ"/>
        </w:rPr>
        <w:br/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dále jen „Nájemce“, na straně druhé,</w:t>
      </w:r>
      <w:r w:rsidR="004177B5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ab/>
      </w:r>
      <w:r w:rsidR="004177B5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ab/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dále také společně jako „Strany“.</w:t>
      </w:r>
    </w:p>
    <w:p w:rsidR="007E0D6D" w:rsidRPr="007E0D6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7E0D6D" w:rsidRPr="004177B5" w:rsidRDefault="007E0D6D" w:rsidP="007E0D6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II. Předmět smlouvy</w:t>
      </w:r>
    </w:p>
    <w:p w:rsidR="007E0D6D" w:rsidRDefault="007E0D6D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a) Předmětem této smlouvy je nájem prostoru sloužícího podnikání za níže stanovených podmínek.</w:t>
      </w:r>
    </w:p>
    <w:p w:rsidR="007E0D6D" w:rsidRPr="004177B5" w:rsidRDefault="007E0D6D" w:rsidP="007E0D6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III. Předmět nájmu</w:t>
      </w:r>
    </w:p>
    <w:p w:rsidR="007E0D6D" w:rsidRPr="007E0D6D" w:rsidRDefault="007E0D6D" w:rsidP="004177B5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a) Pronajímatel prohlašuje, že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má od majitele (Město Liberec) povoleno pronajmout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objekt na adrese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Broumovská 847/7, Liberec,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č. par. stav.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1429/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298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v okrese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Liberec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, obci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Liberec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. Nemovitá věc je zapsána u Katastrálního úřadu pro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Liberecký kraj.</w:t>
      </w:r>
    </w:p>
    <w:p w:rsidR="007E0D6D" w:rsidRPr="007E0D6D" w:rsidRDefault="007E0D6D" w:rsidP="004177B5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b) Pronajímatel přenechává Nájemci do užívání prostory sloužící podnikání, které se nacházejí v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 suterénu pavilonu 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T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(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tělocvičny</w:t>
      </w:r>
      <w:r w:rsidR="0092300C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ZŠ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) 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vedle výměníkové stanice 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v prvním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nadzemním podlaží výše uvedené nemovitosti.</w:t>
      </w:r>
    </w:p>
    <w:p w:rsidR="007E0D6D" w:rsidRDefault="007E0D6D" w:rsidP="004177B5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c) Celková výměra prostor činí 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100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m</w:t>
      </w:r>
      <w:r w:rsidRPr="007E0D6D">
        <w:rPr>
          <w:rFonts w:ascii="Arial CE" w:eastAsia="Times New Roman" w:hAnsi="Arial CE" w:cs="Arial CE"/>
          <w:color w:val="222222"/>
          <w:sz w:val="13"/>
          <w:szCs w:val="13"/>
          <w:vertAlign w:val="superscript"/>
          <w:lang w:eastAsia="cs-CZ"/>
        </w:rPr>
        <w:t>2</w:t>
      </w:r>
      <w:r w:rsidR="0092300C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.</w:t>
      </w:r>
    </w:p>
    <w:p w:rsidR="00CA4DAD" w:rsidRPr="007E0D6D" w:rsidRDefault="00CA4DA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7E0D6D" w:rsidRPr="004177B5" w:rsidRDefault="007E0D6D" w:rsidP="00AF3828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IV. Účel nájmu</w:t>
      </w:r>
    </w:p>
    <w:p w:rsidR="007E0D6D" w:rsidRPr="007E0D6D" w:rsidRDefault="007E0D6D" w:rsidP="00C52138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a) Nájemce je oprávněn provozovat ve výše specifikovaných prostorech </w:t>
      </w:r>
      <w:r w:rsidR="009F2A34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sklad nářadí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.</w:t>
      </w:r>
    </w:p>
    <w:p w:rsidR="00C52138" w:rsidRDefault="007E0D6D" w:rsidP="00C52138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b) Nájemce se zavazuje využívat pronajaté prostory sloužící</w:t>
      </w:r>
      <w:r w:rsidR="00C52138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podnikání pouze pro tento účel.</w:t>
      </w:r>
    </w:p>
    <w:p w:rsidR="00CA4DAD" w:rsidRDefault="00C52138" w:rsidP="00C52138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d</w:t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) Prostor sloužící podnikání lze využívat pouze pro zákonně a smluvně přípustné účely.</w:t>
      </w:r>
    </w:p>
    <w:p w:rsidR="00C52138" w:rsidRPr="00C52138" w:rsidRDefault="00C52138" w:rsidP="00C52138">
      <w:pPr>
        <w:shd w:val="clear" w:color="auto" w:fill="FFFFFF"/>
        <w:spacing w:after="0" w:line="36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7E0D6D" w:rsidRPr="004177B5" w:rsidRDefault="007E0D6D" w:rsidP="00AF3828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 xml:space="preserve">V. Práva a povinnosti </w:t>
      </w:r>
      <w:r w:rsidR="00AF3828"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s</w:t>
      </w: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tran</w:t>
      </w:r>
    </w:p>
    <w:p w:rsidR="007E0D6D" w:rsidRPr="007E0D6D" w:rsidRDefault="007E0D6D" w:rsidP="00227C86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a) Smluvní Strany se dohodly, že Pronajímatel přenechává prostory sloužící </w:t>
      </w:r>
      <w:r w:rsidR="006C34D5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k 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podnikání (specifikované v čl. III. této smlouvy) Nájemci a Nájemce se zavazuje platit nájemné a užívat tyto prostory sloužící podnikání řádným a obvyklým způsobem v souladu se zákonem a touto smlouvou.</w:t>
      </w:r>
    </w:p>
    <w:p w:rsidR="007E0D6D" w:rsidRPr="007E0D6D" w:rsidRDefault="007E0D6D" w:rsidP="00227C86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b) Pronajímatel přenechává předmět nájmu ve stavu způsobilém k obvyklému užívání.</w:t>
      </w:r>
    </w:p>
    <w:p w:rsidR="007E0D6D" w:rsidRPr="007E0D6D" w:rsidRDefault="007E0D6D" w:rsidP="00227C86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c)</w:t>
      </w:r>
      <w:r w:rsidR="00015D23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Nájemce se zavazuje, že po dohodě umožní</w:t>
      </w:r>
      <w:r w:rsidR="00227C86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Pronajímateli nebo jím pověřené osobě vstup do pronajatých prostor, za účelem prohlídky pronajatých prostor.</w:t>
      </w:r>
    </w:p>
    <w:p w:rsidR="007E0D6D" w:rsidRPr="007E0D6D" w:rsidRDefault="007E0D6D" w:rsidP="00227C86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d) Nájemce není oprávněn přenechat prostor sloužící </w:t>
      </w:r>
      <w:r w:rsidR="006C34D5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k 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podnikání nebo jeho část do podnájmu třetí osobě.</w:t>
      </w:r>
    </w:p>
    <w:p w:rsidR="007E0D6D" w:rsidRDefault="00227C86" w:rsidP="002E5C1A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e</w:t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) </w:t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Nájemce je povinen dodržovat protipožární</w:t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</w:t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a hygienické </w:t>
      </w:r>
      <w:r w:rsidR="007E0D6D"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předpis</w:t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y a je zodpovědný za úklid.</w:t>
      </w:r>
    </w:p>
    <w:p w:rsidR="0092300C" w:rsidRPr="002E5C1A" w:rsidRDefault="00FE7473" w:rsidP="002E5C1A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2E5C1A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f) Nájemce je povinen užívat pronajaté prostory způsobem řádného hospodáře (šetřit energiemi).</w:t>
      </w:r>
    </w:p>
    <w:p w:rsidR="002E5C1A" w:rsidRPr="002E5C1A" w:rsidRDefault="002E5C1A" w:rsidP="002E5C1A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2E5C1A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g)</w:t>
      </w: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Nájemce se zavazuje, že </w:t>
      </w:r>
      <w:r w:rsidRPr="002E5C1A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v prostorách nebudou skladovány žádné hořlavé látky a množst</w:t>
      </w:r>
      <w:r w:rsidR="00A15E13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ví pohonných hmot v nádržích</w:t>
      </w:r>
      <w:r w:rsidRPr="002E5C1A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 xml:space="preserve"> bude jen nezbytně nutné.</w:t>
      </w:r>
    </w:p>
    <w:p w:rsidR="0092300C" w:rsidRPr="002E5C1A" w:rsidRDefault="0092300C" w:rsidP="002E5C1A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92300C" w:rsidRDefault="0092300C" w:rsidP="00CA4DA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</w:p>
    <w:p w:rsidR="0092300C" w:rsidRDefault="0092300C" w:rsidP="00CA4DA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</w:p>
    <w:p w:rsidR="007E0D6D" w:rsidRPr="004177B5" w:rsidRDefault="007E0D6D" w:rsidP="00CA4DA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VI. Doba nájmu a výpověď</w:t>
      </w:r>
    </w:p>
    <w:p w:rsidR="007E0D6D" w:rsidRPr="00CA4DAD" w:rsidRDefault="007E0D6D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a) Nájemní vztah se sjednává na dobu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 xml:space="preserve">určitou </w:t>
      </w:r>
      <w:r w:rsidR="00A870C0" w:rsidRPr="00CA4DAD"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  <w:t>(viz </w:t>
      </w:r>
      <w:hyperlink r:id="rId7" w:anchor="p2312" w:tgtFrame="_blank" w:tooltip="Nový občanský zákoník § 2312" w:history="1">
        <w:r w:rsidR="00A870C0" w:rsidRPr="00CA4DAD">
          <w:rPr>
            <w:rFonts w:ascii="Arial CE" w:eastAsia="Times New Roman" w:hAnsi="Arial CE" w:cs="Arial CE"/>
            <w:i/>
            <w:iCs/>
            <w:sz w:val="18"/>
            <w:szCs w:val="18"/>
            <w:u w:val="single"/>
            <w:lang w:eastAsia="cs-CZ"/>
          </w:rPr>
          <w:t>§ 2312</w:t>
        </w:r>
      </w:hyperlink>
      <w:r w:rsidR="00A870C0" w:rsidRPr="00CA4DAD"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  <w:t xml:space="preserve">)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počínaje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 dnem </w:t>
      </w:r>
      <w:r w:rsidR="009F2A34">
        <w:rPr>
          <w:rFonts w:ascii="Arial CE" w:eastAsia="Times New Roman" w:hAnsi="Arial CE" w:cs="Arial CE"/>
          <w:sz w:val="18"/>
          <w:szCs w:val="18"/>
          <w:lang w:eastAsia="cs-CZ"/>
        </w:rPr>
        <w:t>1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.</w:t>
      </w:r>
      <w:r w:rsidR="005A7C3F">
        <w:rPr>
          <w:rFonts w:ascii="Arial CE" w:eastAsia="Times New Roman" w:hAnsi="Arial CE" w:cs="Arial CE"/>
          <w:sz w:val="18"/>
          <w:szCs w:val="18"/>
          <w:lang w:eastAsia="cs-CZ"/>
        </w:rPr>
        <w:t xml:space="preserve">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1.</w:t>
      </w:r>
      <w:r w:rsidR="005A7C3F">
        <w:rPr>
          <w:rFonts w:ascii="Arial CE" w:eastAsia="Times New Roman" w:hAnsi="Arial CE" w:cs="Arial CE"/>
          <w:sz w:val="18"/>
          <w:szCs w:val="18"/>
          <w:lang w:eastAsia="cs-CZ"/>
        </w:rPr>
        <w:t xml:space="preserve">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20</w:t>
      </w:r>
      <w:r w:rsidR="009F2A34">
        <w:rPr>
          <w:rFonts w:ascii="Arial CE" w:eastAsia="Times New Roman" w:hAnsi="Arial CE" w:cs="Arial CE"/>
          <w:sz w:val="18"/>
          <w:szCs w:val="18"/>
          <w:lang w:eastAsia="cs-CZ"/>
        </w:rPr>
        <w:t>2</w:t>
      </w:r>
      <w:r w:rsidR="00A15E13">
        <w:rPr>
          <w:rFonts w:ascii="Arial CE" w:eastAsia="Times New Roman" w:hAnsi="Arial CE" w:cs="Arial CE"/>
          <w:sz w:val="18"/>
          <w:szCs w:val="18"/>
          <w:lang w:eastAsia="cs-CZ"/>
        </w:rPr>
        <w:t xml:space="preserve">1 do </w:t>
      </w:r>
      <w:proofErr w:type="gramStart"/>
      <w:r w:rsidR="00A15E13">
        <w:rPr>
          <w:rFonts w:ascii="Arial CE" w:eastAsia="Times New Roman" w:hAnsi="Arial CE" w:cs="Arial CE"/>
          <w:sz w:val="18"/>
          <w:szCs w:val="18"/>
          <w:lang w:eastAsia="cs-CZ"/>
        </w:rPr>
        <w:t>31.12.2021</w:t>
      </w:r>
      <w:proofErr w:type="gramEnd"/>
      <w:r w:rsidR="00A15E13">
        <w:rPr>
          <w:rFonts w:ascii="Arial CE" w:eastAsia="Times New Roman" w:hAnsi="Arial CE" w:cs="Arial CE"/>
          <w:sz w:val="18"/>
          <w:szCs w:val="18"/>
          <w:lang w:eastAsia="cs-CZ"/>
        </w:rPr>
        <w:t>.</w:t>
      </w:r>
    </w:p>
    <w:p w:rsidR="00913F5F" w:rsidRPr="00CA4DAD" w:rsidRDefault="00913F5F" w:rsidP="00913F5F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  <w:t xml:space="preserve">Výpovědní lhůta je 6 měsíců, v případě vážného porušení povinností ze smlouvy vyplývajících je výpovědní lhůta </w:t>
      </w:r>
      <w:r w:rsidRPr="00CA4DAD">
        <w:rPr>
          <w:rFonts w:ascii="Arial CE" w:eastAsia="Times New Roman" w:hAnsi="Arial CE" w:cs="Arial CE"/>
          <w:i/>
          <w:iCs/>
          <w:sz w:val="18"/>
          <w:szCs w:val="18"/>
          <w:lang w:eastAsia="cs-CZ"/>
        </w:rPr>
        <w:t xml:space="preserve">3 měsíce (podle </w:t>
      </w:r>
      <w:r w:rsidRPr="00CA4DAD">
        <w:rPr>
          <w:rFonts w:ascii="Arial" w:hAnsi="Arial" w:cs="Arial"/>
          <w:bCs/>
          <w:sz w:val="18"/>
          <w:szCs w:val="18"/>
          <w:shd w:val="clear" w:color="auto" w:fill="FFFFFF"/>
        </w:rPr>
        <w:t>§ 2312 NOZ)</w:t>
      </w:r>
    </w:p>
    <w:p w:rsidR="00CA4DAD" w:rsidRPr="00CA4DAD" w:rsidRDefault="00CA4DA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</w:p>
    <w:p w:rsidR="007E0D6D" w:rsidRPr="004177B5" w:rsidRDefault="007E0D6D" w:rsidP="000E2EC7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VII. Nájemné</w:t>
      </w:r>
    </w:p>
    <w:p w:rsidR="007E0D6D" w:rsidRPr="00CA4DAD" w:rsidRDefault="007E0D6D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a) Nájemné za prostory sloužící podnikání (specifikované v čl. III) bylo dohodnuto ve výši Kč </w:t>
      </w:r>
      <w:r w:rsidR="00A15E13">
        <w:rPr>
          <w:rFonts w:ascii="Arial CE" w:eastAsia="Times New Roman" w:hAnsi="Arial CE" w:cs="Arial CE"/>
          <w:sz w:val="18"/>
          <w:szCs w:val="18"/>
          <w:lang w:eastAsia="cs-CZ"/>
        </w:rPr>
        <w:t>10</w:t>
      </w:r>
      <w:r w:rsidR="002E5C1A">
        <w:rPr>
          <w:rFonts w:ascii="Arial CE" w:eastAsia="Times New Roman" w:hAnsi="Arial CE" w:cs="Arial CE"/>
          <w:sz w:val="18"/>
          <w:szCs w:val="18"/>
          <w:lang w:eastAsia="cs-CZ"/>
        </w:rPr>
        <w:t>0</w:t>
      </w:r>
      <w:r w:rsidR="0092300C">
        <w:rPr>
          <w:rFonts w:ascii="Arial CE" w:eastAsia="Times New Roman" w:hAnsi="Arial CE" w:cs="Arial CE"/>
          <w:sz w:val="18"/>
          <w:szCs w:val="18"/>
          <w:lang w:eastAsia="cs-CZ"/>
        </w:rPr>
        <w:t>00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>,-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Kč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 za měsíc.</w:t>
      </w:r>
    </w:p>
    <w:p w:rsidR="007E0D6D" w:rsidRPr="00CA4DA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b) Nájemce je povinen hradit nájemné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kvartálně na základě vydané faktury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 nejpozději do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 xml:space="preserve">15. 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dne příslušného měsíce bezhotovostním převodem na účet Pronajímatele č.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 xml:space="preserve">5521972/0800 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vedený u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České spořitelny</w:t>
      </w: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, pod variabilním symbolem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viz. faktura.</w:t>
      </w:r>
    </w:p>
    <w:p w:rsidR="007E0D6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>c) Pronajímatel je oprávněn každoročně zvyšovat nájemné dle ustanovení </w:t>
      </w:r>
      <w:hyperlink r:id="rId8" w:anchor="p2248" w:tgtFrame="_blank" w:tooltip="Nový občanský zákoník § 2248" w:history="1">
        <w:r w:rsidRPr="00CA4DAD">
          <w:rPr>
            <w:rFonts w:ascii="Arial CE" w:eastAsia="Times New Roman" w:hAnsi="Arial CE" w:cs="Arial CE"/>
            <w:sz w:val="18"/>
            <w:szCs w:val="18"/>
            <w:u w:val="single"/>
            <w:lang w:eastAsia="cs-CZ"/>
          </w:rPr>
          <w:t>§ 2248</w:t>
        </w:r>
      </w:hyperlink>
      <w:r w:rsidRPr="00CA4DAD">
        <w:rPr>
          <w:rFonts w:ascii="Arial CE" w:eastAsia="Times New Roman" w:hAnsi="Arial CE" w:cs="Arial CE"/>
          <w:sz w:val="18"/>
          <w:szCs w:val="18"/>
          <w:lang w:eastAsia="cs-CZ"/>
        </w:rPr>
        <w:t xml:space="preserve"> NOZ. O zvýšení nájemného Pronajímatel Nájemce informuje písemně nejpozději </w:t>
      </w:r>
      <w:r w:rsidR="00A870C0">
        <w:rPr>
          <w:rFonts w:ascii="Arial CE" w:eastAsia="Times New Roman" w:hAnsi="Arial CE" w:cs="Arial CE"/>
          <w:sz w:val="18"/>
          <w:szCs w:val="18"/>
          <w:lang w:eastAsia="cs-CZ"/>
        </w:rPr>
        <w:t>2 měsíce před plánovaným zvýšením nájemného.</w:t>
      </w:r>
    </w:p>
    <w:p w:rsidR="007E0D6D" w:rsidRDefault="002313B3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sz w:val="18"/>
          <w:szCs w:val="18"/>
          <w:lang w:eastAsia="cs-CZ"/>
        </w:rPr>
        <w:t>d</w:t>
      </w:r>
      <w:r w:rsidR="007E0D6D" w:rsidRPr="00CA4DAD">
        <w:rPr>
          <w:rFonts w:ascii="Arial CE" w:eastAsia="Times New Roman" w:hAnsi="Arial CE" w:cs="Arial CE"/>
          <w:sz w:val="18"/>
          <w:szCs w:val="18"/>
          <w:lang w:eastAsia="cs-CZ"/>
        </w:rPr>
        <w:t>) Pro včasnost plateb je rozhodující den připsání platby na účet Pronajímatele.</w:t>
      </w:r>
    </w:p>
    <w:p w:rsidR="00BD6D79" w:rsidRPr="00CA4DAD" w:rsidRDefault="00BD6D79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sz w:val="18"/>
          <w:szCs w:val="18"/>
          <w:lang w:eastAsia="cs-CZ"/>
        </w:rPr>
      </w:pPr>
    </w:p>
    <w:p w:rsidR="007E0D6D" w:rsidRPr="004177B5" w:rsidRDefault="000E2EC7" w:rsidP="00CA4DAD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VII</w:t>
      </w:r>
      <w:r w:rsidR="007E0D6D"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I. Předání a vrácení předmětu nájmu</w:t>
      </w:r>
    </w:p>
    <w:p w:rsidR="007E0D6D" w:rsidRPr="007E0D6D" w:rsidRDefault="007E0D6D" w:rsidP="007E0D6D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a) O předání předmětu nájmu bude Stranami sepsán </w:t>
      </w:r>
      <w:r w:rsidRPr="00473B5D">
        <w:rPr>
          <w:rFonts w:ascii="Arial CE" w:eastAsia="Times New Roman" w:hAnsi="Arial CE" w:cs="Arial CE"/>
          <w:sz w:val="18"/>
          <w:szCs w:val="18"/>
          <w:lang w:eastAsia="cs-CZ"/>
        </w:rPr>
        <w:t>předávací protokol</w:t>
      </w: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, ve kterém bude zachycen stav pronajímaných prostorů v okamžiku předání.</w:t>
      </w:r>
    </w:p>
    <w:p w:rsidR="007E0D6D" w:rsidRPr="007E0D6D" w:rsidRDefault="007E0D6D" w:rsidP="004177B5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b) Nájemci bude při předání prostor předána sada klíčů. Bez souhlasu Pronajímatele nesmí Nájemce pořídit kopii žádného z klíčů. Nájemce odevzdá Pronajímateli po ukončení nájemního vztahu veškeré klíče.</w:t>
      </w:r>
    </w:p>
    <w:p w:rsidR="007E0D6D" w:rsidRDefault="007E0D6D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c) Nájemce je při ukončení nájemního vztahu povinen předmět nájmu předat ve stavu uvedeném v předávacím protokolu s přihlédnutím k obvyklému opotřebení při řádném užívání.</w:t>
      </w:r>
    </w:p>
    <w:p w:rsidR="00E745D4" w:rsidRPr="007E0D6D" w:rsidRDefault="00E745D4" w:rsidP="007E0D6D">
      <w:pPr>
        <w:shd w:val="clear" w:color="auto" w:fill="FFFFFF"/>
        <w:spacing w:after="225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7E0D6D" w:rsidRPr="004177B5" w:rsidRDefault="000E2EC7" w:rsidP="000E2EC7">
      <w:pPr>
        <w:shd w:val="clear" w:color="auto" w:fill="FFFFFF"/>
        <w:spacing w:after="150" w:line="288" w:lineRule="atLeast"/>
        <w:jc w:val="center"/>
        <w:outlineLvl w:val="1"/>
        <w:rPr>
          <w:rFonts w:ascii="Trebuchet MS" w:eastAsia="Times New Roman" w:hAnsi="Trebuchet MS" w:cs="Times New Roman"/>
          <w:sz w:val="28"/>
          <w:szCs w:val="28"/>
          <w:lang w:eastAsia="cs-CZ"/>
        </w:rPr>
      </w:pPr>
      <w:r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I</w:t>
      </w:r>
      <w:r w:rsidR="007E0D6D" w:rsidRPr="004177B5">
        <w:rPr>
          <w:rFonts w:ascii="Trebuchet MS" w:eastAsia="Times New Roman" w:hAnsi="Trebuchet MS" w:cs="Times New Roman"/>
          <w:sz w:val="28"/>
          <w:szCs w:val="28"/>
          <w:lang w:eastAsia="cs-CZ"/>
        </w:rPr>
        <w:t>X. Závěrečná ustanovení</w:t>
      </w:r>
    </w:p>
    <w:p w:rsidR="00342229" w:rsidRDefault="00342229" w:rsidP="00342229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a) Tato smlouva je vyhotovena ve dvou originálech, z nichž každá ze Stran obdrží po jednom. Smlouva nabývá účinnosti okamžikem jejího podpisu.</w:t>
      </w:r>
    </w:p>
    <w:p w:rsidR="00342229" w:rsidRDefault="00342229" w:rsidP="00342229">
      <w:pPr>
        <w:shd w:val="clear" w:color="auto" w:fill="FFFFFF"/>
        <w:spacing w:after="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b) Tato smlouva může být měněna a doplňována pouze písemnými dodatky schválenými oběma smluvními stranami.</w:t>
      </w:r>
    </w:p>
    <w:p w:rsidR="00342229" w:rsidRDefault="00342229" w:rsidP="00342229">
      <w:pPr>
        <w:shd w:val="clear" w:color="auto" w:fill="FFFFFF"/>
        <w:spacing w:after="120" w:line="288" w:lineRule="atLeast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t>c)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:rsidR="00342229" w:rsidRDefault="00342229" w:rsidP="00342229">
      <w:pPr>
        <w:spacing w:after="24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cs-CZ"/>
        </w:rPr>
        <w:t xml:space="preserve">d) </w:t>
      </w:r>
      <w:r>
        <w:rPr>
          <w:rFonts w:ascii="Arial" w:hAnsi="Arial" w:cs="Arial"/>
          <w:bCs/>
          <w:iCs/>
          <w:sz w:val="18"/>
          <w:szCs w:val="18"/>
        </w:rPr>
        <w:t>Smluvní strany prohlašují, že souhlasí s případným zveřejněním obsahu této smlouvy v souladu s ustanovením zákona č. 106/1999 Sb., o svobodném přístupu k informacím, ve znění pozdějších předpisů.</w:t>
      </w:r>
    </w:p>
    <w:p w:rsidR="002313B3" w:rsidRDefault="002313B3" w:rsidP="007E0D6D">
      <w:pPr>
        <w:spacing w:after="0" w:line="24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2313B3" w:rsidRDefault="002313B3" w:rsidP="007E0D6D">
      <w:pPr>
        <w:spacing w:after="0" w:line="240" w:lineRule="auto"/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</w:pPr>
    </w:p>
    <w:p w:rsidR="007E0D6D" w:rsidRPr="007E0D6D" w:rsidRDefault="007E0D6D" w:rsidP="007E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E0D6D">
        <w:rPr>
          <w:rFonts w:ascii="Arial CE" w:eastAsia="Times New Roman" w:hAnsi="Arial CE" w:cs="Arial CE"/>
          <w:color w:val="222222"/>
          <w:sz w:val="18"/>
          <w:szCs w:val="18"/>
          <w:lang w:eastAsia="cs-CZ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A15E13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V</w:t>
            </w:r>
            <w:r w:rsidR="00A15E13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 Liberci</w:t>
            </w: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 xml:space="preserve"> dne 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A15E13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 xml:space="preserve">V </w:t>
            </w:r>
            <w:r w:rsidR="00A15E13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Liberci</w:t>
            </w: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 xml:space="preserve"> dne ………………………</w:t>
            </w:r>
          </w:p>
        </w:tc>
      </w:tr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</w:tr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</w:tr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</w:p>
        </w:tc>
      </w:tr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……………………………</w:t>
            </w:r>
          </w:p>
        </w:tc>
      </w:tr>
      <w:tr w:rsidR="007E0D6D" w:rsidRPr="007E0D6D" w:rsidTr="007E0D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Pronajímatel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7E0D6D" w:rsidRPr="007E0D6D" w:rsidRDefault="007E0D6D" w:rsidP="007E0D6D">
            <w:pPr>
              <w:spacing w:after="0" w:line="288" w:lineRule="atLeast"/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</w:pPr>
            <w:r w:rsidRPr="007E0D6D">
              <w:rPr>
                <w:rFonts w:ascii="Arial CE" w:eastAsia="Times New Roman" w:hAnsi="Arial CE" w:cs="Arial CE"/>
                <w:color w:val="222222"/>
                <w:sz w:val="18"/>
                <w:szCs w:val="18"/>
                <w:lang w:eastAsia="cs-CZ"/>
              </w:rPr>
              <w:t>Nájemce</w:t>
            </w:r>
          </w:p>
        </w:tc>
      </w:tr>
    </w:tbl>
    <w:p w:rsidR="00140268" w:rsidRDefault="00140268"/>
    <w:sectPr w:rsidR="00140268" w:rsidSect="004177B5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C50FE"/>
    <w:multiLevelType w:val="hybridMultilevel"/>
    <w:tmpl w:val="BA4806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71C15"/>
    <w:multiLevelType w:val="multilevel"/>
    <w:tmpl w:val="FB9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D"/>
    <w:rsid w:val="00015D23"/>
    <w:rsid w:val="000E2EC7"/>
    <w:rsid w:val="00140268"/>
    <w:rsid w:val="00227C86"/>
    <w:rsid w:val="002313B3"/>
    <w:rsid w:val="00264AC3"/>
    <w:rsid w:val="002E5C1A"/>
    <w:rsid w:val="00342229"/>
    <w:rsid w:val="004177B5"/>
    <w:rsid w:val="00473B5D"/>
    <w:rsid w:val="005A7C3F"/>
    <w:rsid w:val="006C34D5"/>
    <w:rsid w:val="006E221E"/>
    <w:rsid w:val="007E0D6D"/>
    <w:rsid w:val="00913F5F"/>
    <w:rsid w:val="0092300C"/>
    <w:rsid w:val="009F2A34"/>
    <w:rsid w:val="00A15E13"/>
    <w:rsid w:val="00A6759F"/>
    <w:rsid w:val="00A870C0"/>
    <w:rsid w:val="00AF3828"/>
    <w:rsid w:val="00BD6D79"/>
    <w:rsid w:val="00C52138"/>
    <w:rsid w:val="00CA4DAD"/>
    <w:rsid w:val="00E745D4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EF7F0-0905-49AF-A90C-89476B9B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0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E0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D6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0D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E0D6D"/>
  </w:style>
  <w:style w:type="character" w:styleId="Hypertextovodkaz">
    <w:name w:val="Hyperlink"/>
    <w:basedOn w:val="Standardnpsmoodstavce"/>
    <w:uiPriority w:val="99"/>
    <w:semiHidden/>
    <w:unhideWhenUsed/>
    <w:rsid w:val="007E0D6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E0D6D"/>
    <w:rPr>
      <w:i/>
      <w:iCs/>
    </w:rPr>
  </w:style>
  <w:style w:type="paragraph" w:styleId="Odstavecseseznamem">
    <w:name w:val="List Paragraph"/>
    <w:basedOn w:val="Normln"/>
    <w:uiPriority w:val="34"/>
    <w:qFormat/>
    <w:rsid w:val="00CA4DAD"/>
    <w:pPr>
      <w:ind w:left="720"/>
      <w:contextualSpacing/>
    </w:pPr>
  </w:style>
  <w:style w:type="paragraph" w:styleId="Bezmezer">
    <w:name w:val="No Spacing"/>
    <w:uiPriority w:val="1"/>
    <w:qFormat/>
    <w:rsid w:val="00227C8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2-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2-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yprolidi.cz/cs/2012-89" TargetMode="External"/><Relationship Id="rId5" Type="http://schemas.openxmlformats.org/officeDocument/2006/relationships/hyperlink" Target="http://www.zakonyprolidi.cz/cs/2012-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Martin Mikuš</cp:lastModifiedBy>
  <cp:revision>6</cp:revision>
  <cp:lastPrinted>2021-03-01T10:17:00Z</cp:lastPrinted>
  <dcterms:created xsi:type="dcterms:W3CDTF">2019-11-27T11:42:00Z</dcterms:created>
  <dcterms:modified xsi:type="dcterms:W3CDTF">2021-03-01T10:28:00Z</dcterms:modified>
</cp:coreProperties>
</file>