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D1" w:rsidRDefault="00E272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1 | Specifikace povinností a činností Příjemce a Partnera</w:t>
      </w:r>
    </w:p>
    <w:p w:rsidR="009C06D1" w:rsidRDefault="00E2720E">
      <w:pPr>
        <w:rPr>
          <w:b/>
          <w:bCs/>
        </w:rPr>
      </w:pPr>
      <w:r>
        <w:rPr>
          <w:b/>
          <w:bCs/>
        </w:rPr>
        <w:t>Ad Článek 3 – Činnosti a aktivity Příjemce (dále jen „MUO“)</w:t>
      </w:r>
    </w:p>
    <w:p w:rsidR="009C06D1" w:rsidRDefault="00E2720E">
      <w:r>
        <w:t>MUO na základě schválené projektové žádosti zodpovídá za</w:t>
      </w:r>
    </w:p>
    <w:p w:rsidR="009C06D1" w:rsidRDefault="00E2720E">
      <w:pPr>
        <w:numPr>
          <w:ilvl w:val="0"/>
          <w:numId w:val="2"/>
        </w:numPr>
      </w:pPr>
      <w:r>
        <w:t>sestavení komplexní strategie realizace projektu</w:t>
      </w:r>
    </w:p>
    <w:p w:rsidR="009C06D1" w:rsidRDefault="00E2720E">
      <w:pPr>
        <w:numPr>
          <w:ilvl w:val="0"/>
          <w:numId w:val="2"/>
        </w:numPr>
      </w:pPr>
      <w:r>
        <w:t>sestavení digitaliza</w:t>
      </w:r>
      <w:r>
        <w:t>ční workflow</w:t>
      </w:r>
    </w:p>
    <w:p w:rsidR="009C06D1" w:rsidRDefault="00E2720E">
      <w:pPr>
        <w:numPr>
          <w:ilvl w:val="0"/>
          <w:numId w:val="2"/>
        </w:numPr>
      </w:pPr>
      <w:r>
        <w:t>systémové zajištění správy, uchovávání dat a jejich prezentace koncovému uživateli (veřejně přístupná digitální databáze MUO)</w:t>
      </w:r>
    </w:p>
    <w:p w:rsidR="009C06D1" w:rsidRDefault="00E2720E">
      <w:pPr>
        <w:numPr>
          <w:ilvl w:val="0"/>
          <w:numId w:val="2"/>
        </w:numPr>
      </w:pPr>
      <w:r>
        <w:t>realizaci klíčových aktivit, tj. KA 1 – 8</w:t>
      </w:r>
    </w:p>
    <w:p w:rsidR="009C06D1" w:rsidRDefault="00E2720E">
      <w:pPr>
        <w:ind w:left="720"/>
        <w:rPr>
          <w:i/>
          <w:iCs/>
        </w:rPr>
      </w:pPr>
      <w:r>
        <w:t xml:space="preserve">KA1 </w:t>
      </w:r>
      <w:r>
        <w:rPr>
          <w:i/>
          <w:iCs/>
        </w:rPr>
        <w:t>Vypracování a zavedení podnikatelské strategie</w:t>
      </w:r>
    </w:p>
    <w:p w:rsidR="009C06D1" w:rsidRDefault="00E2720E">
      <w:pPr>
        <w:ind w:left="720"/>
      </w:pPr>
      <w:r>
        <w:t xml:space="preserve">KA2 </w:t>
      </w:r>
      <w:r>
        <w:rPr>
          <w:i/>
          <w:iCs/>
        </w:rPr>
        <w:t>Management projektu</w:t>
      </w:r>
    </w:p>
    <w:p w:rsidR="009C06D1" w:rsidRDefault="00E2720E">
      <w:pPr>
        <w:ind w:left="720"/>
      </w:pPr>
      <w:r>
        <w:t xml:space="preserve">KA3 </w:t>
      </w:r>
      <w:r>
        <w:rPr>
          <w:i/>
          <w:iCs/>
        </w:rPr>
        <w:t>Publicita projektu</w:t>
      </w:r>
      <w:r>
        <w:t xml:space="preserve"> </w:t>
      </w:r>
    </w:p>
    <w:p w:rsidR="009C06D1" w:rsidRDefault="00E2720E">
      <w:pPr>
        <w:ind w:left="720"/>
      </w:pPr>
      <w:r>
        <w:t xml:space="preserve">KA4 </w:t>
      </w:r>
      <w:r>
        <w:rPr>
          <w:i/>
          <w:iCs/>
        </w:rPr>
        <w:t>Restaurování a konzervování sbírkových předmětů pro digitalizaci</w:t>
      </w:r>
      <w:r>
        <w:t xml:space="preserve"> (sbírky na papíře MUO)</w:t>
      </w:r>
    </w:p>
    <w:p w:rsidR="009C06D1" w:rsidRDefault="00E2720E">
      <w:pPr>
        <w:ind w:left="720"/>
      </w:pPr>
      <w:r>
        <w:t xml:space="preserve">KA5 </w:t>
      </w:r>
      <w:r>
        <w:rPr>
          <w:i/>
          <w:iCs/>
        </w:rPr>
        <w:t>Digitalizace sbírek a jejich online zpřístupnění</w:t>
      </w:r>
    </w:p>
    <w:p w:rsidR="009C06D1" w:rsidRDefault="00E2720E">
      <w:pPr>
        <w:ind w:left="720"/>
      </w:pPr>
      <w:r>
        <w:t xml:space="preserve">KA6 </w:t>
      </w:r>
      <w:r>
        <w:rPr>
          <w:i/>
          <w:iCs/>
        </w:rPr>
        <w:t>Konference, workshopy a vzdělávací akce k problematice digitalizace, prezentace a r</w:t>
      </w:r>
      <w:r>
        <w:rPr>
          <w:i/>
          <w:iCs/>
        </w:rPr>
        <w:t>estaurování movitého kulturního dědictví pro odbornou veřejnost</w:t>
      </w:r>
      <w:r>
        <w:t xml:space="preserve"> </w:t>
      </w:r>
    </w:p>
    <w:p w:rsidR="009C06D1" w:rsidRDefault="00E2720E">
      <w:pPr>
        <w:numPr>
          <w:ilvl w:val="0"/>
          <w:numId w:val="4"/>
        </w:numPr>
      </w:pPr>
      <w:r>
        <w:t>V rámci KA6 budou lektoři MUO sdílet své zkušenosti z muzejní praxe s odbornými pracovníky MZK, která získané zkušenosti implementuje do vlastních programů pro veřejnost.</w:t>
      </w:r>
    </w:p>
    <w:p w:rsidR="009C06D1" w:rsidRDefault="00E2720E">
      <w:pPr>
        <w:ind w:left="720"/>
      </w:pPr>
      <w:r>
        <w:t xml:space="preserve">KA7 </w:t>
      </w:r>
      <w:r>
        <w:rPr>
          <w:i/>
          <w:iCs/>
        </w:rPr>
        <w:t>Workshopy, kultu</w:t>
      </w:r>
      <w:r>
        <w:rPr>
          <w:i/>
          <w:iCs/>
        </w:rPr>
        <w:t>rní a vzdělávací akce s využitím digitalizovaného movitého kulturního dědictví pro laickou veřejnost</w:t>
      </w:r>
    </w:p>
    <w:p w:rsidR="009C06D1" w:rsidRDefault="00E2720E">
      <w:pPr>
        <w:ind w:left="720"/>
      </w:pPr>
      <w:r>
        <w:t xml:space="preserve">KA8 </w:t>
      </w:r>
      <w:r>
        <w:rPr>
          <w:i/>
          <w:iCs/>
        </w:rPr>
        <w:t xml:space="preserve">Vytvoření kolekce metodických materiálů pro pedagogy a edukační pracovníky v kultuře pro vzdělávání žáků ZŠ a nižší ročníky SŠ za využití digitalizátů </w:t>
      </w:r>
      <w:r>
        <w:rPr>
          <w:i/>
          <w:iCs/>
        </w:rPr>
        <w:t>sbírkových předmětů MUO</w:t>
      </w:r>
    </w:p>
    <w:p w:rsidR="009C06D1" w:rsidRDefault="009C06D1">
      <w:pPr>
        <w:ind w:left="720"/>
      </w:pPr>
    </w:p>
    <w:p w:rsidR="009C06D1" w:rsidRDefault="00E2720E">
      <w:pPr>
        <w:rPr>
          <w:b/>
          <w:bCs/>
        </w:rPr>
      </w:pPr>
      <w:r>
        <w:rPr>
          <w:b/>
          <w:bCs/>
        </w:rPr>
        <w:t>Ad Článek 4 – Činnosti Partnera (dále jen „MZK“)</w:t>
      </w:r>
    </w:p>
    <w:p w:rsidR="009C06D1" w:rsidRDefault="00E2720E">
      <w:r>
        <w:t>MZK se v rámci projektu zavazuje dle schválené projektové žádosti aktivně podílet a spolupracovat na realizaci klíčových aktivit 2, 3, 4, 5, 6 a 7.</w:t>
      </w:r>
    </w:p>
    <w:p w:rsidR="009C06D1" w:rsidRDefault="00E2720E">
      <w:r>
        <w:t xml:space="preserve">KA2 </w:t>
      </w:r>
      <w:r>
        <w:rPr>
          <w:i/>
          <w:iCs/>
        </w:rPr>
        <w:t>Management projektu</w:t>
      </w:r>
    </w:p>
    <w:p w:rsidR="009C06D1" w:rsidRDefault="00E2720E">
      <w:r>
        <w:t xml:space="preserve">KA3 </w:t>
      </w:r>
      <w:r>
        <w:rPr>
          <w:i/>
          <w:iCs/>
        </w:rPr>
        <w:t>Public</w:t>
      </w:r>
      <w:r>
        <w:rPr>
          <w:i/>
          <w:iCs/>
        </w:rPr>
        <w:t>ita projektu</w:t>
      </w:r>
    </w:p>
    <w:p w:rsidR="009C06D1" w:rsidRDefault="00E2720E">
      <w:r>
        <w:t xml:space="preserve">KA4 </w:t>
      </w:r>
      <w:r>
        <w:rPr>
          <w:i/>
          <w:iCs/>
        </w:rPr>
        <w:t xml:space="preserve">Restaurování a konzervování sbírkových předmětů pro digitalizaci </w:t>
      </w:r>
    </w:p>
    <w:p w:rsidR="009C06D1" w:rsidRDefault="00E2720E">
      <w:r>
        <w:t xml:space="preserve">KA5 </w:t>
      </w:r>
      <w:r>
        <w:rPr>
          <w:i/>
          <w:iCs/>
        </w:rPr>
        <w:t>Digitalizace sbírek a jejich online zpřístupnění</w:t>
      </w:r>
    </w:p>
    <w:p w:rsidR="009C06D1" w:rsidRDefault="00E2720E">
      <w:r>
        <w:t xml:space="preserve">KA6 </w:t>
      </w:r>
      <w:r>
        <w:rPr>
          <w:i/>
          <w:iCs/>
        </w:rPr>
        <w:t>Konference, workshopy a vzdělávací akce k problematice digitalizace, prezentace a restaurování movitého kulturního d</w:t>
      </w:r>
      <w:r>
        <w:rPr>
          <w:i/>
          <w:iCs/>
        </w:rPr>
        <w:t>ědictví pro odbornou veřejnost</w:t>
      </w:r>
    </w:p>
    <w:p w:rsidR="009C06D1" w:rsidRDefault="00E2720E">
      <w:r>
        <w:t xml:space="preserve">KA7 </w:t>
      </w:r>
      <w:r>
        <w:rPr>
          <w:i/>
          <w:iCs/>
        </w:rPr>
        <w:t>Workshopy, kulturní a vzdělávací akce s využitím digitalizovaného movitého kulturního dědictví pro laickou veřejnost</w:t>
      </w:r>
    </w:p>
    <w:p w:rsidR="009C06D1" w:rsidRDefault="009C06D1"/>
    <w:p w:rsidR="009C06D1" w:rsidRDefault="00E2720E">
      <w:r>
        <w:t>V rámci projektu se MZK konkrétně zavazuje</w:t>
      </w:r>
    </w:p>
    <w:p w:rsidR="009C06D1" w:rsidRDefault="00E2720E">
      <w:pPr>
        <w:numPr>
          <w:ilvl w:val="0"/>
          <w:numId w:val="2"/>
        </w:numPr>
      </w:pPr>
      <w:r>
        <w:t xml:space="preserve">aktivně se podílet a spolupracovat na managementu Projektu </w:t>
      </w:r>
      <w:r>
        <w:t>dle pokynů Příjemce (KA2);</w:t>
      </w:r>
    </w:p>
    <w:p w:rsidR="009C06D1" w:rsidRDefault="00E2720E">
      <w:pPr>
        <w:numPr>
          <w:ilvl w:val="0"/>
          <w:numId w:val="2"/>
        </w:numPr>
      </w:pPr>
      <w:r>
        <w:t>zajišťovat publicitu Projektu v souladu s požadavky stanovenými programem KU – Program Kultura spolufinancovaném z Finančních mechanismů EHP/Norska 2014-2021 a také pokyny Příjemcem Projektu (KA3);</w:t>
      </w:r>
    </w:p>
    <w:p w:rsidR="009C06D1" w:rsidRDefault="00E2720E">
      <w:pPr>
        <w:numPr>
          <w:ilvl w:val="0"/>
          <w:numId w:val="2"/>
        </w:numPr>
      </w:pPr>
      <w:r>
        <w:t xml:space="preserve">plnit v rámci Projektu roli </w:t>
      </w:r>
      <w:r>
        <w:t>mentora pro oblast digitalizace papírových fondů AO (KA5), což zahrnuje:</w:t>
      </w:r>
    </w:p>
    <w:p w:rsidR="009C06D1" w:rsidRDefault="00E2720E">
      <w:pPr>
        <w:numPr>
          <w:ilvl w:val="0"/>
          <w:numId w:val="6"/>
        </w:numPr>
      </w:pPr>
      <w:r>
        <w:t>poskytovat informace, spolupráci a součinnost v následujících oblastech: výběr exponátů, jejich katalogizace, příprava pro digitalizaci, sestavení realizovatelného harmonogramu digita</w:t>
      </w:r>
      <w:r>
        <w:t>lizace a doporučení technického vybavení (scanner, software k úpravě digitalizátů, správě a uložení dat).</w:t>
      </w:r>
    </w:p>
    <w:p w:rsidR="009C06D1" w:rsidRDefault="00E2720E">
      <w:pPr>
        <w:numPr>
          <w:ilvl w:val="0"/>
          <w:numId w:val="6"/>
        </w:numPr>
      </w:pPr>
      <w:r>
        <w:t xml:space="preserve">vytvořit pro zdigitalizované předměty AO ve správě MUO-AMK balíček s metadaty a finální digitalizát (realizace na digitalizační lince MZK). </w:t>
      </w:r>
    </w:p>
    <w:p w:rsidR="009C06D1" w:rsidRDefault="00E2720E">
      <w:pPr>
        <w:numPr>
          <w:ilvl w:val="0"/>
          <w:numId w:val="6"/>
        </w:numPr>
      </w:pPr>
      <w:r>
        <w:t xml:space="preserve">zajistit </w:t>
      </w:r>
      <w:r>
        <w:t>veřejnou prezentaci digitalizovaných exponátů AO v Digitální knihovně MZK.</w:t>
      </w:r>
    </w:p>
    <w:p w:rsidR="009C06D1" w:rsidRDefault="00E2720E">
      <w:pPr>
        <w:numPr>
          <w:ilvl w:val="0"/>
          <w:numId w:val="6"/>
        </w:numPr>
      </w:pPr>
      <w:r>
        <w:t xml:space="preserve">zdigitalizovat vybrané hudebniny, prvotisky a staré tisky ze své kmenové sbírky a prezentovat je v Digitální knihovně MZK. </w:t>
      </w:r>
    </w:p>
    <w:p w:rsidR="009C06D1" w:rsidRDefault="00E2720E">
      <w:pPr>
        <w:numPr>
          <w:ilvl w:val="0"/>
          <w:numId w:val="2"/>
        </w:numPr>
      </w:pPr>
      <w:r>
        <w:t xml:space="preserve">Zrestaurovat vybrané sbírky na papíře z kmenových sbírek </w:t>
      </w:r>
      <w:r>
        <w:t>MZK, viz projektová žádost (KA4);</w:t>
      </w:r>
    </w:p>
    <w:p w:rsidR="009C06D1" w:rsidRDefault="00E2720E">
      <w:pPr>
        <w:numPr>
          <w:ilvl w:val="0"/>
          <w:numId w:val="2"/>
        </w:numPr>
      </w:pPr>
      <w:r>
        <w:t>Aktivně se zúčastnit workshopu/konference a organizace semináře pro odbornou veřejnost (KA6);</w:t>
      </w:r>
    </w:p>
    <w:p w:rsidR="009C06D1" w:rsidRDefault="00E2720E">
      <w:pPr>
        <w:numPr>
          <w:ilvl w:val="0"/>
          <w:numId w:val="2"/>
        </w:numPr>
      </w:pPr>
      <w:r>
        <w:t>podílet na realizaci workshopů zaměřených na digitalizaci (KA7);</w:t>
      </w:r>
    </w:p>
    <w:p w:rsidR="009C06D1" w:rsidRDefault="00E2720E">
      <w:pPr>
        <w:numPr>
          <w:ilvl w:val="0"/>
          <w:numId w:val="2"/>
        </w:numPr>
      </w:pPr>
      <w:r>
        <w:t>implementovat zkušenosti získané z muzejní praxe (spolupráce s </w:t>
      </w:r>
      <w:r>
        <w:t>MUO) do vlastních programů pro veřejnost (KA7);</w:t>
      </w:r>
    </w:p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E272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2 | Rozpočet Partnera projektu</w:t>
      </w:r>
    </w:p>
    <w:tbl>
      <w:tblPr>
        <w:tblStyle w:val="TableNormal"/>
        <w:tblW w:w="91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969"/>
      </w:tblGrid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Polo</w:t>
            </w:r>
            <w:r>
              <w:rPr>
                <w:rFonts w:ascii="Arial" w:hAnsi="Arial"/>
                <w:b/>
                <w:bCs/>
                <w:color w:val="FFFFFF"/>
                <w:u w:color="FFFFFF"/>
              </w:rPr>
              <w:t>ž</w:t>
            </w:r>
            <w:r>
              <w:rPr>
                <w:rFonts w:ascii="Arial" w:hAnsi="Arial"/>
                <w:b/>
                <w:bCs/>
                <w:color w:val="FFFFFF"/>
                <w:u w:color="FFFFFF"/>
              </w:rPr>
              <w:t>ka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  <w:color w:val="FFFFFF"/>
                <w:u w:color="FFFFFF"/>
              </w:rPr>
              <w:t>Celkem (K</w:t>
            </w:r>
            <w:r>
              <w:rPr>
                <w:rFonts w:ascii="Arial" w:hAnsi="Arial"/>
                <w:color w:val="FFFFFF"/>
                <w:u w:color="FFFFFF"/>
              </w:rPr>
              <w:t>č</w:t>
            </w:r>
            <w:r>
              <w:rPr>
                <w:rFonts w:ascii="Arial" w:hAnsi="Arial"/>
                <w:color w:val="FFFFFF"/>
                <w:u w:color="FFFFFF"/>
              </w:rPr>
              <w:t>)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Projektov</w:t>
            </w:r>
            <w:r>
              <w:rPr>
                <w:rFonts w:ascii="Arial" w:hAnsi="Arial"/>
              </w:rPr>
              <w:t xml:space="preserve">ý </w:t>
            </w:r>
            <w:r>
              <w:rPr>
                <w:rFonts w:ascii="Arial" w:hAnsi="Arial"/>
              </w:rPr>
              <w:t>mana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er partnera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368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252,00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Finan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mana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er partnera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172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649,00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Editor digitalizovan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</w:rPr>
              <w:t>ch obraz</w:t>
            </w:r>
            <w:r>
              <w:rPr>
                <w:rFonts w:ascii="Arial" w:hAnsi="Arial"/>
              </w:rPr>
              <w:t>ů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078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784,00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 xml:space="preserve">Editor </w:t>
            </w:r>
            <w:r>
              <w:rPr>
                <w:rFonts w:ascii="Arial" w:hAnsi="Arial"/>
              </w:rPr>
              <w:t>metadat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928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237,50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Editor metadat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078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762,50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Dokument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tor - muzikolog MZK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187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320,00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Konzultant dokumentace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706,00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Konzultant digitalizace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706,00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Konzerv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575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340,00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IT podpora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553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418,00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Dokument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tor MZK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143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835,00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Scanerista Brno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jc w:val="right"/>
            </w:pPr>
            <w:r>
              <w:rPr>
                <w:rFonts w:ascii="Arial" w:hAnsi="Arial"/>
              </w:rPr>
              <w:t>510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143,00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  <w:color w:val="212121"/>
                <w:u w:color="212121"/>
              </w:rPr>
              <w:t>ochrann</w:t>
            </w:r>
            <w:r>
              <w:rPr>
                <w:rFonts w:ascii="Arial" w:hAnsi="Arial"/>
                <w:color w:val="212121"/>
                <w:u w:color="212121"/>
              </w:rPr>
              <w:t xml:space="preserve">é </w:t>
            </w:r>
            <w:r>
              <w:rPr>
                <w:rFonts w:ascii="Arial" w:hAnsi="Arial"/>
                <w:color w:val="212121"/>
                <w:u w:color="212121"/>
              </w:rPr>
              <w:t>obaly na prvotisky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280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000,00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  <w:color w:val="212121"/>
                <w:u w:color="212121"/>
              </w:rPr>
              <w:t>Materi</w:t>
            </w:r>
            <w:r>
              <w:rPr>
                <w:rFonts w:ascii="Arial" w:hAnsi="Arial"/>
                <w:color w:val="212121"/>
                <w:u w:color="212121"/>
              </w:rPr>
              <w:t>á</w:t>
            </w:r>
            <w:r>
              <w:rPr>
                <w:rFonts w:ascii="Arial" w:hAnsi="Arial"/>
                <w:color w:val="212121"/>
                <w:u w:color="212121"/>
              </w:rPr>
              <w:t>l pro restaur</w:t>
            </w:r>
            <w:r>
              <w:rPr>
                <w:rFonts w:ascii="Arial" w:hAnsi="Arial"/>
                <w:color w:val="212121"/>
                <w:u w:color="212121"/>
              </w:rPr>
              <w:t>á</w:t>
            </w:r>
            <w:r>
              <w:rPr>
                <w:rFonts w:ascii="Arial" w:hAnsi="Arial"/>
                <w:color w:val="212121"/>
                <w:u w:color="212121"/>
              </w:rPr>
              <w:t>torsk</w:t>
            </w:r>
            <w:r>
              <w:rPr>
                <w:rFonts w:ascii="Arial" w:hAnsi="Arial"/>
                <w:color w:val="212121"/>
                <w:u w:color="212121"/>
              </w:rPr>
              <w:t xml:space="preserve">é </w:t>
            </w:r>
            <w:r>
              <w:rPr>
                <w:rFonts w:ascii="Arial" w:hAnsi="Arial"/>
                <w:color w:val="212121"/>
                <w:u w:color="212121"/>
              </w:rPr>
              <w:t>pr</w:t>
            </w:r>
            <w:r>
              <w:rPr>
                <w:rFonts w:ascii="Arial" w:hAnsi="Arial"/>
                <w:color w:val="212121"/>
                <w:u w:color="212121"/>
              </w:rPr>
              <w:t>á</w:t>
            </w:r>
            <w:r>
              <w:rPr>
                <w:rFonts w:ascii="Arial" w:hAnsi="Arial"/>
                <w:color w:val="212121"/>
                <w:u w:color="212121"/>
              </w:rPr>
              <w:t>ce - speci</w:t>
            </w:r>
            <w:r>
              <w:rPr>
                <w:rFonts w:ascii="Arial" w:hAnsi="Arial"/>
                <w:color w:val="212121"/>
                <w:u w:color="212121"/>
              </w:rPr>
              <w:t>á</w:t>
            </w:r>
            <w:r>
              <w:rPr>
                <w:rFonts w:ascii="Arial" w:hAnsi="Arial"/>
                <w:color w:val="212121"/>
                <w:u w:color="212121"/>
              </w:rPr>
              <w:t>ln</w:t>
            </w:r>
            <w:r>
              <w:rPr>
                <w:rFonts w:ascii="Arial" w:hAnsi="Arial"/>
                <w:color w:val="212121"/>
                <w:u w:color="212121"/>
              </w:rPr>
              <w:t xml:space="preserve">í </w:t>
            </w:r>
            <w:r>
              <w:rPr>
                <w:rFonts w:ascii="Arial" w:hAnsi="Arial"/>
                <w:color w:val="212121"/>
                <w:u w:color="212121"/>
              </w:rPr>
              <w:t>pap</w:t>
            </w:r>
            <w:r>
              <w:rPr>
                <w:rFonts w:ascii="Arial" w:hAnsi="Arial"/>
                <w:color w:val="212121"/>
                <w:u w:color="212121"/>
              </w:rPr>
              <w:t>í</w:t>
            </w:r>
            <w:r>
              <w:rPr>
                <w:rFonts w:ascii="Arial" w:hAnsi="Arial"/>
                <w:color w:val="212121"/>
                <w:u w:color="212121"/>
              </w:rPr>
              <w:t>ry pro</w:t>
            </w:r>
            <w:r>
              <w:rPr>
                <w:rFonts w:ascii="Arial" w:eastAsia="Arial" w:hAnsi="Arial" w:cs="Arial"/>
                <w:color w:val="212121"/>
                <w:u w:color="212121"/>
              </w:rPr>
              <w:br/>
            </w:r>
            <w:r>
              <w:rPr>
                <w:rFonts w:ascii="Arial" w:hAnsi="Arial"/>
                <w:color w:val="212121"/>
                <w:u w:color="212121"/>
              </w:rPr>
              <w:t>restaur</w:t>
            </w:r>
            <w:r>
              <w:rPr>
                <w:rFonts w:ascii="Arial" w:hAnsi="Arial"/>
                <w:color w:val="212121"/>
                <w:u w:color="212121"/>
              </w:rPr>
              <w:t>á</w:t>
            </w:r>
            <w:r>
              <w:rPr>
                <w:rFonts w:ascii="Arial" w:hAnsi="Arial"/>
                <w:color w:val="212121"/>
                <w:u w:color="212121"/>
              </w:rPr>
              <w:t>torsk</w:t>
            </w:r>
            <w:r>
              <w:rPr>
                <w:rFonts w:ascii="Arial" w:hAnsi="Arial"/>
                <w:color w:val="212121"/>
                <w:u w:color="212121"/>
              </w:rPr>
              <w:t xml:space="preserve">é </w:t>
            </w:r>
            <w:r>
              <w:rPr>
                <w:rFonts w:ascii="Arial" w:hAnsi="Arial"/>
                <w:color w:val="212121"/>
                <w:u w:color="212121"/>
              </w:rPr>
              <w:t>pot</w:t>
            </w:r>
            <w:r>
              <w:rPr>
                <w:rFonts w:ascii="Arial" w:hAnsi="Arial"/>
                <w:color w:val="212121"/>
                <w:u w:color="212121"/>
              </w:rPr>
              <w:t>ř</w:t>
            </w:r>
            <w:r>
              <w:rPr>
                <w:rFonts w:ascii="Arial" w:hAnsi="Arial"/>
                <w:color w:val="212121"/>
                <w:u w:color="212121"/>
              </w:rPr>
              <w:t>eby, odkyselovac</w:t>
            </w:r>
            <w:r>
              <w:rPr>
                <w:rFonts w:ascii="Arial" w:hAnsi="Arial"/>
                <w:color w:val="212121"/>
                <w:u w:color="212121"/>
              </w:rPr>
              <w:t xml:space="preserve">í </w:t>
            </w:r>
            <w:r>
              <w:rPr>
                <w:rFonts w:ascii="Arial" w:hAnsi="Arial"/>
                <w:color w:val="212121"/>
                <w:u w:color="212121"/>
              </w:rPr>
              <w:t>prost</w:t>
            </w:r>
            <w:r>
              <w:rPr>
                <w:rFonts w:ascii="Arial" w:hAnsi="Arial"/>
                <w:color w:val="212121"/>
                <w:u w:color="212121"/>
              </w:rPr>
              <w:t>ř</w:t>
            </w:r>
            <w:r>
              <w:rPr>
                <w:rFonts w:ascii="Arial" w:hAnsi="Arial"/>
                <w:color w:val="212121"/>
                <w:u w:color="212121"/>
              </w:rPr>
              <w:t>edky, prost</w:t>
            </w:r>
            <w:r>
              <w:rPr>
                <w:rFonts w:ascii="Arial" w:hAnsi="Arial"/>
                <w:color w:val="212121"/>
                <w:u w:color="212121"/>
              </w:rPr>
              <w:t>ř</w:t>
            </w:r>
            <w:r>
              <w:rPr>
                <w:rFonts w:ascii="Arial" w:hAnsi="Arial"/>
                <w:color w:val="212121"/>
                <w:u w:color="212121"/>
              </w:rPr>
              <w:t>edky pro</w:t>
            </w:r>
            <w:r>
              <w:rPr>
                <w:rFonts w:ascii="Arial" w:eastAsia="Arial" w:hAnsi="Arial" w:cs="Arial"/>
                <w:color w:val="212121"/>
                <w:u w:color="212121"/>
              </w:rPr>
              <w:br/>
            </w:r>
            <w:r>
              <w:rPr>
                <w:rFonts w:ascii="Arial" w:hAnsi="Arial"/>
                <w:color w:val="212121"/>
                <w:u w:color="212121"/>
              </w:rPr>
              <w:t>odstra</w:t>
            </w:r>
            <w:r>
              <w:rPr>
                <w:rFonts w:ascii="Arial" w:hAnsi="Arial"/>
                <w:color w:val="212121"/>
                <w:u w:color="212121"/>
              </w:rPr>
              <w:t>ň</w:t>
            </w:r>
            <w:r>
              <w:rPr>
                <w:rFonts w:ascii="Arial" w:hAnsi="Arial"/>
                <w:color w:val="212121"/>
                <w:u w:color="212121"/>
              </w:rPr>
              <w:t>ov</w:t>
            </w:r>
            <w:r>
              <w:rPr>
                <w:rFonts w:ascii="Arial" w:hAnsi="Arial"/>
                <w:color w:val="212121"/>
                <w:u w:color="212121"/>
              </w:rPr>
              <w:t>á</w:t>
            </w:r>
            <w:r>
              <w:rPr>
                <w:rFonts w:ascii="Arial" w:hAnsi="Arial"/>
                <w:color w:val="212121"/>
                <w:u w:color="212121"/>
              </w:rPr>
              <w:t>n</w:t>
            </w:r>
            <w:r>
              <w:rPr>
                <w:rFonts w:ascii="Arial" w:hAnsi="Arial"/>
                <w:color w:val="212121"/>
                <w:u w:color="212121"/>
              </w:rPr>
              <w:t xml:space="preserve">í </w:t>
            </w:r>
            <w:r>
              <w:rPr>
                <w:rFonts w:ascii="Arial" w:hAnsi="Arial"/>
                <w:color w:val="212121"/>
                <w:u w:color="212121"/>
              </w:rPr>
              <w:t>drobn</w:t>
            </w:r>
            <w:r>
              <w:rPr>
                <w:rFonts w:ascii="Arial" w:hAnsi="Arial"/>
                <w:color w:val="212121"/>
                <w:u w:color="212121"/>
              </w:rPr>
              <w:t>ý</w:t>
            </w:r>
            <w:r>
              <w:rPr>
                <w:rFonts w:ascii="Arial" w:hAnsi="Arial"/>
                <w:color w:val="212121"/>
                <w:u w:color="212121"/>
              </w:rPr>
              <w:t>ch zne</w:t>
            </w:r>
            <w:r>
              <w:rPr>
                <w:rFonts w:ascii="Arial" w:hAnsi="Arial"/>
                <w:color w:val="212121"/>
                <w:u w:color="212121"/>
              </w:rPr>
              <w:t>č</w:t>
            </w:r>
            <w:r>
              <w:rPr>
                <w:rFonts w:ascii="Arial" w:hAnsi="Arial"/>
                <w:color w:val="212121"/>
                <w:u w:color="212121"/>
              </w:rPr>
              <w:t>i</w:t>
            </w:r>
            <w:r>
              <w:rPr>
                <w:rFonts w:ascii="Arial" w:hAnsi="Arial"/>
                <w:color w:val="212121"/>
                <w:u w:color="212121"/>
              </w:rPr>
              <w:t>š</w:t>
            </w:r>
            <w:r>
              <w:rPr>
                <w:rFonts w:ascii="Arial" w:hAnsi="Arial"/>
                <w:color w:val="212121"/>
                <w:u w:color="212121"/>
              </w:rPr>
              <w:t>t</w:t>
            </w:r>
            <w:r>
              <w:rPr>
                <w:rFonts w:ascii="Arial" w:hAnsi="Arial"/>
                <w:color w:val="212121"/>
                <w:u w:color="212121"/>
              </w:rPr>
              <w:t>ě</w:t>
            </w:r>
            <w:r>
              <w:rPr>
                <w:rFonts w:ascii="Arial" w:hAnsi="Arial"/>
                <w:color w:val="212121"/>
                <w:u w:color="212121"/>
              </w:rPr>
              <w:t>n</w:t>
            </w:r>
            <w:r>
              <w:rPr>
                <w:rFonts w:ascii="Arial" w:hAnsi="Arial"/>
                <w:color w:val="212121"/>
                <w:u w:color="212121"/>
              </w:rPr>
              <w:t>í</w:t>
            </w:r>
            <w:r>
              <w:rPr>
                <w:rFonts w:ascii="Arial" w:hAnsi="Arial"/>
                <w:color w:val="212121"/>
                <w:u w:color="212121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000,00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  <w:color w:val="212121"/>
                <w:u w:color="212121"/>
              </w:rPr>
              <w:t>cestovn</w:t>
            </w:r>
            <w:r>
              <w:rPr>
                <w:rFonts w:ascii="Arial" w:hAnsi="Arial"/>
                <w:color w:val="212121"/>
                <w:u w:color="212121"/>
              </w:rPr>
              <w:t xml:space="preserve">é </w:t>
            </w:r>
            <w:r>
              <w:rPr>
                <w:rFonts w:ascii="Arial" w:hAnsi="Arial"/>
                <w:color w:val="212121"/>
                <w:u w:color="212121"/>
              </w:rPr>
              <w:t xml:space="preserve">20 cest (Brno-Olomouc + </w:t>
            </w:r>
            <w:r>
              <w:rPr>
                <w:rFonts w:ascii="Arial" w:eastAsia="Arial" w:hAnsi="Arial" w:cs="Arial"/>
                <w:color w:val="212121"/>
                <w:u w:color="212121"/>
              </w:rPr>
              <w:br/>
            </w:r>
            <w:r>
              <w:rPr>
                <w:rFonts w:ascii="Arial" w:hAnsi="Arial"/>
                <w:color w:val="212121"/>
                <w:u w:color="212121"/>
              </w:rPr>
              <w:t>Olomouc-Brno, Brno-Krom</w:t>
            </w:r>
            <w:r>
              <w:rPr>
                <w:rFonts w:ascii="Arial" w:hAnsi="Arial"/>
                <w:color w:val="212121"/>
                <w:u w:color="212121"/>
              </w:rPr>
              <w:t xml:space="preserve">ěříž </w:t>
            </w:r>
            <w:r>
              <w:rPr>
                <w:rFonts w:ascii="Arial" w:hAnsi="Arial"/>
                <w:color w:val="212121"/>
                <w:u w:color="212121"/>
              </w:rPr>
              <w:t>+ Krom</w:t>
            </w:r>
            <w:r>
              <w:rPr>
                <w:rFonts w:ascii="Arial" w:hAnsi="Arial"/>
                <w:color w:val="212121"/>
                <w:u w:color="212121"/>
              </w:rPr>
              <w:t>ěříž</w:t>
            </w:r>
            <w:r>
              <w:rPr>
                <w:rFonts w:ascii="Arial" w:hAnsi="Arial"/>
                <w:color w:val="212121"/>
                <w:u w:color="212121"/>
              </w:rPr>
              <w:t>-Brno) v</w:t>
            </w:r>
            <w:r>
              <w:rPr>
                <w:rFonts w:ascii="Arial" w:hAnsi="Arial"/>
                <w:color w:val="212121"/>
                <w:u w:color="212121"/>
              </w:rPr>
              <w:t>č</w:t>
            </w:r>
            <w:r>
              <w:rPr>
                <w:rFonts w:ascii="Arial" w:hAnsi="Arial"/>
                <w:color w:val="212121"/>
                <w:u w:color="212121"/>
              </w:rPr>
              <w:t>etn</w:t>
            </w:r>
            <w:r>
              <w:rPr>
                <w:rFonts w:ascii="Arial" w:hAnsi="Arial"/>
                <w:color w:val="212121"/>
                <w:u w:color="212121"/>
              </w:rPr>
              <w:t xml:space="preserve">ě </w:t>
            </w:r>
            <w:r>
              <w:rPr>
                <w:rFonts w:ascii="Arial" w:hAnsi="Arial"/>
                <w:color w:val="212121"/>
                <w:u w:color="212121"/>
              </w:rPr>
              <w:t>stravn</w:t>
            </w:r>
            <w:r>
              <w:rPr>
                <w:rFonts w:ascii="Arial" w:hAnsi="Arial"/>
                <w:color w:val="212121"/>
                <w:u w:color="212121"/>
              </w:rPr>
              <w:t>é</w:t>
            </w:r>
            <w:r>
              <w:rPr>
                <w:rFonts w:ascii="Arial" w:hAnsi="Arial"/>
                <w:color w:val="212121"/>
                <w:u w:color="212121"/>
              </w:rPr>
              <w:t>ho (120 K</w:t>
            </w:r>
            <w:r>
              <w:rPr>
                <w:rFonts w:ascii="Arial" w:hAnsi="Arial"/>
                <w:color w:val="212121"/>
                <w:u w:color="212121"/>
              </w:rPr>
              <w:t>č</w:t>
            </w:r>
            <w:r>
              <w:rPr>
                <w:rFonts w:ascii="Arial" w:hAnsi="Arial"/>
                <w:color w:val="212121"/>
                <w:u w:color="212121"/>
              </w:rPr>
              <w:t xml:space="preserve">) a </w:t>
            </w:r>
            <w:r>
              <w:rPr>
                <w:rFonts w:ascii="Arial" w:eastAsia="Arial" w:hAnsi="Arial" w:cs="Arial"/>
                <w:color w:val="212121"/>
                <w:u w:color="212121"/>
              </w:rPr>
              <w:br/>
            </w:r>
            <w:r>
              <w:rPr>
                <w:rFonts w:ascii="Arial" w:hAnsi="Arial"/>
                <w:color w:val="212121"/>
                <w:u w:color="212121"/>
              </w:rPr>
              <w:t>p</w:t>
            </w:r>
            <w:r>
              <w:rPr>
                <w:rFonts w:ascii="Arial" w:hAnsi="Arial"/>
                <w:color w:val="212121"/>
                <w:u w:color="212121"/>
              </w:rPr>
              <w:t>ří</w:t>
            </w:r>
            <w:r>
              <w:rPr>
                <w:rFonts w:ascii="Arial" w:hAnsi="Arial"/>
                <w:color w:val="212121"/>
                <w:u w:color="212121"/>
              </w:rPr>
              <w:t>padn</w:t>
            </w:r>
            <w:r>
              <w:rPr>
                <w:rFonts w:ascii="Arial" w:hAnsi="Arial"/>
                <w:color w:val="212121"/>
                <w:u w:color="212121"/>
              </w:rPr>
              <w:t>é</w:t>
            </w:r>
            <w:r>
              <w:rPr>
                <w:rFonts w:ascii="Arial" w:hAnsi="Arial"/>
                <w:color w:val="212121"/>
                <w:u w:color="212121"/>
              </w:rPr>
              <w:t>ho ubytov</w:t>
            </w:r>
            <w:r>
              <w:rPr>
                <w:rFonts w:ascii="Arial" w:hAnsi="Arial"/>
                <w:color w:val="212121"/>
                <w:u w:color="212121"/>
              </w:rPr>
              <w:t>á</w:t>
            </w:r>
            <w:r>
              <w:rPr>
                <w:rFonts w:ascii="Arial" w:hAnsi="Arial"/>
                <w:color w:val="212121"/>
                <w:u w:color="212121"/>
              </w:rPr>
              <w:t>n</w:t>
            </w:r>
            <w:r>
              <w:rPr>
                <w:rFonts w:ascii="Arial" w:hAnsi="Arial"/>
                <w:color w:val="212121"/>
                <w:u w:color="212121"/>
              </w:rPr>
              <w:t>í</w:t>
            </w:r>
            <w:r>
              <w:rPr>
                <w:rFonts w:ascii="Arial" w:hAnsi="Arial"/>
                <w:color w:val="212121"/>
                <w:u w:color="212121"/>
              </w:rPr>
              <w:t>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000,00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  <w:color w:val="212121"/>
                <w:u w:color="212121"/>
              </w:rPr>
              <w:t>Cestovn</w:t>
            </w:r>
            <w:r>
              <w:rPr>
                <w:rFonts w:ascii="Arial" w:hAnsi="Arial"/>
                <w:color w:val="212121"/>
                <w:u w:color="212121"/>
              </w:rPr>
              <w:t xml:space="preserve">é </w:t>
            </w:r>
            <w:r>
              <w:rPr>
                <w:rFonts w:ascii="Arial" w:hAnsi="Arial"/>
                <w:color w:val="212121"/>
                <w:u w:color="212121"/>
              </w:rPr>
              <w:t>zahrani</w:t>
            </w:r>
            <w:r>
              <w:rPr>
                <w:rFonts w:ascii="Arial" w:hAnsi="Arial"/>
                <w:color w:val="212121"/>
                <w:u w:color="212121"/>
              </w:rPr>
              <w:t>č</w:t>
            </w:r>
            <w:r>
              <w:rPr>
                <w:rFonts w:ascii="Arial" w:hAnsi="Arial"/>
                <w:color w:val="212121"/>
                <w:u w:color="212121"/>
              </w:rPr>
              <w:t>n</w:t>
            </w:r>
            <w:r>
              <w:rPr>
                <w:rFonts w:ascii="Arial" w:hAnsi="Arial"/>
                <w:color w:val="212121"/>
                <w:u w:color="212121"/>
              </w:rPr>
              <w:t xml:space="preserve">í </w:t>
            </w:r>
            <w:r>
              <w:rPr>
                <w:rFonts w:ascii="Arial" w:hAnsi="Arial"/>
                <w:color w:val="212121"/>
                <w:u w:color="212121"/>
              </w:rPr>
              <w:t>(2 osoby, zahrnuje cestu, ubytov</w:t>
            </w:r>
            <w:r>
              <w:rPr>
                <w:rFonts w:ascii="Arial" w:hAnsi="Arial"/>
                <w:color w:val="212121"/>
                <w:u w:color="212121"/>
              </w:rPr>
              <w:t>á</w:t>
            </w:r>
            <w:r>
              <w:rPr>
                <w:rFonts w:ascii="Arial" w:hAnsi="Arial"/>
                <w:color w:val="212121"/>
                <w:u w:color="212121"/>
              </w:rPr>
              <w:t>n</w:t>
            </w:r>
            <w:r>
              <w:rPr>
                <w:rFonts w:ascii="Arial" w:hAnsi="Arial"/>
                <w:color w:val="212121"/>
                <w:u w:color="212121"/>
              </w:rPr>
              <w:t>í</w:t>
            </w:r>
            <w:r>
              <w:rPr>
                <w:rFonts w:ascii="Arial" w:hAnsi="Arial"/>
                <w:color w:val="212121"/>
                <w:u w:color="212121"/>
              </w:rPr>
              <w:t>, diety a kapesn</w:t>
            </w:r>
            <w:r>
              <w:rPr>
                <w:rFonts w:ascii="Arial" w:hAnsi="Arial"/>
                <w:color w:val="212121"/>
                <w:u w:color="212121"/>
              </w:rPr>
              <w:t>é</w:t>
            </w:r>
            <w:r>
              <w:rPr>
                <w:rFonts w:ascii="Arial" w:hAnsi="Arial"/>
                <w:color w:val="212121"/>
                <w:u w:color="212121"/>
              </w:rPr>
              <w:t>)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68 464,00</w:t>
            </w:r>
          </w:p>
        </w:tc>
      </w:tr>
    </w:tbl>
    <w:p w:rsidR="009C06D1" w:rsidRDefault="009C06D1">
      <w:pPr>
        <w:widowControl w:val="0"/>
        <w:spacing w:line="240" w:lineRule="auto"/>
        <w:rPr>
          <w:b/>
          <w:bCs/>
          <w:sz w:val="24"/>
          <w:szCs w:val="24"/>
        </w:rPr>
      </w:pPr>
    </w:p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9C06D1"/>
    <w:p w:rsidR="009C06D1" w:rsidRDefault="00E272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3 | Rozpočet projektu</w:t>
      </w:r>
    </w:p>
    <w:tbl>
      <w:tblPr>
        <w:tblStyle w:val="TableNormal"/>
        <w:tblW w:w="91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919"/>
        <w:gridCol w:w="1433"/>
        <w:gridCol w:w="1375"/>
      </w:tblGrid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Kapitola rozpo</w:t>
            </w:r>
            <w:r>
              <w:rPr>
                <w:rFonts w:ascii="Arial" w:hAnsi="Arial"/>
                <w:b/>
                <w:bCs/>
                <w:color w:val="FFFFFF"/>
                <w:u w:color="FFFFFF"/>
              </w:rPr>
              <w:t>č</w:t>
            </w:r>
            <w:r>
              <w:rPr>
                <w:rFonts w:ascii="Arial" w:hAnsi="Arial"/>
                <w:b/>
                <w:bCs/>
                <w:color w:val="FFFFFF"/>
                <w:u w:color="FFFFFF"/>
              </w:rPr>
              <w:t xml:space="preserve">tu </w:t>
            </w:r>
            <w:r>
              <w:rPr>
                <w:rFonts w:ascii="Arial" w:hAnsi="Arial"/>
                <w:b/>
                <w:bCs/>
                <w:color w:val="FFFFFF"/>
                <w:u w:color="FFFFFF"/>
              </w:rPr>
              <w:t>projektu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  <w:color w:val="FFFFFF"/>
                <w:u w:color="FFFFFF"/>
              </w:rPr>
              <w:t>Zp</w:t>
            </w:r>
            <w:r>
              <w:rPr>
                <w:rFonts w:ascii="Arial" w:hAnsi="Arial"/>
                <w:color w:val="FFFFFF"/>
                <w:u w:color="FFFFFF"/>
              </w:rPr>
              <w:t>ů</w:t>
            </w:r>
            <w:r>
              <w:rPr>
                <w:rFonts w:ascii="Arial" w:hAnsi="Arial"/>
                <w:color w:val="FFFFFF"/>
                <w:u w:color="FFFFFF"/>
              </w:rPr>
              <w:t>sobil</w:t>
            </w:r>
            <w:r>
              <w:rPr>
                <w:rFonts w:ascii="Arial" w:hAnsi="Arial"/>
                <w:color w:val="FFFFFF"/>
                <w:u w:color="FFFFFF"/>
              </w:rPr>
              <w:t xml:space="preserve">é </w:t>
            </w:r>
            <w:r>
              <w:rPr>
                <w:rFonts w:ascii="Arial" w:hAnsi="Arial"/>
                <w:color w:val="FFFFFF"/>
                <w:u w:color="FFFFFF"/>
              </w:rPr>
              <w:t>v</w:t>
            </w:r>
            <w:r>
              <w:rPr>
                <w:rFonts w:ascii="Arial" w:hAnsi="Arial"/>
                <w:color w:val="FFFFFF"/>
                <w:u w:color="FFFFFF"/>
              </w:rPr>
              <w:t>ý</w:t>
            </w:r>
            <w:r>
              <w:rPr>
                <w:rFonts w:ascii="Arial" w:hAnsi="Arial"/>
                <w:color w:val="FFFFFF"/>
                <w:u w:color="FFFFFF"/>
              </w:rPr>
              <w:t>daje (K</w:t>
            </w:r>
            <w:r>
              <w:rPr>
                <w:rFonts w:ascii="Arial" w:hAnsi="Arial"/>
                <w:color w:val="FFFFFF"/>
                <w:u w:color="FFFFFF"/>
              </w:rPr>
              <w:t>č</w:t>
            </w:r>
            <w:r>
              <w:rPr>
                <w:rFonts w:ascii="Arial" w:hAnsi="Arial"/>
                <w:color w:val="FFFFFF"/>
                <w:u w:color="FFFFFF"/>
              </w:rPr>
              <w:t>)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  <w:color w:val="FFFFFF"/>
                <w:u w:color="FFFFFF"/>
              </w:rPr>
              <w:t>Čá</w:t>
            </w:r>
            <w:r>
              <w:rPr>
                <w:rFonts w:ascii="Arial" w:hAnsi="Arial"/>
                <w:color w:val="FFFFFF"/>
                <w:u w:color="FFFFFF"/>
              </w:rPr>
              <w:t>stka v EUR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  <w:color w:val="FFFFFF"/>
                <w:u w:color="FFFFFF"/>
              </w:rPr>
              <w:t>Kurz EUR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Celkov</w:t>
            </w:r>
            <w:r>
              <w:rPr>
                <w:rFonts w:ascii="Arial" w:hAnsi="Arial"/>
              </w:rPr>
              <w:t xml:space="preserve">é </w:t>
            </w:r>
            <w:r>
              <w:rPr>
                <w:rFonts w:ascii="Arial" w:hAnsi="Arial"/>
              </w:rPr>
              <w:t>zp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sobil</w:t>
            </w:r>
            <w:r>
              <w:rPr>
                <w:rFonts w:ascii="Arial" w:hAnsi="Arial"/>
              </w:rPr>
              <w:t xml:space="preserve">é </w:t>
            </w:r>
            <w:r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</w:rPr>
              <w:t>daje projektu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41,534,685.00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1,616,135.00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25.70000959</w:t>
            </w:r>
          </w:p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Cestovn</w:t>
            </w:r>
            <w:r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/Travel Costs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419,666.00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16,329.00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9C06D1"/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Management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2 867 853,00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111 589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9C06D1"/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Publicita/Publicity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179 900,00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7 000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9C06D1"/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Slu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by/Services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28 918 666,00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1 125 239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9C06D1"/>
        </w:tc>
      </w:tr>
      <w:tr w:rsidR="009C0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435" w:type="dxa"/>
            <w:tcBorders>
              <w:top w:val="single" w:sz="6" w:space="0" w:color="CCCCCC"/>
              <w:left w:val="single" w:sz="6" w:space="0" w:color="CCCCCC"/>
              <w:bottom w:val="single" w:sz="6" w:space="0" w:color="CFCFCF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</w:pPr>
            <w:r>
              <w:rPr>
                <w:rFonts w:ascii="Arial" w:hAnsi="Arial"/>
              </w:rPr>
              <w:t>Stavebn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pr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ce a dod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vky/Construction Works and Supplies</w:t>
            </w:r>
          </w:p>
        </w:tc>
        <w:tc>
          <w:tcPr>
            <w:tcW w:w="1919" w:type="dxa"/>
            <w:tcBorders>
              <w:top w:val="single" w:sz="6" w:space="0" w:color="CCCCCC"/>
              <w:left w:val="single" w:sz="6" w:space="0" w:color="CCCCCC"/>
              <w:bottom w:val="single" w:sz="6" w:space="0" w:color="CFCFCF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9 148 600,00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FCFCF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E2720E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355 97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06D1" w:rsidRDefault="009C06D1"/>
        </w:tc>
      </w:tr>
    </w:tbl>
    <w:p w:rsidR="009C06D1" w:rsidRDefault="009C06D1">
      <w:pPr>
        <w:widowControl w:val="0"/>
        <w:spacing w:line="240" w:lineRule="auto"/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9C06D1">
      <w:pPr>
        <w:rPr>
          <w:b/>
          <w:bCs/>
          <w:sz w:val="24"/>
          <w:szCs w:val="24"/>
        </w:rPr>
      </w:pPr>
    </w:p>
    <w:p w:rsidR="009C06D1" w:rsidRDefault="00E272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9C06D1" w:rsidRDefault="00E272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Příloha </w:t>
      </w:r>
      <w:r>
        <w:rPr>
          <w:b/>
          <w:bCs/>
          <w:sz w:val="24"/>
          <w:szCs w:val="24"/>
        </w:rPr>
        <w:t>č. 4 | Pracovní plán katalogizace a digitalizace sbírkových předmětů</w:t>
      </w:r>
    </w:p>
    <w:p w:rsidR="009C06D1" w:rsidRDefault="00E2720E" w:rsidP="00E2720E">
      <w:r>
        <w:rPr>
          <w:rStyle w:val="fontstyle01"/>
        </w:rPr>
        <w:t>V přehledu jsou zahrnuty jen dokumenty z AMK, které budou v AMK katalogizovány a</w:t>
      </w:r>
      <w:r>
        <w:rPr>
          <w:rFonts w:ascii="TimesNewRomanPSMT" w:hAnsi="TimesNewRomanPSMT"/>
        </w:rPr>
        <w:br/>
      </w:r>
      <w:r>
        <w:rPr>
          <w:rStyle w:val="fontstyle01"/>
        </w:rPr>
        <w:t>skenovány a následně budou v MZK zpracovány naskenované obrazy a vytvořena metadata</w:t>
      </w:r>
      <w:r>
        <w:rPr>
          <w:rFonts w:ascii="TimesNewRomanPSMT" w:hAnsi="TimesNewRomanPSMT"/>
        </w:rPr>
        <w:br/>
      </w:r>
      <w:r>
        <w:rPr>
          <w:rStyle w:val="fontstyle01"/>
        </w:rPr>
        <w:t>digitálních dokumentů.</w:t>
      </w:r>
      <w:r>
        <w:rPr>
          <w:rFonts w:ascii="TimesNewRomanPSMT" w:hAnsi="TimesNewRomanPSMT"/>
        </w:rPr>
        <w:br/>
      </w:r>
      <w:r>
        <w:rPr>
          <w:rStyle w:val="fontstyle01"/>
        </w:rPr>
        <w:t>Jedná se o hrubý odhad postupu prací, který bude v průběhu projektu upravován. Skutečný</w:t>
      </w:r>
      <w:r>
        <w:rPr>
          <w:rFonts w:ascii="TimesNewRomanPSMT" w:hAnsi="TimesNewRomanPSMT"/>
        </w:rPr>
        <w:br/>
      </w:r>
      <w:r>
        <w:rPr>
          <w:rStyle w:val="fontstyle01"/>
        </w:rPr>
        <w:t>průběh prací bude záležet na fyzickém stavu dokumentů,</w:t>
      </w:r>
      <w:r>
        <w:rPr>
          <w:rStyle w:val="fontstyle01"/>
        </w:rPr>
        <w:t xml:space="preserve"> </w:t>
      </w:r>
      <w:bookmarkStart w:id="0" w:name="_GoBack"/>
      <w:bookmarkEnd w:id="0"/>
      <w:r>
        <w:rPr>
          <w:rStyle w:val="fontstyle01"/>
        </w:rPr>
        <w:t>jejich stránkovém rozsahu a</w:t>
      </w:r>
      <w:r>
        <w:rPr>
          <w:rFonts w:ascii="TimesNewRomanPSMT" w:hAnsi="TimesNewRomanPSMT"/>
        </w:rPr>
        <w:br/>
      </w:r>
      <w:r>
        <w:rPr>
          <w:rStyle w:val="fontstyle01"/>
        </w:rPr>
        <w:t>náročnosti a kvalitě skenování.</w:t>
      </w:r>
      <w:r>
        <w:rPr>
          <w:rFonts w:ascii="TimesNewRomanPSMT" w:hAnsi="TimesNewRomanPSMT"/>
        </w:rPr>
        <w:br/>
      </w:r>
      <w:r>
        <w:rPr>
          <w:rStyle w:val="fontstyle01"/>
        </w:rPr>
        <w:t>Vyšší čísla u digitalizace jsou dána částečným zpracováním fondu před začátkem projektu.</w:t>
      </w:r>
      <w:r>
        <w:rPr>
          <w:rFonts w:ascii="TimesNewRomanPSMT" w:hAnsi="TimesNewRomanPSMT"/>
        </w:rPr>
        <w:br/>
      </w:r>
      <w:r>
        <w:rPr>
          <w:rStyle w:val="fontstyle21"/>
        </w:rPr>
        <w:t>2021</w:t>
      </w:r>
      <w:r>
        <w:rPr>
          <w:rFonts w:ascii="TimesNewRomanPS-BoldMT" w:hAnsi="TimesNewRomanPS-BoldMT"/>
          <w:b/>
          <w:bCs/>
        </w:rPr>
        <w:br/>
      </w:r>
      <w:r>
        <w:rPr>
          <w:rStyle w:val="fontstyle31"/>
        </w:rPr>
        <w:t xml:space="preserve">digitalizace </w:t>
      </w:r>
      <w:r>
        <w:rPr>
          <w:rStyle w:val="fontstyle41"/>
        </w:rPr>
        <w:t>– ca 200 000 snímků / 700 dokumentů</w:t>
      </w:r>
      <w:r>
        <w:rPr>
          <w:rFonts w:ascii="TimesNewRomanPS-ItalicMT" w:hAnsi="TimesNewRomanPS-ItalicMT"/>
          <w:i/>
          <w:iCs/>
        </w:rPr>
        <w:br/>
      </w:r>
      <w:r>
        <w:rPr>
          <w:rStyle w:val="fontstyle01"/>
        </w:rPr>
        <w:t>prvotisky, hudebniny</w:t>
      </w:r>
      <w:r>
        <w:rPr>
          <w:rFonts w:ascii="TimesNewRomanPSMT" w:hAnsi="TimesNewRomanPSMT"/>
        </w:rPr>
        <w:br/>
      </w:r>
      <w:r>
        <w:rPr>
          <w:rStyle w:val="fontstyle21"/>
        </w:rPr>
        <w:t>2022</w:t>
      </w:r>
      <w:r>
        <w:rPr>
          <w:rFonts w:ascii="TimesNewRomanPS-BoldMT" w:hAnsi="TimesNewRomanPS-BoldMT"/>
          <w:b/>
          <w:bCs/>
        </w:rPr>
        <w:br/>
      </w:r>
      <w:r>
        <w:rPr>
          <w:rStyle w:val="fontstyle31"/>
        </w:rPr>
        <w:t xml:space="preserve">digitalizace </w:t>
      </w:r>
      <w:r>
        <w:rPr>
          <w:rStyle w:val="fontstyle41"/>
        </w:rPr>
        <w:t>– ca 330 000 snímků/ ca 6000 dokumentů</w:t>
      </w:r>
      <w:r>
        <w:rPr>
          <w:rFonts w:ascii="TimesNewRomanPS-ItalicMT" w:hAnsi="TimesNewRomanPS-ItalicMT"/>
          <w:i/>
          <w:iCs/>
        </w:rPr>
        <w:br/>
      </w:r>
      <w:r>
        <w:rPr>
          <w:rStyle w:val="fontstyle01"/>
        </w:rPr>
        <w:t>hudebniny, staré tisky</w:t>
      </w:r>
      <w:r>
        <w:rPr>
          <w:rFonts w:ascii="TimesNewRomanPSMT" w:hAnsi="TimesNewRomanPSMT"/>
        </w:rPr>
        <w:br/>
      </w:r>
      <w:r>
        <w:rPr>
          <w:rStyle w:val="fontstyle21"/>
        </w:rPr>
        <w:t>2023</w:t>
      </w:r>
      <w:r>
        <w:rPr>
          <w:rFonts w:ascii="TimesNewRomanPS-BoldMT" w:hAnsi="TimesNewRomanPS-BoldMT"/>
          <w:b/>
          <w:bCs/>
        </w:rPr>
        <w:br/>
      </w:r>
      <w:r>
        <w:rPr>
          <w:rStyle w:val="fontstyle31"/>
        </w:rPr>
        <w:t xml:space="preserve">digitalizace </w:t>
      </w:r>
      <w:r>
        <w:rPr>
          <w:rStyle w:val="fontstyle41"/>
        </w:rPr>
        <w:t>– ca 370 000 snímků / ca 14000 dokumentů</w:t>
      </w:r>
      <w:r>
        <w:rPr>
          <w:rFonts w:ascii="TimesNewRomanPS-ItalicMT" w:hAnsi="TimesNewRomanPS-ItalicMT"/>
          <w:i/>
          <w:iCs/>
        </w:rPr>
        <w:br/>
      </w:r>
      <w:r>
        <w:rPr>
          <w:rStyle w:val="fontstyle01"/>
        </w:rPr>
        <w:t>staré tisky, grafika</w:t>
      </w:r>
      <w:r>
        <w:rPr>
          <w:rFonts w:ascii="TimesNewRomanPSMT" w:hAnsi="TimesNewRomanPSMT"/>
        </w:rPr>
        <w:br/>
      </w:r>
      <w:r>
        <w:rPr>
          <w:rStyle w:val="fontstyle21"/>
        </w:rPr>
        <w:t>2024</w:t>
      </w:r>
      <w:r>
        <w:rPr>
          <w:rFonts w:ascii="TimesNewRomanPS-BoldMT" w:hAnsi="TimesNewRomanPS-BoldMT"/>
          <w:b/>
          <w:bCs/>
        </w:rPr>
        <w:br/>
      </w:r>
      <w:r>
        <w:rPr>
          <w:rStyle w:val="fontstyle31"/>
        </w:rPr>
        <w:t xml:space="preserve">digitalizace </w:t>
      </w:r>
      <w:r>
        <w:rPr>
          <w:rStyle w:val="fontstyle41"/>
        </w:rPr>
        <w:t>– ca 70 000 snímků/ ca 5000 dokumentů</w:t>
      </w:r>
      <w:r>
        <w:rPr>
          <w:rFonts w:ascii="TimesNewRomanPS-ItalicMT" w:hAnsi="TimesNewRomanPS-ItalicMT"/>
          <w:i/>
          <w:iCs/>
        </w:rPr>
        <w:br/>
      </w:r>
      <w:r>
        <w:rPr>
          <w:rStyle w:val="fontstyle01"/>
        </w:rPr>
        <w:t>grafiky, rukopisy, staré tisky</w:t>
      </w:r>
    </w:p>
    <w:sectPr w:rsidR="009C06D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720E">
      <w:pPr>
        <w:spacing w:after="0" w:line="240" w:lineRule="auto"/>
      </w:pPr>
      <w:r>
        <w:separator/>
      </w:r>
    </w:p>
  </w:endnote>
  <w:endnote w:type="continuationSeparator" w:id="0">
    <w:p w:rsidR="00000000" w:rsidRDefault="00E2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D1" w:rsidRDefault="00E2720E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720E">
      <w:pPr>
        <w:spacing w:after="0" w:line="240" w:lineRule="auto"/>
      </w:pPr>
      <w:r>
        <w:separator/>
      </w:r>
    </w:p>
  </w:footnote>
  <w:footnote w:type="continuationSeparator" w:id="0">
    <w:p w:rsidR="00000000" w:rsidRDefault="00E2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D1" w:rsidRDefault="009C06D1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BD6"/>
    <w:multiLevelType w:val="hybridMultilevel"/>
    <w:tmpl w:val="1B0CEDF2"/>
    <w:numStyleLink w:val="Importovanstyl3"/>
  </w:abstractNum>
  <w:abstractNum w:abstractNumId="1">
    <w:nsid w:val="46C9536C"/>
    <w:multiLevelType w:val="hybridMultilevel"/>
    <w:tmpl w:val="1B0CEDF2"/>
    <w:styleLink w:val="Importovanstyl3"/>
    <w:lvl w:ilvl="0" w:tplc="DFDE064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CB51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240C0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43B9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DC771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C6124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BA8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C07C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6F0E2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0A6F12"/>
    <w:multiLevelType w:val="hybridMultilevel"/>
    <w:tmpl w:val="C908C3EC"/>
    <w:styleLink w:val="Importovanstyl1"/>
    <w:lvl w:ilvl="0" w:tplc="DBCCCE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AB9D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A85D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4755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80822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A125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1C206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CC3C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0D4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A971299"/>
    <w:multiLevelType w:val="hybridMultilevel"/>
    <w:tmpl w:val="51EC42E0"/>
    <w:numStyleLink w:val="Importovanstyl2"/>
  </w:abstractNum>
  <w:abstractNum w:abstractNumId="4">
    <w:nsid w:val="70ED7A93"/>
    <w:multiLevelType w:val="hybridMultilevel"/>
    <w:tmpl w:val="51EC42E0"/>
    <w:styleLink w:val="Importovanstyl2"/>
    <w:lvl w:ilvl="0" w:tplc="D85E4B3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AE0A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ABA0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59F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036B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E060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C1E1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04F1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8D41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4313BB0"/>
    <w:multiLevelType w:val="hybridMultilevel"/>
    <w:tmpl w:val="C908C3EC"/>
    <w:numStyleLink w:val="Importovanstyl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06D1"/>
    <w:rsid w:val="009C06D1"/>
    <w:rsid w:val="00E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20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Standardnpsmoodstavce"/>
    <w:rsid w:val="00E272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E2720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E2720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Standardnpsmoodstavce"/>
    <w:rsid w:val="00E2720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20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Standardnpsmoodstavce"/>
    <w:rsid w:val="00E272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E2720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E2720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Standardnpsmoodstavce"/>
    <w:rsid w:val="00E2720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Jana</dc:creator>
  <cp:lastModifiedBy>Ing. Jana Kovaříková</cp:lastModifiedBy>
  <cp:revision>2</cp:revision>
  <dcterms:created xsi:type="dcterms:W3CDTF">2021-03-26T07:28:00Z</dcterms:created>
  <dcterms:modified xsi:type="dcterms:W3CDTF">2021-03-26T07:28:00Z</dcterms:modified>
</cp:coreProperties>
</file>