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2934970</wp:posOffset>
                </wp:positionH>
                <wp:positionV relativeFrom="paragraph">
                  <wp:posOffset>1485900</wp:posOffset>
                </wp:positionV>
                <wp:extent cx="1417320" cy="2101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1732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( dále „poskytovatel“)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1.09999999999999pt;margin-top:117.pt;width:111.59999999999999pt;height:16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( dále „poskytovatel“)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poskytování pracovnělékařských služeb</w:t>
      </w:r>
      <w:bookmarkEnd w:id="0"/>
      <w:bookmarkEnd w:id="1"/>
    </w:p>
    <w:tbl>
      <w:tblPr>
        <w:tblOverlap w:val="never"/>
        <w:jc w:val="left"/>
        <w:tblLayout w:type="fixed"/>
      </w:tblPr>
      <w:tblGrid>
        <w:gridCol w:w="6739"/>
        <w:gridCol w:w="3244"/>
      </w:tblGrid>
      <w:tr>
        <w:trPr>
          <w:trHeight w:val="3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983" w:h="1292" w:vSpace="515" w:wrap="notBeside" w:vAnchor="text" w:hAnchor="text" w:x="2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9983" w:h="1292" w:vSpace="515" w:wrap="notBeside" w:vAnchor="text" w:hAnchor="text" w:x="2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KRASKÁ SPRÁVA A ÚDRŽ8A SILNÍC VYSOČINY</w:t>
            </w:r>
          </w:p>
        </w:tc>
      </w:tr>
      <w:tr>
        <w:trPr>
          <w:trHeight w:val="9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9983" w:h="1292" w:vSpace="515" w:wrap="notBeside" w:vAnchor="text" w:hAnchor="text" w:x="2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uzavřená níže uvedeného dne, měsíce a roku mezi: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9983" w:h="1292" w:vSpace="515" w:wrap="notBeside" w:vAnchor="text" w:hAnchor="text" w:x="20" w:y="1"/>
              <w:widowControl w:val="0"/>
              <w:shd w:val="clear" w:color="auto" w:fill="auto"/>
              <w:bidi w:val="0"/>
              <w:spacing w:before="0" w:after="180" w:line="302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přfepžvkovd OT|</w:t>
            </w:r>
            <w:r>
              <w:rPr>
                <w:rFonts w:ascii="Trebuchet MS" w:eastAsia="Trebuchet MS" w:hAnsi="Trebuchet MS" w:cs="Trebuchet MS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jafilz».ee</w:t>
            </w:r>
            <w:r>
              <w:rPr>
                <w:rFonts w:ascii="Trebuchet MS" w:eastAsia="Trebuchet MS" w:hAnsi="Trebuchet MS" w:cs="Trebuchet MS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SMLOUVA REGISTROVÁNA</w:t>
            </w:r>
          </w:p>
          <w:p>
            <w:pPr>
              <w:pStyle w:val="Style6"/>
              <w:keepNext w:val="0"/>
              <w:keepLines w:val="0"/>
              <w:framePr w:w="9983" w:h="1292" w:vSpace="515" w:wrap="notBeside" w:vAnchor="text" w:hAnchor="text" w:x="20" w:y="1"/>
              <w:widowControl w:val="0"/>
              <w:shd w:val="clear" w:color="auto" w:fill="auto"/>
              <w:tabs>
                <w:tab w:pos="2992" w:val="left"/>
              </w:tabs>
              <w:bidi w:val="0"/>
              <w:spacing w:before="0" w:after="0" w:line="302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 číslem:</w:t>
              <w:tab/>
              <w:t>„</w:t>
            </w:r>
          </w:p>
        </w:tc>
      </w:tr>
    </w:tbl>
    <w:p>
      <w:pPr>
        <w:pStyle w:val="Style9"/>
        <w:keepNext w:val="0"/>
        <w:keepLines w:val="0"/>
        <w:framePr w:w="4781" w:h="590" w:hSpace="19" w:wrap="notBeside" w:vAnchor="text" w:hAnchor="text" w:x="2158" w:y="12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MUDr.Benková s.r.o</w:t>
      </w:r>
    </w:p>
    <w:p>
      <w:pPr>
        <w:pStyle w:val="Style9"/>
        <w:keepNext w:val="0"/>
        <w:keepLines w:val="0"/>
        <w:framePr w:w="4781" w:h="590" w:hSpace="19" w:wrap="notBeside" w:vAnchor="text" w:hAnchor="text" w:x="2158" w:y="12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Chelčického 454,67401 Třebíč, IČO 29261210</w:t>
      </w:r>
    </w:p>
    <w:p>
      <w:pPr>
        <w:widowControl w:val="0"/>
        <w:spacing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Krajská správa a údržby silnic Vysočiny,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58601 Jihlava, IČO 00090450, DIČ CZ 00090450</w:t>
        <w:br/>
        <w:t xml:space="preserve">zastoupená ředitelem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Janem MÍKOU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„zaměstnavatel“ 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smlouvy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Poskytování pracovnělékařských služeb, jejichž součástí je hodnocení vlivu pracovní činnosti, pracovního prostředí a pracovních podmínek na zdraví, provádění preventivních prohlídek a hodnocení zdravotního stavu za účelem posuzování zdravotní způsobilosti k práci, poradenství zaměřené na ochranu zdraví při práci a ochranu před pracovními úrazy, nemocemi z povolání a nemocemi souvisejícími s prací, školení v poskytování první pomoci a pravidelný dohled na pracovištích a nad výkonem práce podle ustanovení ý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54 zák č. 373/2011 Sb., o specifických zdravotních službách,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je zaměstnavatel povinen uzavřít písemnou smlouvu o poskytování pracovnělékařských služeb.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Rozsah poskytování pracovnělékařských služeb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Pracovnělékařské služby budou poskytovány zaměstnancům zaměstnavatele v následujícím rozsahu.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Provádění pracovnělékařských prohlídek a hodnocení zdravotního stavu za účelem posuzování zdravotní způsobilosti k práci, a to: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3" w:val="left"/>
        </w:tabs>
        <w:bidi w:val="0"/>
        <w:spacing w:before="0" w:after="0" w:line="240" w:lineRule="auto"/>
        <w:ind w:left="142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vstupní a periodické preventivní prohlídky zaměstnanců včetně posudkových závěrů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40" w:val="left"/>
        </w:tabs>
        <w:bidi w:val="0"/>
        <w:spacing w:before="0" w:after="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mimořádné a následné prohlídky nařízené ze zdravotních důvodů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60" w:val="left"/>
        </w:tabs>
        <w:bidi w:val="0"/>
        <w:spacing w:before="0" w:after="0" w:line="240" w:lineRule="auto"/>
        <w:ind w:left="142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výstupní prohlídky zaměstnanců, včetně vystavení potvrzení o provedení, pokud je zaměstnavatel bude vyžadovat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6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základě zhodnocení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128" w:val="left"/>
        </w:tabs>
        <w:bidi w:val="0"/>
        <w:spacing w:before="0" w:after="0" w:line="240" w:lineRule="auto"/>
        <w:ind w:left="17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výsledků lékařské prohlídky, event. dalších vyšetření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128" w:val="left"/>
        </w:tabs>
        <w:bidi w:val="0"/>
        <w:spacing w:before="0" w:after="0" w:line="240" w:lineRule="auto"/>
        <w:ind w:left="17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výpisu ze zdravotnické dokumentace zaměstnance a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128" w:val="left"/>
        </w:tabs>
        <w:bidi w:val="0"/>
        <w:spacing w:before="0" w:after="0" w:line="240" w:lineRule="auto"/>
        <w:ind w:left="700" w:right="0" w:firstLine="10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zdravotní náročnosti pro výkon práce a pracovních podmínek poskytovatel vydá „Lékařský posudek o zdravotní způsobilosti“. Posudek se vydává ve 3 stejnopisech: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lx pro posuzovaného zaměstnance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lx pro zaměstnavatele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lx zůstává založen ve zdravotnické dokumentaci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660" w:right="0" w:firstLine="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(výtisk pro zaměstnavatele je oprávněn převzít zaměstnanec na základě uděleného pověření k převzetí posudku)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0" w:val="left"/>
        </w:tabs>
        <w:bidi w:val="0"/>
        <w:spacing w:before="0" w:after="260" w:line="240" w:lineRule="auto"/>
        <w:ind w:left="660" w:right="0" w:hanging="3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pracovnělékařské služby budou poskytovány operativně po dohodě se zaměstnavatelem.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9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Náplní pracovnělékařských služeb budou zejména tyto činnosti: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0" w:val="left"/>
        </w:tabs>
        <w:bidi w:val="0"/>
        <w:spacing w:before="0" w:after="0" w:line="240" w:lineRule="auto"/>
        <w:ind w:left="660" w:right="0" w:hanging="3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organizování první pomoci a ošetření v případě nouze, školení v poskytování první pomoci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0" w:val="left"/>
        </w:tabs>
        <w:bidi w:val="0"/>
        <w:spacing w:before="0" w:after="0" w:line="240" w:lineRule="auto"/>
        <w:ind w:left="660" w:right="0" w:hanging="3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poradenství zaměřené na ochranu zdraví při práci a ochranu před pracovními úrazy, nemocemi z povolání a nemocemi souvisejícími s prací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0" w:val="left"/>
        </w:tabs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spolupráce se zaměstnavatelem, zaměstnanci a zástupcem pro oblast BOZP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0" w:val="left"/>
        </w:tabs>
        <w:bidi w:val="0"/>
        <w:spacing w:before="0" w:line="240" w:lineRule="auto"/>
        <w:ind w:left="660" w:right="0" w:hanging="3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podávání podnětů kontrolním orgánům v oblasti BOZP k zjednání nápravy nad dodržováním povinností v BOZP v případě zjištění, že zaměstnavatel nepostupuje v souladu s lékařskými posudky nebo neplní povinnosti v BOZP stanovené jinými předpisy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0" w:val="left"/>
        </w:tabs>
        <w:bidi w:val="0"/>
        <w:spacing w:before="0" w:line="240" w:lineRule="auto"/>
        <w:ind w:left="660" w:right="0" w:hanging="30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době nepřítomnosti poskytovatele pracovnělékařské péče tento zajistí odpovídajícího zástupce, jehož jméno a kontaktní údaje neprodleně sdělí zaměstnavateli.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0" w:val="left"/>
        </w:tabs>
        <w:bidi w:val="0"/>
        <w:spacing w:before="0" w:line="240" w:lineRule="auto"/>
        <w:ind w:left="660" w:right="0" w:hanging="3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Poskytovatel je oprávněn požadovat po zaměstnavateli zajištění měření, popřípadě expertizy, za účelem analýzy pracovních podmínek, pracovního prostředí a odezvy organizmu zaměstnanců, pokud má podezření, že došlo ke změně pracovních podmínek, které negativně ovlivňuje zdraví zaměstnanců.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0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Místem výkonu pracovnělékařské péče je ordinace poskytovatele: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Třebíč, Chelčického 454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III.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Závazky zaměstnavatele</w:t>
      </w:r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0" w:val="left"/>
        </w:tabs>
        <w:bidi w:val="0"/>
        <w:spacing w:before="0" w:line="240" w:lineRule="auto"/>
        <w:ind w:left="660" w:right="0" w:hanging="3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Umožnit pověřeným zaměstnancům poskytovatele vstup na každé své pracoviště a sdělit jim informace potřebné k hodnocení a prevenci rizik možného ohrožení života nebo zdraví na pracovišti, včetně výsledků měření faktorů pracovních podmínek, předložit jim technickou dokumentaci strojů a zařízení, sdělit jim informace rozhodné pro ochranu zdraví při práci.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0" w:val="left"/>
        </w:tabs>
        <w:bidi w:val="0"/>
        <w:spacing w:before="0" w:line="240" w:lineRule="auto"/>
        <w:ind w:left="660" w:right="0" w:hanging="3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 zařazování zaměstnanců k práci postupovat podle závěrů lékařských posudků o jejich zdravotní způsobilosti.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0" w:val="left"/>
        </w:tabs>
        <w:bidi w:val="0"/>
        <w:spacing w:before="0" w:line="240" w:lineRule="auto"/>
        <w:ind w:left="660" w:right="0" w:hanging="3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 odesílání zaměstnance k pracovnělékařské prohlídce jej vybavit žádostí obsahující údaje o druhu práce, režimu práce a pracovních podmínkách, ke kterým je posouzení zaměstnance požadováno.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0" w:val="left"/>
        </w:tabs>
        <w:bidi w:val="0"/>
        <w:spacing w:before="0" w:line="240" w:lineRule="auto"/>
        <w:ind w:left="660" w:right="0" w:hanging="3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Odeslat zaměstnance na mimořádnou pracovnělékařskou prohlídku, pokud o to zaměstnanec požádal.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8" w:val="left"/>
        </w:tabs>
        <w:bidi w:val="0"/>
        <w:spacing w:before="0" w:after="260" w:line="240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Zaměstnavatel má právo vyslat zaměstnance na mimořádnou pracovnělékařskou prohlídku, má-li pochybnosti o zdravotní způsobilosti zaměstnance k práci.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8" w:val="left"/>
        </w:tabs>
        <w:bidi w:val="0"/>
        <w:spacing w:before="0" w:after="680" w:line="240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Poskytované pracovnělékařské služby hradí zaměstnavatel, kromě služeb hrazených z veřejného zdravotního pojištění podle § 58 zákona č. 373/2011 Sb., a to posuzování nemocí z povolání a sledování vývoje zdravotního stavu při lékařských preventivních prohlídkách u nemocí z povolání a vývoje zdravotního stavu při lékařských preventivních prohlídkách po skončení rizikové práce, upravených v zákoně o ochraně veřejného zdraví.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IV.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Sazby a způsob úhrady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Sazba úhrady za pracovnělékařské vyšetření: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500,00 KČ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jednu prohlídku.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04" w:val="left"/>
        </w:tabs>
        <w:bidi w:val="0"/>
        <w:spacing w:before="0" w:after="12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Fakturace bude poskytovatelem prováděna čtvrtletně.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04" w:val="left"/>
        </w:tabs>
        <w:bidi w:val="0"/>
        <w:spacing w:before="0" w:after="120" w:line="240" w:lineRule="auto"/>
        <w:ind w:left="66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Nedílnou součástí faktury bude seznam vyšetřených zaměstnanců s uvedením jména a příjmení, roku narození a data provedeného vyšetření.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04" w:val="left"/>
        </w:tabs>
        <w:bidi w:val="0"/>
        <w:spacing w:before="0" w:after="12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Splatnost faktury se stanovuje na 14 dní po jejím doručení.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04" w:val="left"/>
        </w:tabs>
        <w:bidi w:val="0"/>
        <w:spacing w:before="0" w:after="540" w:line="240" w:lineRule="auto"/>
        <w:ind w:left="66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Odborné konzultace a šetření v místě pracoviště a další pracovnělékařské služby budou hrazeny po vypracování zprávy samostatně po dohodě obou stran. Odměny dohodnuté za výkony budou uhrazeny na základě vystavené faktury do 14 dnů po jejím doručení.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31" w:val="left"/>
        </w:tabs>
        <w:bidi w:val="0"/>
        <w:spacing w:before="0" w:after="120" w:line="240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Smlouva se uzavírá na dobu neurčitou a nabývá účinnosti a platnosti dnem podpisu smluvními stranami.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46" w:val="left"/>
        </w:tabs>
        <w:bidi w:val="0"/>
        <w:spacing w:before="0" w:after="120" w:line="240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Výpovědní lhůta je 3 měsíce od 1. dne následujícího měsíce po doručení písemné výpovědi. Smlouvu lze měnit pouze písemně na základě dohody obou stran.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46" w:val="left"/>
        </w:tabs>
        <w:bidi w:val="0"/>
        <w:spacing w:before="0" w:after="120" w:line="240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Výše uvedený předmět smlouvy se řídí ustanoveními zákona č. 373/2011 Sb., o specifických zdravotních službách v platném znění.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26" w:val="left"/>
        </w:tabs>
        <w:bidi w:val="0"/>
        <w:spacing w:before="0" w:after="54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Smlouva je sepsána ve dvou výtiscích, každá ze smluvních stran obdrží jeden výtisk.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Jihlavě dne 29. 3. 2013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60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Jan Mika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43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12700</wp:posOffset>
                </wp:positionV>
                <wp:extent cx="811530" cy="20320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1530" cy="203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poskytovatel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7.950000000000003pt;margin-top:1.pt;width:63.899999999999999pt;height:16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poskytovatel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zaměstnavatel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1116" w:lineRule="exact"/>
        <w:ind w:left="0" w:right="0" w:firstLine="196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Žádost o provedení prohlídky pracovnělékařské péče zaměstnavatel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1154" w:val="left"/>
          <w:tab w:leader="dot" w:pos="1370" w:val="left"/>
          <w:tab w:leader="dot" w:pos="3395" w:val="left"/>
          <w:tab w:leader="dot" w:pos="3606" w:val="left"/>
          <w:tab w:leader="dot" w:pos="8810" w:val="left"/>
        </w:tabs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</w:t>
        <w:tab/>
        <w:tab/>
        <w:tab/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5051" w:val="left"/>
          <w:tab w:leader="dot" w:pos="5262" w:val="left"/>
          <w:tab w:leader="dot" w:pos="6021" w:val="left"/>
          <w:tab w:leader="dot" w:pos="6219" w:val="left"/>
          <w:tab w:leader="dot" w:pos="8316" w:val="left"/>
          <w:tab w:leader="dot" w:pos="8466" w:val="left"/>
          <w:tab w:leader="dot" w:pos="8810" w:val="left"/>
        </w:tabs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Adresa</w:t>
        <w:tab/>
        <w:tab/>
        <w:tab/>
        <w:tab/>
        <w:tab/>
        <w:tab/>
        <w:tab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IC: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Zaměstnanec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4201" w:val="left"/>
          <w:tab w:leader="dot" w:pos="4412" w:val="left"/>
          <w:tab w:leader="dot" w:pos="6021" w:val="left"/>
          <w:tab w:leader="dot" w:pos="6244" w:val="left"/>
          <w:tab w:leader="dot" w:pos="8810" w:val="left"/>
        </w:tabs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Jméno</w:t>
        <w:tab/>
        <w:tab/>
        <w:tab/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567" w:val="left"/>
          <w:tab w:leader="dot" w:pos="2781" w:val="left"/>
          <w:tab w:leader="dot" w:pos="8521" w:val="left"/>
          <w:tab w:leader="dot" w:pos="8692" w:val="left"/>
        </w:tabs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Nar. dne</w:t>
        <w:tab/>
        <w:tab/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Informace zaměstnavatele o druhu práce, kategorii rizika a pracovních podmínkách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zároveň pověřuji výše uvedeného zaměstnance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42" w:left="1173" w:right="705" w:bottom="1398" w:header="914" w:footer="970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4896485</wp:posOffset>
                </wp:positionH>
                <wp:positionV relativeFrom="paragraph">
                  <wp:posOffset>25400</wp:posOffset>
                </wp:positionV>
                <wp:extent cx="128270" cy="20320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203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.)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85.55000000000001pt;margin-top:2.pt;width:10.1pt;height:16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.)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(č.občanského průkazu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převzetí posudku vydaného na základě této žádosti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73" w:left="0" w:right="0" w:bottom="137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948" w:h="317" w:wrap="none" w:vAnchor="text" w:hAnchor="page" w:x="1293" w:y="21"/>
        <w:widowControl w:val="0"/>
        <w:shd w:val="clear" w:color="auto" w:fill="auto"/>
        <w:tabs>
          <w:tab w:leader="dot" w:pos="18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</w:t>
        <w:tab/>
      </w:r>
    </w:p>
    <w:p>
      <w:pPr>
        <w:pStyle w:val="Style2"/>
        <w:keepNext w:val="0"/>
        <w:keepLines w:val="0"/>
        <w:framePr w:w="2207" w:h="317" w:wrap="none" w:vAnchor="text" w:hAnchor="page" w:x="3248" w:y="21"/>
        <w:widowControl w:val="0"/>
        <w:shd w:val="clear" w:color="auto" w:fill="auto"/>
        <w:tabs>
          <w:tab w:leader="dot" w:pos="212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dne</w:t>
        <w:tab/>
      </w:r>
    </w:p>
    <w:p>
      <w:pPr>
        <w:pStyle w:val="Style2"/>
        <w:keepNext w:val="0"/>
        <w:keepLines w:val="0"/>
        <w:framePr w:w="4136" w:h="317" w:wrap="none" w:vAnchor="text" w:hAnchor="page" w:x="5458" w:y="21"/>
        <w:widowControl w:val="0"/>
        <w:shd w:val="clear" w:color="auto" w:fill="auto"/>
        <w:tabs>
          <w:tab w:leader="dot" w:pos="406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zaměstnavatele</w:t>
        <w:tab/>
      </w:r>
    </w:p>
    <w:p>
      <w:pPr>
        <w:widowControl w:val="0"/>
        <w:spacing w:after="32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73" w:left="1081" w:right="797" w:bottom="137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Nadpis #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Jiné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Nadpis #2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6">
    <w:name w:val="Základní text (2)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200"/>
      <w:ind w:left="106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Jiné"/>
    <w:basedOn w:val="Normal"/>
    <w:link w:val="CharStyle7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5">
    <w:name w:val="Základní text (2)"/>
    <w:basedOn w:val="Normal"/>
    <w:link w:val="CharStyle16"/>
    <w:pPr>
      <w:widowControl w:val="0"/>
      <w:shd w:val="clear" w:color="auto" w:fill="FFFFFF"/>
      <w:ind w:firstLine="3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