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82A2" w14:textId="77777777" w:rsidR="00C509A7" w:rsidRDefault="00C509A7">
      <w:pPr>
        <w:pStyle w:val="Style6"/>
        <w:shd w:val="clear" w:color="auto" w:fill="auto"/>
        <w:spacing w:after="220" w:line="240" w:lineRule="auto"/>
        <w:jc w:val="center"/>
        <w:rPr>
          <w:b/>
          <w:bCs/>
          <w:sz w:val="17"/>
          <w:szCs w:val="17"/>
          <w:lang w:val="en-US" w:eastAsia="en-US" w:bidi="en-US"/>
        </w:rPr>
      </w:pPr>
    </w:p>
    <w:p w14:paraId="53DC38D4" w14:textId="77777777" w:rsidR="00C509A7" w:rsidRDefault="00C509A7">
      <w:pPr>
        <w:pStyle w:val="Style6"/>
        <w:shd w:val="clear" w:color="auto" w:fill="auto"/>
        <w:spacing w:after="220" w:line="240" w:lineRule="auto"/>
        <w:jc w:val="center"/>
        <w:rPr>
          <w:b/>
          <w:bCs/>
          <w:sz w:val="17"/>
          <w:szCs w:val="17"/>
          <w:lang w:val="en-US" w:eastAsia="en-US" w:bidi="en-US"/>
        </w:rPr>
      </w:pPr>
    </w:p>
    <w:p w14:paraId="5F6661CF" w14:textId="3C2789BF" w:rsidR="00E73CAD" w:rsidRDefault="00C509A7">
      <w:pPr>
        <w:pStyle w:val="Style6"/>
        <w:shd w:val="clear" w:color="auto" w:fill="auto"/>
        <w:spacing w:after="220" w:line="240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  <w:lang w:val="en-US" w:eastAsia="en-US" w:bidi="en-US"/>
        </w:rPr>
        <w:t xml:space="preserve">Software pro </w:t>
      </w:r>
      <w:r>
        <w:rPr>
          <w:b/>
          <w:bCs/>
          <w:sz w:val="17"/>
          <w:szCs w:val="17"/>
        </w:rPr>
        <w:t xml:space="preserve">řízení </w:t>
      </w:r>
      <w:r>
        <w:rPr>
          <w:b/>
          <w:bCs/>
          <w:sz w:val="17"/>
          <w:szCs w:val="17"/>
          <w:lang w:val="en-US" w:eastAsia="en-US" w:bidi="en-US"/>
        </w:rPr>
        <w:t xml:space="preserve">AV </w:t>
      </w:r>
      <w:r>
        <w:rPr>
          <w:b/>
          <w:bCs/>
          <w:sz w:val="17"/>
          <w:szCs w:val="17"/>
        </w:rPr>
        <w:t xml:space="preserve">obsahu </w:t>
      </w:r>
      <w:r>
        <w:rPr>
          <w:b/>
          <w:bCs/>
          <w:sz w:val="17"/>
          <w:szCs w:val="17"/>
          <w:lang w:val="en-US" w:eastAsia="en-US" w:bidi="en-US"/>
        </w:rPr>
        <w:t xml:space="preserve">do </w:t>
      </w:r>
      <w:r>
        <w:rPr>
          <w:b/>
          <w:bCs/>
          <w:sz w:val="17"/>
          <w:szCs w:val="17"/>
        </w:rPr>
        <w:t xml:space="preserve">expozic číslo smlouvy; </w:t>
      </w:r>
      <w:r>
        <w:rPr>
          <w:b/>
          <w:bCs/>
          <w:sz w:val="17"/>
          <w:szCs w:val="17"/>
          <w:lang w:val="en-US" w:eastAsia="en-US" w:bidi="en-US"/>
        </w:rPr>
        <w:t>210085</w:t>
      </w:r>
    </w:p>
    <w:p w14:paraId="75C32DDE" w14:textId="77777777" w:rsidR="00E73CAD" w:rsidRDefault="00C509A7">
      <w:pPr>
        <w:pStyle w:val="Style9"/>
        <w:keepNext/>
        <w:keepLines/>
        <w:shd w:val="clear" w:color="auto" w:fill="auto"/>
        <w:spacing w:after="640" w:line="240" w:lineRule="auto"/>
      </w:pPr>
      <w:bookmarkStart w:id="0" w:name="bookmark3"/>
      <w:bookmarkStart w:id="1" w:name="bookmark4"/>
      <w:bookmarkStart w:id="2" w:name="bookmark5"/>
      <w:r>
        <w:t>č. j. zadavatele; 2021/521/NM</w:t>
      </w:r>
      <w:bookmarkEnd w:id="0"/>
      <w:bookmarkEnd w:id="1"/>
      <w:bookmarkEnd w:id="2"/>
    </w:p>
    <w:p w14:paraId="5BC39E86" w14:textId="77777777" w:rsidR="00E73CAD" w:rsidRDefault="00C509A7">
      <w:pPr>
        <w:pStyle w:val="Style11"/>
        <w:shd w:val="clear" w:color="auto" w:fill="auto"/>
        <w:spacing w:after="80"/>
      </w:pPr>
      <w:r>
        <w:t>Smluvní strany:</w:t>
      </w:r>
    </w:p>
    <w:p w14:paraId="7AA564B3" w14:textId="77777777" w:rsidR="00E73CAD" w:rsidRDefault="00C509A7">
      <w:pPr>
        <w:pStyle w:val="Style11"/>
        <w:shd w:val="clear" w:color="auto" w:fill="auto"/>
        <w:rPr>
          <w:sz w:val="17"/>
          <w:szCs w:val="17"/>
        </w:rPr>
      </w:pPr>
      <w:r>
        <w:rPr>
          <w:b/>
          <w:bCs/>
          <w:sz w:val="17"/>
          <w:szCs w:val="17"/>
        </w:rPr>
        <w:t>Národní muzeum,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4541"/>
      </w:tblGrid>
      <w:tr w:rsidR="00E73CAD" w14:paraId="137835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19" w:type="dxa"/>
            <w:shd w:val="clear" w:color="auto" w:fill="FFFFFF"/>
          </w:tcPr>
          <w:p w14:paraId="3615280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4541" w:type="dxa"/>
            <w:shd w:val="clear" w:color="auto" w:fill="FFFFFF"/>
          </w:tcPr>
          <w:p w14:paraId="64AE72D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 xml:space="preserve">Václavské náměstí 68, 115 79 Praha 1 - Nové </w:t>
            </w:r>
            <w:r>
              <w:t>Město</w:t>
            </w:r>
          </w:p>
        </w:tc>
      </w:tr>
      <w:tr w:rsidR="00E73CAD" w14:paraId="641B9484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219" w:type="dxa"/>
            <w:shd w:val="clear" w:color="auto" w:fill="FFFFFF"/>
          </w:tcPr>
          <w:p w14:paraId="05B25DC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Zastoupené: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26C3F455" w14:textId="77777777" w:rsidR="00E73CAD" w:rsidRDefault="00C509A7">
            <w:pPr>
              <w:pStyle w:val="Style14"/>
              <w:shd w:val="clear" w:color="auto" w:fill="auto"/>
              <w:spacing w:after="60" w:line="240" w:lineRule="auto"/>
            </w:pPr>
            <w:r>
              <w:t>Ing. Martin Souček, PhD.</w:t>
            </w:r>
          </w:p>
          <w:p w14:paraId="4681295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Ředitel odboru digitalizace a informačních systémů</w:t>
            </w:r>
          </w:p>
        </w:tc>
      </w:tr>
      <w:tr w:rsidR="00E73CAD" w14:paraId="1FB2195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19" w:type="dxa"/>
            <w:shd w:val="clear" w:color="auto" w:fill="FFFFFF"/>
          </w:tcPr>
          <w:p w14:paraId="111D88B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4541" w:type="dxa"/>
            <w:shd w:val="clear" w:color="auto" w:fill="FFFFFF"/>
          </w:tcPr>
          <w:p w14:paraId="3512722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00023272</w:t>
            </w:r>
          </w:p>
        </w:tc>
      </w:tr>
      <w:tr w:rsidR="00E73CAD" w14:paraId="5174105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219" w:type="dxa"/>
            <w:shd w:val="clear" w:color="auto" w:fill="FFFFFF"/>
            <w:vAlign w:val="bottom"/>
          </w:tcPr>
          <w:p w14:paraId="0E81CF0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24F1206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CZ00023272</w:t>
            </w:r>
          </w:p>
        </w:tc>
      </w:tr>
    </w:tbl>
    <w:p w14:paraId="6CA3B10B" w14:textId="77777777" w:rsidR="00E73CAD" w:rsidRDefault="00E73CAD">
      <w:pPr>
        <w:spacing w:after="39" w:line="1" w:lineRule="exact"/>
      </w:pPr>
    </w:p>
    <w:p w14:paraId="5ECBF239" w14:textId="77777777" w:rsidR="00E73CAD" w:rsidRDefault="00E73CAD">
      <w:pPr>
        <w:spacing w:line="1" w:lineRule="exact"/>
      </w:pPr>
    </w:p>
    <w:p w14:paraId="51185F08" w14:textId="316036BF" w:rsidR="00E73CAD" w:rsidRDefault="00C509A7">
      <w:pPr>
        <w:pStyle w:val="Style11"/>
        <w:shd w:val="clear" w:color="auto" w:fill="auto"/>
        <w:ind w:left="10"/>
      </w:pPr>
      <w:r>
        <w:t xml:space="preserve">Bankovní spojení: </w:t>
      </w:r>
      <w:proofErr w:type="spellStart"/>
      <w:r>
        <w:t>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4536"/>
      </w:tblGrid>
      <w:tr w:rsidR="00E73CAD" w14:paraId="0BFD10F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219" w:type="dxa"/>
            <w:shd w:val="clear" w:color="auto" w:fill="FFFFFF"/>
          </w:tcPr>
          <w:p w14:paraId="2F02861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Číslo účtu:</w:t>
            </w:r>
          </w:p>
        </w:tc>
        <w:tc>
          <w:tcPr>
            <w:tcW w:w="4536" w:type="dxa"/>
            <w:shd w:val="clear" w:color="auto" w:fill="FFFFFF"/>
          </w:tcPr>
          <w:p w14:paraId="0EDE94BF" w14:textId="5CD43CB1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proofErr w:type="spellStart"/>
            <w:r>
              <w:t>xxxxxxxxxxxxx</w:t>
            </w:r>
            <w:proofErr w:type="spellEnd"/>
          </w:p>
        </w:tc>
      </w:tr>
    </w:tbl>
    <w:p w14:paraId="067FD82D" w14:textId="77777777" w:rsidR="00E73CAD" w:rsidRDefault="00C509A7">
      <w:pPr>
        <w:pStyle w:val="Style11"/>
        <w:shd w:val="clear" w:color="auto" w:fill="auto"/>
        <w:rPr>
          <w:sz w:val="17"/>
          <w:szCs w:val="17"/>
        </w:rPr>
      </w:pPr>
      <w:r>
        <w:t xml:space="preserve">(dále jen </w:t>
      </w:r>
      <w:r>
        <w:rPr>
          <w:b/>
          <w:bCs/>
          <w:sz w:val="17"/>
          <w:szCs w:val="17"/>
        </w:rPr>
        <w:t>„Objednatel")</w:t>
      </w:r>
    </w:p>
    <w:p w14:paraId="7194FC07" w14:textId="77777777" w:rsidR="00E73CAD" w:rsidRDefault="00E73CAD">
      <w:pPr>
        <w:spacing w:after="339" w:line="1" w:lineRule="exact"/>
      </w:pPr>
    </w:p>
    <w:p w14:paraId="7B9595E5" w14:textId="77777777" w:rsidR="00E73CAD" w:rsidRDefault="00C509A7">
      <w:pPr>
        <w:pStyle w:val="Style6"/>
        <w:shd w:val="clear" w:color="auto" w:fill="auto"/>
        <w:spacing w:after="480" w:line="240" w:lineRule="auto"/>
      </w:pPr>
      <w:r>
        <w:rPr>
          <w:i/>
          <w:iCs/>
        </w:rPr>
        <w:t>a</w:t>
      </w:r>
    </w:p>
    <w:p w14:paraId="34A46E0D" w14:textId="77777777" w:rsidR="00E73CAD" w:rsidRDefault="00C509A7">
      <w:pPr>
        <w:pStyle w:val="Style11"/>
        <w:shd w:val="clear" w:color="auto" w:fill="auto"/>
        <w:rPr>
          <w:sz w:val="17"/>
          <w:szCs w:val="17"/>
        </w:rPr>
      </w:pPr>
      <w:r>
        <w:rPr>
          <w:b/>
          <w:bCs/>
          <w:sz w:val="17"/>
          <w:szCs w:val="17"/>
        </w:rPr>
        <w:t>SIGNAGELAB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7003"/>
      </w:tblGrid>
      <w:tr w:rsidR="00E73CAD" w14:paraId="0AFD9DB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14" w:type="dxa"/>
            <w:shd w:val="clear" w:color="auto" w:fill="FFFFFF"/>
          </w:tcPr>
          <w:p w14:paraId="231EA5F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Zapsaný v:</w:t>
            </w:r>
          </w:p>
        </w:tc>
        <w:tc>
          <w:tcPr>
            <w:tcW w:w="7003" w:type="dxa"/>
            <w:shd w:val="clear" w:color="auto" w:fill="FFFFFF"/>
          </w:tcPr>
          <w:p w14:paraId="69D0D16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 xml:space="preserve">Obchodním </w:t>
            </w:r>
            <w:r>
              <w:t>rejstříku vedeném Městským soudem v Praze oddíl C, vložka 295689</w:t>
            </w:r>
          </w:p>
        </w:tc>
      </w:tr>
      <w:tr w:rsidR="00E73CAD" w14:paraId="3CFFFE0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14" w:type="dxa"/>
            <w:shd w:val="clear" w:color="auto" w:fill="FFFFFF"/>
          </w:tcPr>
          <w:p w14:paraId="3E97DAF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003" w:type="dxa"/>
            <w:shd w:val="clear" w:color="auto" w:fill="FFFFFF"/>
          </w:tcPr>
          <w:p w14:paraId="62B7B74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>Jeseniova 2769/208, Praha 3 - Jarov, 130 00</w:t>
            </w:r>
          </w:p>
        </w:tc>
      </w:tr>
      <w:tr w:rsidR="00E73CAD" w14:paraId="31FDBA3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14" w:type="dxa"/>
            <w:shd w:val="clear" w:color="auto" w:fill="FFFFFF"/>
          </w:tcPr>
          <w:p w14:paraId="43C24D4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Zastoupený:</w:t>
            </w:r>
          </w:p>
        </w:tc>
        <w:tc>
          <w:tcPr>
            <w:tcW w:w="7003" w:type="dxa"/>
            <w:shd w:val="clear" w:color="auto" w:fill="FFFFFF"/>
          </w:tcPr>
          <w:p w14:paraId="101C8A9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>Mgr. David Šauer, jednatel</w:t>
            </w:r>
          </w:p>
        </w:tc>
      </w:tr>
      <w:tr w:rsidR="00E73CAD" w14:paraId="04B5CB0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14" w:type="dxa"/>
            <w:shd w:val="clear" w:color="auto" w:fill="FFFFFF"/>
          </w:tcPr>
          <w:p w14:paraId="6DDDB76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003" w:type="dxa"/>
            <w:shd w:val="clear" w:color="auto" w:fill="FFFFFF"/>
          </w:tcPr>
          <w:p w14:paraId="6DD0F78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>07157096</w:t>
            </w:r>
          </w:p>
        </w:tc>
      </w:tr>
      <w:tr w:rsidR="00E73CAD" w14:paraId="3CE46C9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214" w:type="dxa"/>
            <w:shd w:val="clear" w:color="auto" w:fill="FFFFFF"/>
            <w:vAlign w:val="bottom"/>
          </w:tcPr>
          <w:p w14:paraId="4D3B315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003" w:type="dxa"/>
            <w:shd w:val="clear" w:color="auto" w:fill="FFFFFF"/>
            <w:vAlign w:val="bottom"/>
          </w:tcPr>
          <w:p w14:paraId="72E100B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>CZ07157096</w:t>
            </w:r>
          </w:p>
        </w:tc>
      </w:tr>
    </w:tbl>
    <w:p w14:paraId="2226415C" w14:textId="77777777" w:rsidR="00E73CAD" w:rsidRDefault="00E73CAD">
      <w:pPr>
        <w:spacing w:after="39" w:line="1" w:lineRule="exact"/>
      </w:pPr>
    </w:p>
    <w:p w14:paraId="30A626DD" w14:textId="77777777" w:rsidR="00E73CAD" w:rsidRDefault="00E73CAD">
      <w:pPr>
        <w:spacing w:line="1" w:lineRule="exact"/>
      </w:pPr>
    </w:p>
    <w:p w14:paraId="712DA7DA" w14:textId="5D220918" w:rsidR="00E73CAD" w:rsidRDefault="00C509A7">
      <w:pPr>
        <w:pStyle w:val="Style11"/>
        <w:shd w:val="clear" w:color="auto" w:fill="auto"/>
        <w:tabs>
          <w:tab w:val="left" w:pos="2030"/>
        </w:tabs>
        <w:ind w:left="19"/>
      </w:pPr>
      <w:r>
        <w:t>Bankovní spojení:</w:t>
      </w:r>
      <w:r>
        <w:tab/>
      </w:r>
      <w:proofErr w:type="spellStart"/>
      <w:r>
        <w:t>xxxxxxxxxx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6998"/>
      </w:tblGrid>
      <w:tr w:rsidR="00E73CAD" w14:paraId="66D2481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14" w:type="dxa"/>
            <w:shd w:val="clear" w:color="auto" w:fill="FFFFFF"/>
          </w:tcPr>
          <w:p w14:paraId="7F8D3F8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Číslo účtu:</w:t>
            </w:r>
          </w:p>
        </w:tc>
        <w:tc>
          <w:tcPr>
            <w:tcW w:w="6998" w:type="dxa"/>
            <w:shd w:val="clear" w:color="auto" w:fill="FFFFFF"/>
          </w:tcPr>
          <w:p w14:paraId="68CBA052" w14:textId="0BA1CD02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proofErr w:type="spellStart"/>
            <w:r>
              <w:t>xxxxxxxxxxxxx</w:t>
            </w:r>
            <w:proofErr w:type="spellEnd"/>
          </w:p>
        </w:tc>
      </w:tr>
    </w:tbl>
    <w:p w14:paraId="2C25C167" w14:textId="77777777" w:rsidR="00E73CAD" w:rsidRDefault="00C509A7">
      <w:pPr>
        <w:pStyle w:val="Style11"/>
        <w:shd w:val="clear" w:color="auto" w:fill="auto"/>
        <w:ind w:left="14"/>
        <w:rPr>
          <w:sz w:val="17"/>
          <w:szCs w:val="17"/>
        </w:rPr>
      </w:pPr>
      <w:r>
        <w:t xml:space="preserve">(dále jen </w:t>
      </w:r>
      <w:r>
        <w:rPr>
          <w:b/>
          <w:bCs/>
          <w:sz w:val="17"/>
          <w:szCs w:val="17"/>
        </w:rPr>
        <w:t>„Dodavatel")</w:t>
      </w:r>
    </w:p>
    <w:p w14:paraId="3F7954B9" w14:textId="77777777" w:rsidR="00E73CAD" w:rsidRDefault="00E73CAD">
      <w:pPr>
        <w:spacing w:after="479" w:line="1" w:lineRule="exact"/>
      </w:pPr>
    </w:p>
    <w:p w14:paraId="2CB421EA" w14:textId="532A7249" w:rsidR="00E73CAD" w:rsidRDefault="00C509A7">
      <w:pPr>
        <w:pStyle w:val="Style6"/>
        <w:shd w:val="clear" w:color="auto" w:fill="auto"/>
        <w:spacing w:line="329" w:lineRule="auto"/>
        <w:jc w:val="both"/>
        <w:rPr>
          <w:sz w:val="17"/>
          <w:szCs w:val="17"/>
        </w:rPr>
      </w:pPr>
      <w:r>
        <w:t>níže uvedeného dne, měsíce a roku uzavřely tuto smlouvu v souladu s ustanovením § 1746 odst. 2 a § 2358 a násl</w:t>
      </w:r>
      <w:r>
        <w:t xml:space="preserve">. zákona č. 89/2012 Sb., občanského zákoníku, ve znění pozdějších předpisů (dále jen </w:t>
      </w:r>
      <w:r>
        <w:rPr>
          <w:b/>
          <w:bCs/>
          <w:sz w:val="17"/>
          <w:szCs w:val="17"/>
        </w:rPr>
        <w:t xml:space="preserve">„Občanský zákoník") </w:t>
      </w:r>
      <w:r>
        <w:t xml:space="preserve">(dále jen </w:t>
      </w:r>
      <w:r>
        <w:rPr>
          <w:b/>
          <w:bCs/>
          <w:sz w:val="17"/>
          <w:szCs w:val="17"/>
        </w:rPr>
        <w:t>„Smlouva").</w:t>
      </w:r>
    </w:p>
    <w:p w14:paraId="1585C648" w14:textId="77777777" w:rsidR="00E73CAD" w:rsidRDefault="00C509A7">
      <w:pPr>
        <w:pStyle w:val="Style6"/>
        <w:shd w:val="clear" w:color="auto" w:fill="auto"/>
        <w:spacing w:after="400" w:line="317" w:lineRule="auto"/>
        <w:jc w:val="both"/>
        <w:sectPr w:rsidR="00E73CAD">
          <w:pgSz w:w="11909" w:h="16834"/>
          <w:pgMar w:top="725" w:right="1620" w:bottom="725" w:left="1630" w:header="297" w:footer="297" w:gutter="0"/>
          <w:pgNumType w:start="1"/>
          <w:cols w:space="720"/>
          <w:noEndnote/>
          <w:docGrid w:linePitch="360"/>
        </w:sectPr>
      </w:pPr>
      <w:r>
        <w:t>Smluvní strany prohlašují, že jsou subjekty oprávněnými podle příslušných právních předpisů provozovat činnosti, které jsou předmětem této Smlouvy, a prohlašují dále, že jsou plně způsobilé a oprávněné tuto Smlouvu uzavřít, a ž</w:t>
      </w:r>
      <w:r>
        <w:t>e jim není známa žádná překážka bránící v jejím podepsání.</w:t>
      </w:r>
    </w:p>
    <w:p w14:paraId="48147B71" w14:textId="77777777" w:rsidR="00E73CAD" w:rsidRDefault="00C509A7">
      <w:pPr>
        <w:pStyle w:val="Style6"/>
        <w:shd w:val="clear" w:color="auto" w:fill="auto"/>
        <w:spacing w:after="0" w:line="348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  <w:lang w:val="en-US" w:eastAsia="en-US" w:bidi="en-US"/>
        </w:rPr>
        <w:lastRenderedPageBreak/>
        <w:t>I.</w:t>
      </w:r>
    </w:p>
    <w:p w14:paraId="54D07C3C" w14:textId="77777777" w:rsidR="00E73CAD" w:rsidRDefault="00C509A7">
      <w:pPr>
        <w:pStyle w:val="Style9"/>
        <w:keepNext/>
        <w:keepLines/>
        <w:shd w:val="clear" w:color="auto" w:fill="auto"/>
        <w:spacing w:line="348" w:lineRule="auto"/>
      </w:pPr>
      <w:bookmarkStart w:id="3" w:name="bookmark6"/>
      <w:bookmarkStart w:id="4" w:name="bookmark7"/>
      <w:bookmarkStart w:id="5" w:name="bookmark8"/>
      <w:r>
        <w:t>úvodní ustanovení</w:t>
      </w:r>
      <w:bookmarkEnd w:id="3"/>
      <w:bookmarkEnd w:id="4"/>
      <w:bookmarkEnd w:id="5"/>
    </w:p>
    <w:p w14:paraId="5D3AEFFF" w14:textId="77777777" w:rsidR="00E73CAD" w:rsidRDefault="00C509A7">
      <w:pPr>
        <w:pStyle w:val="Style6"/>
        <w:numPr>
          <w:ilvl w:val="0"/>
          <w:numId w:val="1"/>
        </w:numPr>
        <w:shd w:val="clear" w:color="auto" w:fill="auto"/>
        <w:tabs>
          <w:tab w:val="left" w:pos="671"/>
        </w:tabs>
        <w:spacing w:line="329" w:lineRule="auto"/>
        <w:jc w:val="both"/>
      </w:pPr>
      <w:r>
        <w:t xml:space="preserve">Tato Smlouva je uzavřena na základě výsledku výběrového řízení k veřejné zakázce č. 210015 s názvem „Software pro řízení AV obsahu do expozic" (dále je „Veřejná </w:t>
      </w:r>
      <w:r>
        <w:t>zakázka").</w:t>
      </w:r>
    </w:p>
    <w:p w14:paraId="3916008C" w14:textId="77777777" w:rsidR="00E73CAD" w:rsidRDefault="00C509A7">
      <w:pPr>
        <w:pStyle w:val="Style6"/>
        <w:numPr>
          <w:ilvl w:val="0"/>
          <w:numId w:val="1"/>
        </w:numPr>
        <w:shd w:val="clear" w:color="auto" w:fill="auto"/>
        <w:tabs>
          <w:tab w:val="left" w:pos="671"/>
        </w:tabs>
        <w:jc w:val="both"/>
      </w:pPr>
      <w:r>
        <w:t xml:space="preserve">Uzavřením této Smlouvy se Dodavatel zavazuje Objednateli dodat, nainstalovat a zprovoznit na zařízeních Objednatele, úspěšně provést provozní a předávací zkoušky a zaškolit obsluhu software pro řízení AV obsahu do expozic s parametry dle přílohy č. 1 této </w:t>
      </w:r>
      <w:r>
        <w:t xml:space="preserve">Smlouvy (dále jen </w:t>
      </w:r>
      <w:r>
        <w:rPr>
          <w:b/>
          <w:bCs/>
          <w:sz w:val="17"/>
          <w:szCs w:val="17"/>
        </w:rPr>
        <w:t xml:space="preserve">„software") </w:t>
      </w:r>
      <w:r>
        <w:t xml:space="preserve">a následně provádět údržbu a pravidelné aktualizace software po dobu jeho užívání Objednatelem (dále jen </w:t>
      </w:r>
      <w:r>
        <w:rPr>
          <w:b/>
          <w:bCs/>
          <w:sz w:val="17"/>
          <w:szCs w:val="17"/>
        </w:rPr>
        <w:t xml:space="preserve">„Předmět Smlouvy"). </w:t>
      </w:r>
      <w:r>
        <w:t>Objednatel se zavazuje k poskytnutí součinnosti spočívající v zajištění hardware specifikovaného Doda</w:t>
      </w:r>
      <w:r>
        <w:t xml:space="preserve">vatelem v Modelovém příkladu v rámci nabídky na plnění Veřejné zakázky, který tvoří přílohu č. 3 této Smlouvy, převzetí řádně dodaného software a poskytnutých služeb </w:t>
      </w:r>
      <w:r>
        <w:rPr>
          <w:i/>
          <w:iCs/>
        </w:rPr>
        <w:t>a</w:t>
      </w:r>
      <w:r>
        <w:t xml:space="preserve"> k zaplacení sjednané ceny podle podmínek obsažených v následujících ustanoveních této Sm</w:t>
      </w:r>
      <w:r>
        <w:t xml:space="preserve">louvy. V případě, že konkrétní typ hardware nebude již dostupný, je Objednatel oprávněn zajistit i jiný typ hardware splňující specifikaci uvedenou v Typovém seznamu multimediálních </w:t>
      </w:r>
      <w:proofErr w:type="spellStart"/>
      <w:r>
        <w:t>playerů</w:t>
      </w:r>
      <w:proofErr w:type="spellEnd"/>
      <w:r>
        <w:t xml:space="preserve"> uvedenou v příloze č. 4 této Smlouvy.</w:t>
      </w:r>
    </w:p>
    <w:p w14:paraId="1C1FDED1" w14:textId="77777777" w:rsidR="00E73CAD" w:rsidRDefault="00C509A7">
      <w:pPr>
        <w:pStyle w:val="Style6"/>
        <w:numPr>
          <w:ilvl w:val="0"/>
          <w:numId w:val="1"/>
        </w:numPr>
        <w:shd w:val="clear" w:color="auto" w:fill="auto"/>
        <w:tabs>
          <w:tab w:val="left" w:pos="671"/>
        </w:tabs>
        <w:spacing w:line="324" w:lineRule="auto"/>
        <w:jc w:val="both"/>
      </w:pPr>
      <w:r>
        <w:t>Předmět Smlouvy bude provede</w:t>
      </w:r>
      <w:r>
        <w:t>n v souladu s cenovou nabídkou Dodavatele v souladu s Přílohou č. 3 této Smlouvy. Při jeho provádění budou dodrženy veškeré platné technické normy a platné právní předpisy vztahující se k Předmětu Smlouvy a všechny podmínky určené touto Smlouvou.</w:t>
      </w:r>
    </w:p>
    <w:p w14:paraId="0DB3B73E" w14:textId="77777777" w:rsidR="00E73CAD" w:rsidRDefault="00C509A7">
      <w:pPr>
        <w:pStyle w:val="Style9"/>
        <w:keepNext/>
        <w:keepLines/>
        <w:shd w:val="clear" w:color="auto" w:fill="auto"/>
      </w:pPr>
      <w:bookmarkStart w:id="6" w:name="bookmark10"/>
      <w:bookmarkStart w:id="7" w:name="bookmark11"/>
      <w:bookmarkStart w:id="8" w:name="bookmark9"/>
      <w:r>
        <w:t>II.</w:t>
      </w:r>
      <w:bookmarkEnd w:id="6"/>
      <w:bookmarkEnd w:id="7"/>
      <w:bookmarkEnd w:id="8"/>
    </w:p>
    <w:p w14:paraId="42898BA8" w14:textId="77777777" w:rsidR="00E73CAD" w:rsidRDefault="00C509A7">
      <w:pPr>
        <w:pStyle w:val="Style9"/>
        <w:keepNext/>
        <w:keepLines/>
        <w:shd w:val="clear" w:color="auto" w:fill="auto"/>
      </w:pPr>
      <w:bookmarkStart w:id="9" w:name="bookmark12"/>
      <w:bookmarkStart w:id="10" w:name="bookmark13"/>
      <w:bookmarkStart w:id="11" w:name="bookmark14"/>
      <w:r>
        <w:t>Předm</w:t>
      </w:r>
      <w:r>
        <w:t>ět Smlouvy</w:t>
      </w:r>
      <w:bookmarkEnd w:id="9"/>
      <w:bookmarkEnd w:id="10"/>
      <w:bookmarkEnd w:id="11"/>
    </w:p>
    <w:p w14:paraId="31BF8679" w14:textId="77777777" w:rsidR="00E73CAD" w:rsidRDefault="00C509A7">
      <w:pPr>
        <w:pStyle w:val="Style6"/>
        <w:numPr>
          <w:ilvl w:val="0"/>
          <w:numId w:val="2"/>
        </w:numPr>
        <w:shd w:val="clear" w:color="auto" w:fill="auto"/>
        <w:tabs>
          <w:tab w:val="left" w:pos="671"/>
        </w:tabs>
        <w:spacing w:line="322" w:lineRule="auto"/>
        <w:jc w:val="both"/>
      </w:pPr>
      <w:r>
        <w:t>Předmětem této Smlouvy jsou následující části plnění;</w:t>
      </w:r>
    </w:p>
    <w:p w14:paraId="1B968CA7" w14:textId="77777777" w:rsidR="00E73CAD" w:rsidRDefault="00C509A7">
      <w:pPr>
        <w:pStyle w:val="Style6"/>
        <w:numPr>
          <w:ilvl w:val="1"/>
          <w:numId w:val="2"/>
        </w:numPr>
        <w:shd w:val="clear" w:color="auto" w:fill="auto"/>
        <w:tabs>
          <w:tab w:val="left" w:pos="671"/>
        </w:tabs>
        <w:spacing w:after="0" w:line="346" w:lineRule="auto"/>
        <w:ind w:left="700" w:hanging="700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>Dodávka software, tj. poskytnutí licenčního oprávnění k užívání software v jeho aktuální (poslední) verzi,</w:t>
      </w:r>
    </w:p>
    <w:p w14:paraId="799E9B16" w14:textId="77777777" w:rsidR="00E73CAD" w:rsidRDefault="00C509A7">
      <w:pPr>
        <w:pStyle w:val="Style6"/>
        <w:numPr>
          <w:ilvl w:val="1"/>
          <w:numId w:val="2"/>
        </w:numPr>
        <w:shd w:val="clear" w:color="auto" w:fill="auto"/>
        <w:tabs>
          <w:tab w:val="left" w:pos="671"/>
        </w:tabs>
        <w:spacing w:after="0" w:line="346" w:lineRule="auto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>Instalace a zprovoznění software na zařízeních Objednatele,</w:t>
      </w:r>
    </w:p>
    <w:p w14:paraId="54B09294" w14:textId="77777777" w:rsidR="00E73CAD" w:rsidRDefault="00C509A7">
      <w:pPr>
        <w:pStyle w:val="Style6"/>
        <w:numPr>
          <w:ilvl w:val="1"/>
          <w:numId w:val="2"/>
        </w:numPr>
        <w:shd w:val="clear" w:color="auto" w:fill="auto"/>
        <w:tabs>
          <w:tab w:val="left" w:pos="671"/>
        </w:tabs>
        <w:spacing w:after="0" w:line="346" w:lineRule="auto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>Úspěšné provedení provoz</w:t>
      </w:r>
      <w:r>
        <w:rPr>
          <w:b/>
          <w:bCs/>
          <w:sz w:val="17"/>
          <w:szCs w:val="17"/>
        </w:rPr>
        <w:t>ní a předávací zkoušky,</w:t>
      </w:r>
    </w:p>
    <w:p w14:paraId="14F40DB6" w14:textId="77777777" w:rsidR="00E73CAD" w:rsidRDefault="00C509A7">
      <w:pPr>
        <w:pStyle w:val="Style6"/>
        <w:numPr>
          <w:ilvl w:val="1"/>
          <w:numId w:val="2"/>
        </w:numPr>
        <w:shd w:val="clear" w:color="auto" w:fill="auto"/>
        <w:tabs>
          <w:tab w:val="left" w:pos="671"/>
        </w:tabs>
        <w:spacing w:after="0" w:line="346" w:lineRule="auto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>Zaškolení obsluhy software a</w:t>
      </w:r>
    </w:p>
    <w:p w14:paraId="71BEBFB4" w14:textId="77777777" w:rsidR="00E73CAD" w:rsidRDefault="00C509A7">
      <w:pPr>
        <w:pStyle w:val="Style9"/>
        <w:keepNext/>
        <w:keepLines/>
        <w:numPr>
          <w:ilvl w:val="1"/>
          <w:numId w:val="2"/>
        </w:numPr>
        <w:shd w:val="clear" w:color="auto" w:fill="auto"/>
        <w:tabs>
          <w:tab w:val="left" w:pos="671"/>
        </w:tabs>
        <w:spacing w:after="240" w:line="346" w:lineRule="auto"/>
        <w:ind w:left="700" w:hanging="700"/>
        <w:jc w:val="both"/>
      </w:pPr>
      <w:bookmarkStart w:id="12" w:name="bookmark15"/>
      <w:bookmarkStart w:id="13" w:name="bookmark16"/>
      <w:bookmarkStart w:id="14" w:name="bookmark17"/>
      <w:r>
        <w:t>Provádění údržby a pravidelné aktualizace všech součástí software po dobu jeho užívání Objednatelem.</w:t>
      </w:r>
      <w:bookmarkEnd w:id="12"/>
      <w:bookmarkEnd w:id="13"/>
      <w:bookmarkEnd w:id="14"/>
    </w:p>
    <w:p w14:paraId="3DCD4C42" w14:textId="77777777" w:rsidR="00E73CAD" w:rsidRDefault="00C509A7">
      <w:pPr>
        <w:pStyle w:val="Style6"/>
        <w:numPr>
          <w:ilvl w:val="0"/>
          <w:numId w:val="2"/>
        </w:numPr>
        <w:shd w:val="clear" w:color="auto" w:fill="auto"/>
        <w:tabs>
          <w:tab w:val="left" w:pos="671"/>
        </w:tabs>
        <w:spacing w:line="324" w:lineRule="auto"/>
        <w:jc w:val="both"/>
      </w:pPr>
      <w:r>
        <w:t xml:space="preserve">Smluvní strany ujednávají, že Dodavatel má povinnost poskytovat plnění dle odst. 1 tohoto článku </w:t>
      </w:r>
      <w:r>
        <w:t xml:space="preserve">této Smlouvy v rozsahu dle počtu Objednatelem užívaných multimediálních </w:t>
      </w:r>
      <w:proofErr w:type="spellStart"/>
      <w:r>
        <w:t>playerů</w:t>
      </w:r>
      <w:proofErr w:type="spellEnd"/>
      <w:r>
        <w:t>, a to až do dosažení cenového limitu měsíčních plateb 41.645,83 Kč bez DPH měsíčně.</w:t>
      </w:r>
    </w:p>
    <w:p w14:paraId="07F3612A" w14:textId="77777777" w:rsidR="00E73CAD" w:rsidRDefault="00C509A7">
      <w:pPr>
        <w:pStyle w:val="Style9"/>
        <w:keepNext/>
        <w:keepLines/>
        <w:shd w:val="clear" w:color="auto" w:fill="auto"/>
      </w:pPr>
      <w:bookmarkStart w:id="15" w:name="bookmark18"/>
      <w:bookmarkStart w:id="16" w:name="bookmark19"/>
      <w:bookmarkStart w:id="17" w:name="bookmark20"/>
      <w:r>
        <w:rPr>
          <w:lang w:val="en-US" w:eastAsia="en-US" w:bidi="en-US"/>
        </w:rPr>
        <w:t>III.</w:t>
      </w:r>
      <w:bookmarkEnd w:id="15"/>
      <w:bookmarkEnd w:id="16"/>
      <w:bookmarkEnd w:id="17"/>
    </w:p>
    <w:p w14:paraId="1EE32BED" w14:textId="77777777" w:rsidR="00E73CAD" w:rsidRDefault="00C509A7">
      <w:pPr>
        <w:pStyle w:val="Style9"/>
        <w:keepNext/>
        <w:keepLines/>
        <w:shd w:val="clear" w:color="auto" w:fill="auto"/>
      </w:pPr>
      <w:bookmarkStart w:id="18" w:name="bookmark21"/>
      <w:bookmarkStart w:id="19" w:name="bookmark22"/>
      <w:bookmarkStart w:id="20" w:name="bookmark23"/>
      <w:r>
        <w:t>Místo a doba plnění</w:t>
      </w:r>
      <w:bookmarkEnd w:id="18"/>
      <w:bookmarkEnd w:id="19"/>
      <w:bookmarkEnd w:id="20"/>
    </w:p>
    <w:p w14:paraId="0C18E843" w14:textId="77777777" w:rsidR="00E73CAD" w:rsidRDefault="00C509A7">
      <w:pPr>
        <w:pStyle w:val="Style6"/>
        <w:numPr>
          <w:ilvl w:val="0"/>
          <w:numId w:val="3"/>
        </w:numPr>
        <w:shd w:val="clear" w:color="auto" w:fill="auto"/>
        <w:tabs>
          <w:tab w:val="left" w:pos="671"/>
        </w:tabs>
        <w:spacing w:line="322" w:lineRule="auto"/>
        <w:jc w:val="both"/>
      </w:pPr>
      <w:r>
        <w:t>Tato Smlouva se uzavírá na dobu neurčitou.</w:t>
      </w:r>
    </w:p>
    <w:p w14:paraId="3292F88E" w14:textId="77777777" w:rsidR="00E73CAD" w:rsidRDefault="00C509A7">
      <w:pPr>
        <w:pStyle w:val="Style6"/>
        <w:numPr>
          <w:ilvl w:val="0"/>
          <w:numId w:val="3"/>
        </w:numPr>
        <w:shd w:val="clear" w:color="auto" w:fill="auto"/>
        <w:tabs>
          <w:tab w:val="left" w:pos="671"/>
        </w:tabs>
        <w:spacing w:line="322" w:lineRule="auto"/>
        <w:jc w:val="both"/>
      </w:pPr>
      <w:r>
        <w:t>Dodavatel se zavazuje po</w:t>
      </w:r>
      <w:r>
        <w:t>skytnout plnění v následujících termínech:</w:t>
      </w:r>
    </w:p>
    <w:p w14:paraId="4B562B7D" w14:textId="77777777" w:rsidR="00E73CAD" w:rsidRDefault="00C509A7">
      <w:pPr>
        <w:pStyle w:val="Style6"/>
        <w:shd w:val="clear" w:color="auto" w:fill="auto"/>
        <w:spacing w:line="322" w:lineRule="auto"/>
        <w:ind w:firstLine="700"/>
        <w:jc w:val="both"/>
      </w:pPr>
      <w:r>
        <w:t xml:space="preserve">a. Dodat software, tj. poskytnout licenční oprávnění k užívání software v Objednatelem ujednaném rozsahu, instalovat a zprovoznit software na zařízeních Objednatele, úspěšné provést provozní a předávací </w:t>
      </w:r>
      <w:r>
        <w:t>zkoušky a zaškolit obsluhu software nejpozději do 10 pracovních dnů od obdržení požadavku Objednatele.</w:t>
      </w:r>
    </w:p>
    <w:p w14:paraId="43CF3453" w14:textId="77777777" w:rsidR="00E73CAD" w:rsidRDefault="00C509A7">
      <w:pPr>
        <w:pStyle w:val="Style6"/>
        <w:numPr>
          <w:ilvl w:val="0"/>
          <w:numId w:val="3"/>
        </w:numPr>
        <w:shd w:val="clear" w:color="auto" w:fill="auto"/>
        <w:tabs>
          <w:tab w:val="left" w:pos="671"/>
        </w:tabs>
        <w:jc w:val="both"/>
      </w:pPr>
      <w:r>
        <w:t xml:space="preserve">Dodavatel se výslovně zavazuje plnit Předmět Smlouvy ve stanovených termínech, účastnit se jednání k provedení Předmětu Smlouvy a poskytovat součinnost, </w:t>
      </w:r>
      <w:r>
        <w:t>aby bylo každé plnění prováděno včas a nevznikaly časové prostoje, a to tak, aby nebylo ohroženo čerpání finančních prostředků z Dotačního programu, účelově určeným na realizace expozic v prostorách Objednatele. Dodavatel výslovně bere na vědomí, že ve výs</w:t>
      </w:r>
      <w:r>
        <w:t xml:space="preserve">tavním prostoru může současně s jeho dodávkou (plněním) probíhat stavební či jiná příprava prováděná jiným dodavatelem. Dodavatel se zavazuje provádět plnění Předmětu Smlouvy v součinnosti s </w:t>
      </w:r>
      <w:r>
        <w:lastRenderedPageBreak/>
        <w:t>tímto jiným dodavatelem a tak, aby nebyl ohrožen jakýkoliv termín</w:t>
      </w:r>
      <w:r>
        <w:t xml:space="preserve"> plnění.</w:t>
      </w:r>
    </w:p>
    <w:p w14:paraId="7F172CCA" w14:textId="77777777" w:rsidR="00E73CAD" w:rsidRDefault="00C509A7">
      <w:pPr>
        <w:pStyle w:val="Style6"/>
        <w:numPr>
          <w:ilvl w:val="0"/>
          <w:numId w:val="3"/>
        </w:numPr>
        <w:shd w:val="clear" w:color="auto" w:fill="auto"/>
        <w:tabs>
          <w:tab w:val="left" w:pos="680"/>
        </w:tabs>
        <w:jc w:val="both"/>
      </w:pPr>
      <w:r>
        <w:t>Objednatel je oprávněn software v některých případech využívat i jen po předem stanovenou časově omezenou dobu (pro dočasné expozice) nebo užívání software na konkrétních zařízeních ukončit. Požadavek na ukončení užívání software na konkrétním zař</w:t>
      </w:r>
      <w:r>
        <w:t>ízení je Objednatel povinen u Dodavatele uplatnit nejméně 2 měsíce předem. Doba užívání software na konkrétním zařízení nebude kratší než 5 kalendářních měsíců.</w:t>
      </w:r>
    </w:p>
    <w:p w14:paraId="371E3D04" w14:textId="77777777" w:rsidR="00E73CAD" w:rsidRDefault="00C509A7">
      <w:pPr>
        <w:pStyle w:val="Style6"/>
        <w:numPr>
          <w:ilvl w:val="0"/>
          <w:numId w:val="3"/>
        </w:numPr>
        <w:shd w:val="clear" w:color="auto" w:fill="auto"/>
        <w:tabs>
          <w:tab w:val="left" w:pos="680"/>
        </w:tabs>
        <w:jc w:val="both"/>
      </w:pPr>
      <w:r>
        <w:t>Údržbu a pravidelné aktualizace software se Dodavatel zavazuje provádět po dobu jeho užívání Ob</w:t>
      </w:r>
      <w:r>
        <w:t>jednatelem, a to vždy mimo otevírací dobu výstavních prostor Objednatele, bezodkladně na žádost Objednatele, resp. v případě aktualizací bezodkladně po zpřístupnění aktualizace výrobcem software.</w:t>
      </w:r>
    </w:p>
    <w:p w14:paraId="1E179135" w14:textId="77777777" w:rsidR="00E73CAD" w:rsidRDefault="00C509A7">
      <w:pPr>
        <w:pStyle w:val="Style6"/>
        <w:numPr>
          <w:ilvl w:val="0"/>
          <w:numId w:val="3"/>
        </w:numPr>
        <w:shd w:val="clear" w:color="auto" w:fill="auto"/>
        <w:tabs>
          <w:tab w:val="left" w:pos="680"/>
        </w:tabs>
        <w:jc w:val="both"/>
      </w:pPr>
      <w:r>
        <w:t xml:space="preserve">Místem plnění Smlouvy jsou budovy Objednatele na území </w:t>
      </w:r>
      <w:r>
        <w:t>hlavního města Prahy.</w:t>
      </w:r>
    </w:p>
    <w:p w14:paraId="092A4E10" w14:textId="77777777" w:rsidR="00E73CAD" w:rsidRDefault="00C509A7">
      <w:pPr>
        <w:pStyle w:val="Style6"/>
        <w:shd w:val="clear" w:color="auto" w:fill="auto"/>
        <w:spacing w:after="0" w:line="341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IV.</w:t>
      </w:r>
    </w:p>
    <w:p w14:paraId="37016AF1" w14:textId="77777777" w:rsidR="00E73CAD" w:rsidRDefault="00C509A7">
      <w:pPr>
        <w:pStyle w:val="Style6"/>
        <w:shd w:val="clear" w:color="auto" w:fill="auto"/>
        <w:spacing w:after="0" w:line="341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Cena a platební podmínky</w:t>
      </w:r>
    </w:p>
    <w:p w14:paraId="4C70830E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80"/>
        </w:tabs>
        <w:spacing w:line="322" w:lineRule="auto"/>
        <w:jc w:val="both"/>
      </w:pPr>
      <w:r>
        <w:t xml:space="preserve">Cena za plnění Předmětu Smlouvy činí </w:t>
      </w:r>
      <w:r>
        <w:rPr>
          <w:b/>
          <w:bCs/>
          <w:sz w:val="17"/>
          <w:szCs w:val="17"/>
        </w:rPr>
        <w:t xml:space="preserve">175 Kč bez DPH </w:t>
      </w:r>
      <w:r>
        <w:t xml:space="preserve">za 1 multimediální </w:t>
      </w:r>
      <w:r>
        <w:rPr>
          <w:lang w:val="en-US" w:eastAsia="en-US" w:bidi="en-US"/>
        </w:rPr>
        <w:t xml:space="preserve">player </w:t>
      </w:r>
      <w:r>
        <w:t xml:space="preserve">Objednatele využívající software za 1 kalendářní měsíc; v případě využívání software jen po část měsíce v souladu s ČI. </w:t>
      </w:r>
      <w:r>
        <w:rPr>
          <w:lang w:val="en-US" w:eastAsia="en-US" w:bidi="en-US"/>
        </w:rPr>
        <w:t xml:space="preserve">Ill </w:t>
      </w:r>
      <w:r>
        <w:t>ods</w:t>
      </w:r>
      <w:r>
        <w:t>t. 4 této Smlouvy bude účtován každý i započatý den. Za dobu využívání software je považována doba od zprovoznění software na konkrétním zařízení Objednatele, jeho odzkoušení a převzetí Objednatelem do ukončení užívání software na daném zařízení Objednatel</w:t>
      </w:r>
      <w:r>
        <w:t>e.</w:t>
      </w:r>
    </w:p>
    <w:p w14:paraId="13609252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80"/>
        </w:tabs>
        <w:jc w:val="both"/>
      </w:pPr>
      <w:r>
        <w:t xml:space="preserve">Cena za plnění Předmětu Smlouvy bude bez ohledu na počet multimediálních </w:t>
      </w:r>
      <w:proofErr w:type="spellStart"/>
      <w:r>
        <w:t>playerů</w:t>
      </w:r>
      <w:proofErr w:type="spellEnd"/>
      <w:r>
        <w:t xml:space="preserve"> Objednatele dosahovat maximálně částky 41.645,83 Kč bez DPH za 1 kalendářní měsíc v průměru za jakékoliv období po sobě jdoucích 48 měsíců účinnosti této Smlouvy (dále jen </w:t>
      </w:r>
      <w:r>
        <w:rPr>
          <w:b/>
          <w:bCs/>
          <w:sz w:val="17"/>
          <w:szCs w:val="17"/>
        </w:rPr>
        <w:t xml:space="preserve">„Limit ceny plnění'). </w:t>
      </w:r>
      <w:r>
        <w:t>Plnění nad rámec tohoto limitu není Objednatel oprávněn požadovat ani Dodavatel bez ohledu na požadavky Objednatele poskytovat.</w:t>
      </w:r>
    </w:p>
    <w:p w14:paraId="7ADA0C48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80"/>
        </w:tabs>
        <w:jc w:val="both"/>
      </w:pPr>
      <w:r>
        <w:t>Smluvní strany výslovně uvádí, že není stanovena minimální cena plnění, kterou by byl Objednatel Dodavatel</w:t>
      </w:r>
      <w:r>
        <w:t xml:space="preserve">i hradit. Objednatel tak není povinen hradit Objednateli žádné platby za ty měsíce účinnosti této Smlouvy, kdy software pro provoz žádného multimediálního </w:t>
      </w:r>
      <w:proofErr w:type="spellStart"/>
      <w:r>
        <w:t>playerů</w:t>
      </w:r>
      <w:proofErr w:type="spellEnd"/>
      <w:r>
        <w:t xml:space="preserve"> neužíval.</w:t>
      </w:r>
    </w:p>
    <w:p w14:paraId="1A1624B6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80"/>
        </w:tabs>
        <w:spacing w:after="0"/>
        <w:jc w:val="both"/>
      </w:pPr>
      <w:r>
        <w:t>Cena (každého) plnění bude hrazena následujícím způsobem:</w:t>
      </w:r>
    </w:p>
    <w:p w14:paraId="5E8B2C03" w14:textId="77777777" w:rsidR="00E73CAD" w:rsidRDefault="00C509A7">
      <w:pPr>
        <w:pStyle w:val="Style6"/>
        <w:numPr>
          <w:ilvl w:val="0"/>
          <w:numId w:val="5"/>
        </w:numPr>
        <w:shd w:val="clear" w:color="auto" w:fill="auto"/>
        <w:tabs>
          <w:tab w:val="left" w:pos="1361"/>
        </w:tabs>
        <w:spacing w:after="0"/>
        <w:ind w:firstLine="700"/>
        <w:jc w:val="both"/>
      </w:pPr>
      <w:r>
        <w:t>na základě řádných doklad</w:t>
      </w:r>
      <w:r>
        <w:t xml:space="preserve">ů (dále jen </w:t>
      </w:r>
      <w:r>
        <w:rPr>
          <w:b/>
          <w:bCs/>
          <w:sz w:val="17"/>
          <w:szCs w:val="17"/>
        </w:rPr>
        <w:t xml:space="preserve">„faktury") </w:t>
      </w:r>
      <w:r>
        <w:t>vystavených měsíčně zpětně dle skutečně provedeného plnění s uvedením všech položek, které jsou součástí daného plnění,</w:t>
      </w:r>
    </w:p>
    <w:p w14:paraId="1C245D63" w14:textId="77777777" w:rsidR="00E73CAD" w:rsidRDefault="00C509A7">
      <w:pPr>
        <w:pStyle w:val="Style6"/>
        <w:numPr>
          <w:ilvl w:val="0"/>
          <w:numId w:val="5"/>
        </w:numPr>
        <w:shd w:val="clear" w:color="auto" w:fill="auto"/>
        <w:tabs>
          <w:tab w:val="left" w:pos="1361"/>
        </w:tabs>
        <w:spacing w:after="0"/>
        <w:ind w:firstLine="700"/>
        <w:jc w:val="both"/>
      </w:pPr>
      <w:r>
        <w:t xml:space="preserve">každá faktura musí být před předáním k uhrazení částky odsouhlasena Objednatelem, který ověří skutečné provedení </w:t>
      </w:r>
      <w:r>
        <w:t>fakturovaných částí a podepíše předávací protokol,</w:t>
      </w:r>
    </w:p>
    <w:p w14:paraId="3A1F60D4" w14:textId="77777777" w:rsidR="00E73CAD" w:rsidRDefault="00C509A7">
      <w:pPr>
        <w:pStyle w:val="Style6"/>
        <w:numPr>
          <w:ilvl w:val="0"/>
          <w:numId w:val="5"/>
        </w:numPr>
        <w:shd w:val="clear" w:color="auto" w:fill="auto"/>
        <w:tabs>
          <w:tab w:val="left" w:pos="1361"/>
        </w:tabs>
        <w:spacing w:after="260"/>
        <w:ind w:firstLine="700"/>
        <w:jc w:val="both"/>
      </w:pPr>
      <w:r>
        <w:t>kopie předávacího protokolu bude vždy přílohou každého daňového dokladu.</w:t>
      </w:r>
    </w:p>
    <w:p w14:paraId="60D271E4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80"/>
        </w:tabs>
        <w:jc w:val="both"/>
      </w:pPr>
      <w:r>
        <w:t xml:space="preserve">Smluvní cena uvedená na faktuře musí odpovídat ceně uvedené v čl. IV odst. 1 této Smlouvy, tato cena je platná a neměnná po </w:t>
      </w:r>
      <w:r>
        <w:t>celou dobu trvání této Smlouvy. Dodavatel nemůže účtovat za provedené plnění žádné vícenáklady, a to ani v případě nárůstu cen.</w:t>
      </w:r>
    </w:p>
    <w:p w14:paraId="04681F9C" w14:textId="1E6F3423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80"/>
        </w:tabs>
        <w:spacing w:line="324" w:lineRule="auto"/>
        <w:jc w:val="both"/>
      </w:pPr>
      <w:r>
        <w:t>Daň z přidané hodnoty bude Dodavatel účtovat Objednateli v rámci fakturace provedeného plnění vždy podle aktuální zákonné úpravy</w:t>
      </w:r>
      <w:r>
        <w:t xml:space="preserve"> zákona č. 235/2004 Sb., o dani z přidané hodnoty, ve znění pozdějších předpisů. Smluvní strany výslovně sjednávají, že Objednatel není považován za osobu povinnou k dani dle §92a tohoto zákona.</w:t>
      </w:r>
    </w:p>
    <w:p w14:paraId="2B2FDF7C" w14:textId="669D576F" w:rsidR="00C509A7" w:rsidRDefault="00C509A7" w:rsidP="00C509A7">
      <w:pPr>
        <w:pStyle w:val="Style6"/>
        <w:shd w:val="clear" w:color="auto" w:fill="auto"/>
        <w:tabs>
          <w:tab w:val="left" w:pos="680"/>
        </w:tabs>
        <w:spacing w:line="324" w:lineRule="auto"/>
        <w:jc w:val="both"/>
      </w:pPr>
    </w:p>
    <w:p w14:paraId="3D3030CA" w14:textId="7CCC8BB2" w:rsidR="00C509A7" w:rsidRDefault="00C509A7" w:rsidP="00C509A7">
      <w:pPr>
        <w:pStyle w:val="Style6"/>
        <w:shd w:val="clear" w:color="auto" w:fill="auto"/>
        <w:tabs>
          <w:tab w:val="left" w:pos="680"/>
        </w:tabs>
        <w:spacing w:line="324" w:lineRule="auto"/>
        <w:jc w:val="both"/>
      </w:pPr>
    </w:p>
    <w:p w14:paraId="4E183575" w14:textId="11C7A4D8" w:rsidR="00C509A7" w:rsidRDefault="00C509A7" w:rsidP="00C509A7">
      <w:pPr>
        <w:pStyle w:val="Style6"/>
        <w:shd w:val="clear" w:color="auto" w:fill="auto"/>
        <w:tabs>
          <w:tab w:val="left" w:pos="680"/>
        </w:tabs>
        <w:spacing w:line="324" w:lineRule="auto"/>
        <w:jc w:val="both"/>
      </w:pPr>
    </w:p>
    <w:p w14:paraId="330BB60E" w14:textId="77777777" w:rsidR="00C509A7" w:rsidRDefault="00C509A7" w:rsidP="00C509A7">
      <w:pPr>
        <w:pStyle w:val="Style6"/>
        <w:shd w:val="clear" w:color="auto" w:fill="auto"/>
        <w:tabs>
          <w:tab w:val="left" w:pos="680"/>
        </w:tabs>
        <w:spacing w:line="324" w:lineRule="auto"/>
        <w:jc w:val="both"/>
      </w:pPr>
    </w:p>
    <w:p w14:paraId="299146BD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74"/>
        </w:tabs>
        <w:spacing w:line="324" w:lineRule="auto"/>
      </w:pPr>
      <w:r>
        <w:lastRenderedPageBreak/>
        <w:t>Dodavatel vystaví fakturu za uplynulý kalendářní měsíc vždy d</w:t>
      </w:r>
      <w:r>
        <w:t>o 10. pracovního dne následujícího měsíce, po podpisu předávacího protokolu plnění poskytnutého v uplynulém měsíci. Platba bude realizována bezhotovostním převodem na účet Dodavatele uvedený v záhlaví této Smlouvy.</w:t>
      </w:r>
    </w:p>
    <w:p w14:paraId="45539ACD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74"/>
        </w:tabs>
      </w:pPr>
      <w:r>
        <w:t xml:space="preserve">Faktury budou splňovat veškeré požadavky </w:t>
      </w:r>
      <w:r>
        <w:t>stanovené českými právními předpisy, zejména náležitosti daňového dokladu stanovené v § 29 zákona č. 235/2004 Sb., o dani z přidané hodnoty, ve znění pozdějších předpisů a obchodní listiny stanovené v § 435 Občanského zákoníku; kromě těchto náležitostí bud</w:t>
      </w:r>
      <w:r>
        <w:t>e faktura obsahovat označení faktura, číslo Smlouvy, číslo zakázkového listu, označení bankovního účtu Dodavatele uvedeného v záhlaví Smlouvy, předmět fakturace, cenu bez daně z přidané hodnoty, procentní sazbu a výši daně z přidané hodnoty a cenu včetně d</w:t>
      </w:r>
      <w:r>
        <w:t>aně z přidané hodnoty; výše daně z přidané hodnoty bude zaokrouhlena na celé desetihaléře nahoru.</w:t>
      </w:r>
    </w:p>
    <w:p w14:paraId="336671A8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74"/>
        </w:tabs>
        <w:spacing w:line="329" w:lineRule="auto"/>
        <w:jc w:val="both"/>
      </w:pPr>
      <w:r>
        <w:t>Společně s každou fakturou dodá Dodavatel kopii příslušného předávacího protokolu podepsaného pověřeným zástupcem Objednatele.</w:t>
      </w:r>
    </w:p>
    <w:p w14:paraId="7C2302EF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74"/>
        </w:tabs>
        <w:jc w:val="both"/>
      </w:pPr>
      <w:r>
        <w:t>Faktury budou splatné do 50 kal</w:t>
      </w:r>
      <w:r>
        <w:t>endářních dnů ode dne jejich prokazatelného doručení Objednateli na adresu uvedenou ve Smlouvě; fakturovaná částka se bude považovat za uhrazenou okamžikem odepsání příslušné finanční částky z bankovního účtu Objednatele uvedeného v záhlaví Smlouvy ve pros</w:t>
      </w:r>
      <w:r>
        <w:t>pěch Dodavatelova bankovního účtu uvedeného v záhlaví Smlouvy.</w:t>
      </w:r>
    </w:p>
    <w:p w14:paraId="663480E9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74"/>
        </w:tabs>
        <w:jc w:val="both"/>
      </w:pPr>
      <w:r>
        <w:t xml:space="preserve">Objednatel je oprávněn vrátit do ukončení lhůty splatnosti bez zaplacení Dodavateli fakturu, pokud nebude obsahovat náležitosti stanovené Smlouvou, nebo fakturu, která bude obsahovat nesprávné </w:t>
      </w:r>
      <w:r>
        <w:t>cenové údaje, nebo nebude doručena v požadovaném množství výtisků nebo příloh, a to s uvedením důvodu vrácení. Dodavatel je v případě vrácení faktury povinen do 10 pracovních dnů ode dne doručení vrácené faktury fakturu opravit nebo vyhotovit fakturu novou</w:t>
      </w:r>
      <w:r>
        <w:t>. Oprávněným vrácením faktury přestává běžet lhůta splatnosti; nová lhůta v původní délce splatnosti běží znovu ode dne prokazatelného doručení opravené nebo nově vystavené faktury Objednateli. Faktura se považuje za vrácenou ve lhůtě splatnosti, je-li v t</w:t>
      </w:r>
      <w:r>
        <w:t>éto lhůtě odeslána; není nutné, aby byla v téže lhůtě doručena Dodavateli, který ji vystavil.</w:t>
      </w:r>
    </w:p>
    <w:p w14:paraId="07424EAD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74"/>
        </w:tabs>
        <w:jc w:val="both"/>
      </w:pPr>
      <w:r>
        <w:t>Platby budou probíhat v CZK s příslušnou sazbou DPH platnou v době vystavení faktury.</w:t>
      </w:r>
    </w:p>
    <w:p w14:paraId="15D10922" w14:textId="77777777" w:rsidR="00E73CAD" w:rsidRDefault="00C509A7">
      <w:pPr>
        <w:pStyle w:val="Style6"/>
        <w:numPr>
          <w:ilvl w:val="0"/>
          <w:numId w:val="4"/>
        </w:numPr>
        <w:shd w:val="clear" w:color="auto" w:fill="auto"/>
        <w:tabs>
          <w:tab w:val="left" w:pos="674"/>
        </w:tabs>
        <w:jc w:val="both"/>
      </w:pPr>
      <w:r>
        <w:t>Zálohové platby Objednatel neposkytuje.</w:t>
      </w:r>
    </w:p>
    <w:p w14:paraId="0F581F5E" w14:textId="77777777" w:rsidR="00E73CAD" w:rsidRDefault="00C509A7">
      <w:pPr>
        <w:pStyle w:val="Style6"/>
        <w:shd w:val="clear" w:color="auto" w:fill="auto"/>
        <w:spacing w:after="0" w:line="338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V.</w:t>
      </w:r>
    </w:p>
    <w:p w14:paraId="42B80D99" w14:textId="77777777" w:rsidR="00E73CAD" w:rsidRDefault="00C509A7">
      <w:pPr>
        <w:pStyle w:val="Style6"/>
        <w:shd w:val="clear" w:color="auto" w:fill="auto"/>
        <w:spacing w:after="260" w:line="338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Odpovědnost smluvních </w:t>
      </w:r>
      <w:r>
        <w:rPr>
          <w:b/>
          <w:bCs/>
          <w:sz w:val="17"/>
          <w:szCs w:val="17"/>
        </w:rPr>
        <w:t>stran, záruky za jakost, sankce a náhrada škody</w:t>
      </w:r>
    </w:p>
    <w:p w14:paraId="29EE861E" w14:textId="77777777" w:rsidR="00E73CAD" w:rsidRDefault="00C509A7">
      <w:pPr>
        <w:pStyle w:val="Style6"/>
        <w:numPr>
          <w:ilvl w:val="0"/>
          <w:numId w:val="6"/>
        </w:numPr>
        <w:shd w:val="clear" w:color="auto" w:fill="auto"/>
        <w:tabs>
          <w:tab w:val="left" w:pos="674"/>
        </w:tabs>
        <w:jc w:val="both"/>
      </w:pPr>
      <w:r>
        <w:t>Dodavatel je povinen provést plnění podle této Smlouvy v patřičné kvalitě odpovídající platným technickým normám ČR při respektování platných právních předpisů. Dodavatel odpovídá především za odborné a kvali</w:t>
      </w:r>
      <w:r>
        <w:t>fikované dodávky a provedení bezpečné instalace.</w:t>
      </w:r>
    </w:p>
    <w:p w14:paraId="3E9BF714" w14:textId="77777777" w:rsidR="00E73CAD" w:rsidRDefault="00C509A7">
      <w:pPr>
        <w:pStyle w:val="Style6"/>
        <w:numPr>
          <w:ilvl w:val="0"/>
          <w:numId w:val="6"/>
        </w:numPr>
        <w:shd w:val="clear" w:color="auto" w:fill="auto"/>
        <w:tabs>
          <w:tab w:val="left" w:pos="674"/>
        </w:tabs>
        <w:jc w:val="both"/>
      </w:pPr>
      <w:r>
        <w:t>Plnění dle této Smlouvy má vady, jestliže provedení tohoto plnění neodpovídá výsledku určenému ve Smlouvě nebo jejích přílohách, tj. kvalitě, rozsahu, obecně závazným předpisům a technickým normám.</w:t>
      </w:r>
    </w:p>
    <w:p w14:paraId="00628D5E" w14:textId="63540AC7" w:rsidR="00E73CAD" w:rsidRDefault="00C509A7">
      <w:pPr>
        <w:pStyle w:val="Style6"/>
        <w:numPr>
          <w:ilvl w:val="0"/>
          <w:numId w:val="6"/>
        </w:numPr>
        <w:shd w:val="clear" w:color="auto" w:fill="auto"/>
        <w:tabs>
          <w:tab w:val="left" w:pos="674"/>
        </w:tabs>
        <w:spacing w:line="326" w:lineRule="auto"/>
        <w:jc w:val="both"/>
      </w:pPr>
      <w:r>
        <w:t>Za všechn</w:t>
      </w:r>
      <w:r>
        <w:t>y vady a nedodělky plnění Předmětu Smlouvy nese odpovědnost Dodavatel. Tyto vady je Dodavatel povinen bezplatně odstranit, a to bez ohledu na to, kdy se v záruční době vada projevila.</w:t>
      </w:r>
    </w:p>
    <w:p w14:paraId="2A2E7060" w14:textId="5299E4EC" w:rsidR="00C509A7" w:rsidRDefault="00C509A7" w:rsidP="00C509A7">
      <w:pPr>
        <w:pStyle w:val="Style6"/>
        <w:shd w:val="clear" w:color="auto" w:fill="auto"/>
        <w:tabs>
          <w:tab w:val="left" w:pos="674"/>
        </w:tabs>
        <w:spacing w:line="326" w:lineRule="auto"/>
        <w:jc w:val="both"/>
      </w:pPr>
    </w:p>
    <w:p w14:paraId="74F00799" w14:textId="37607EEE" w:rsidR="00C509A7" w:rsidRDefault="00C509A7" w:rsidP="00C509A7">
      <w:pPr>
        <w:pStyle w:val="Style6"/>
        <w:shd w:val="clear" w:color="auto" w:fill="auto"/>
        <w:tabs>
          <w:tab w:val="left" w:pos="674"/>
        </w:tabs>
        <w:spacing w:line="326" w:lineRule="auto"/>
        <w:jc w:val="both"/>
      </w:pPr>
    </w:p>
    <w:p w14:paraId="0BF23E2A" w14:textId="67479298" w:rsidR="00C509A7" w:rsidRDefault="00C509A7" w:rsidP="00C509A7">
      <w:pPr>
        <w:pStyle w:val="Style6"/>
        <w:shd w:val="clear" w:color="auto" w:fill="auto"/>
        <w:tabs>
          <w:tab w:val="left" w:pos="674"/>
        </w:tabs>
        <w:spacing w:line="326" w:lineRule="auto"/>
        <w:jc w:val="both"/>
      </w:pPr>
    </w:p>
    <w:p w14:paraId="3FCFBA0B" w14:textId="1F211642" w:rsidR="00C509A7" w:rsidRDefault="00C509A7" w:rsidP="00C509A7">
      <w:pPr>
        <w:pStyle w:val="Style6"/>
        <w:shd w:val="clear" w:color="auto" w:fill="auto"/>
        <w:tabs>
          <w:tab w:val="left" w:pos="674"/>
        </w:tabs>
        <w:spacing w:line="326" w:lineRule="auto"/>
        <w:jc w:val="both"/>
      </w:pPr>
    </w:p>
    <w:p w14:paraId="535FA8C8" w14:textId="17DAF373" w:rsidR="00C509A7" w:rsidRDefault="00C509A7" w:rsidP="00C509A7">
      <w:pPr>
        <w:pStyle w:val="Style6"/>
        <w:shd w:val="clear" w:color="auto" w:fill="auto"/>
        <w:tabs>
          <w:tab w:val="left" w:pos="674"/>
        </w:tabs>
        <w:spacing w:line="326" w:lineRule="auto"/>
        <w:jc w:val="both"/>
      </w:pPr>
    </w:p>
    <w:p w14:paraId="45BA40BE" w14:textId="77777777" w:rsidR="00C509A7" w:rsidRDefault="00C509A7" w:rsidP="00C509A7">
      <w:pPr>
        <w:pStyle w:val="Style6"/>
        <w:shd w:val="clear" w:color="auto" w:fill="auto"/>
        <w:tabs>
          <w:tab w:val="left" w:pos="674"/>
        </w:tabs>
        <w:spacing w:line="326" w:lineRule="auto"/>
        <w:jc w:val="both"/>
      </w:pPr>
    </w:p>
    <w:p w14:paraId="5FD5ED1E" w14:textId="77777777" w:rsidR="00E73CAD" w:rsidRDefault="00C509A7">
      <w:pPr>
        <w:pStyle w:val="Style6"/>
        <w:numPr>
          <w:ilvl w:val="0"/>
          <w:numId w:val="6"/>
        </w:numPr>
        <w:shd w:val="clear" w:color="auto" w:fill="auto"/>
        <w:tabs>
          <w:tab w:val="left" w:pos="671"/>
        </w:tabs>
        <w:jc w:val="both"/>
      </w:pPr>
      <w:r>
        <w:t xml:space="preserve">Oznámení vady (reklamace), včetně popisu vady musí Objednatel sdělit Dodavateli v textové podobě, a to e-mailem na adresu některé z kontaktních osob Dodavatele dle </w:t>
      </w:r>
      <w:r>
        <w:rPr>
          <w:b/>
          <w:bCs/>
          <w:sz w:val="17"/>
          <w:szCs w:val="17"/>
        </w:rPr>
        <w:t xml:space="preserve">čl. VI odst. 3 </w:t>
      </w:r>
      <w:r>
        <w:t>této Smlouvy. Přijetí e-mailu je Dodavatel povinen bezodkladně Objednateli po</w:t>
      </w:r>
      <w:r>
        <w:t>tvrdit.</w:t>
      </w:r>
    </w:p>
    <w:p w14:paraId="2CF68AEB" w14:textId="77777777" w:rsidR="00E73CAD" w:rsidRDefault="00C509A7">
      <w:pPr>
        <w:pStyle w:val="Style6"/>
        <w:numPr>
          <w:ilvl w:val="0"/>
          <w:numId w:val="6"/>
        </w:numPr>
        <w:shd w:val="clear" w:color="auto" w:fill="auto"/>
        <w:tabs>
          <w:tab w:val="left" w:pos="671"/>
        </w:tabs>
        <w:spacing w:line="322" w:lineRule="auto"/>
        <w:jc w:val="both"/>
      </w:pPr>
      <w:r>
        <w:t>Dodavatel se zavazuje bezodkladně po obdržení reklamace Objednatelem reklamované vady prověřit a navrhnout způsob odstranění vad. Odstraňování vady je Dodavatel povinen zahájit do 24 hodin od jejího oznámení a dokončit nejpozději do 5 pracovních dn</w:t>
      </w:r>
      <w:r>
        <w:t>ů od jejího oznámení. V případě objektivní nemožnosti dodržení uvedených lhůt, může být termín odstranění vad dohodnut jinak, a to písemnou formou s přihlédnutím k povaze vady a vhodnosti provádění prací.</w:t>
      </w:r>
    </w:p>
    <w:p w14:paraId="093C1445" w14:textId="77777777" w:rsidR="00E73CAD" w:rsidRDefault="00C509A7">
      <w:pPr>
        <w:pStyle w:val="Style6"/>
        <w:numPr>
          <w:ilvl w:val="0"/>
          <w:numId w:val="6"/>
        </w:numPr>
        <w:shd w:val="clear" w:color="auto" w:fill="auto"/>
        <w:tabs>
          <w:tab w:val="left" w:pos="671"/>
        </w:tabs>
        <w:spacing w:line="324" w:lineRule="auto"/>
        <w:jc w:val="both"/>
      </w:pPr>
      <w:r>
        <w:t xml:space="preserve">Jestliže Dodavatel neodstraní vady ve lhůtách dle </w:t>
      </w:r>
      <w:r>
        <w:rPr>
          <w:b/>
          <w:bCs/>
          <w:sz w:val="17"/>
          <w:szCs w:val="17"/>
        </w:rPr>
        <w:t>o</w:t>
      </w:r>
      <w:r>
        <w:rPr>
          <w:b/>
          <w:bCs/>
          <w:sz w:val="17"/>
          <w:szCs w:val="17"/>
        </w:rPr>
        <w:t xml:space="preserve">dst. 5 </w:t>
      </w:r>
      <w:r>
        <w:t>tohoto článku Smlouvy, může Objednatel zadat odstranění vad třetí osobě. V tomto případě odstraní třetí osoba vady proti úhradě Dodavatele.</w:t>
      </w:r>
    </w:p>
    <w:p w14:paraId="60E245B3" w14:textId="77777777" w:rsidR="00E73CAD" w:rsidRDefault="00C509A7">
      <w:pPr>
        <w:pStyle w:val="Style6"/>
        <w:numPr>
          <w:ilvl w:val="0"/>
          <w:numId w:val="6"/>
        </w:numPr>
        <w:shd w:val="clear" w:color="auto" w:fill="auto"/>
        <w:tabs>
          <w:tab w:val="left" w:pos="671"/>
        </w:tabs>
        <w:jc w:val="both"/>
      </w:pPr>
      <w:r>
        <w:t>Dodavatel je povinen zajišťovat průběžný vývoj a aktualizace dodaného software po dobu účinnosti této smlouvy</w:t>
      </w:r>
      <w:r>
        <w:t>, a to nejméně v rozsahu zajišťujícím jeho plnou funkčnost při aktualizacích nebo vydání nových operačních systémů či jiného souvisejícího software třetích stran.</w:t>
      </w:r>
    </w:p>
    <w:p w14:paraId="6398CB6D" w14:textId="77777777" w:rsidR="00E73CAD" w:rsidRDefault="00C509A7">
      <w:pPr>
        <w:pStyle w:val="Style6"/>
        <w:numPr>
          <w:ilvl w:val="0"/>
          <w:numId w:val="6"/>
        </w:numPr>
        <w:shd w:val="clear" w:color="auto" w:fill="auto"/>
        <w:tabs>
          <w:tab w:val="left" w:pos="671"/>
        </w:tabs>
        <w:spacing w:line="322" w:lineRule="auto"/>
        <w:jc w:val="both"/>
      </w:pPr>
      <w:r>
        <w:t xml:space="preserve">Dodavatel je povinen uhradit Objednateli všechny prokazatelné škody způsobené jeho činností, </w:t>
      </w:r>
      <w:r>
        <w:t xml:space="preserve">popř. i vadami a nedodělky jeho plnění. Dodavatel prohlašuje, že je </w:t>
      </w:r>
      <w:r>
        <w:rPr>
          <w:b/>
          <w:bCs/>
          <w:sz w:val="17"/>
          <w:szCs w:val="17"/>
        </w:rPr>
        <w:t xml:space="preserve">pojištěn </w:t>
      </w:r>
      <w:r>
        <w:t>pro případ odpovědnosti za škodu vzniklou Objednateli či jinému subjektu v souvislosti s prováděním plnění Předmětu Smlouvy, a to alespoň do výše 2 mil. Kč pojistného plnění.</w:t>
      </w:r>
    </w:p>
    <w:p w14:paraId="77C107E9" w14:textId="77777777" w:rsidR="00E73CAD" w:rsidRDefault="00C509A7">
      <w:pPr>
        <w:pStyle w:val="Style6"/>
        <w:numPr>
          <w:ilvl w:val="0"/>
          <w:numId w:val="6"/>
        </w:numPr>
        <w:shd w:val="clear" w:color="auto" w:fill="auto"/>
        <w:tabs>
          <w:tab w:val="left" w:pos="671"/>
        </w:tabs>
        <w:spacing w:line="326" w:lineRule="auto"/>
        <w:jc w:val="both"/>
      </w:pPr>
      <w:r>
        <w:t>V př</w:t>
      </w:r>
      <w:r>
        <w:t>ípadě neodstranitelné či neopravitelné vady nebo v jiných případech na základě dohody smluvních stran poskytne Dodavatel Objednateli přiměřenou slevu z ceny plnění odpovídající rozsahu reklamovaných vad a snížení hodnoty plnění.</w:t>
      </w:r>
    </w:p>
    <w:p w14:paraId="43596464" w14:textId="77777777" w:rsidR="00E73CAD" w:rsidRDefault="00C509A7">
      <w:pPr>
        <w:pStyle w:val="Style6"/>
        <w:shd w:val="clear" w:color="auto" w:fill="auto"/>
        <w:spacing w:after="0" w:line="338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VI.</w:t>
      </w:r>
    </w:p>
    <w:p w14:paraId="576D15C9" w14:textId="77777777" w:rsidR="00E73CAD" w:rsidRDefault="00C509A7">
      <w:pPr>
        <w:pStyle w:val="Style6"/>
        <w:shd w:val="clear" w:color="auto" w:fill="auto"/>
        <w:spacing w:after="0" w:line="338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Součinnost </w:t>
      </w:r>
      <w:r>
        <w:rPr>
          <w:b/>
          <w:bCs/>
          <w:sz w:val="17"/>
          <w:szCs w:val="17"/>
        </w:rPr>
        <w:t>smluvních stran</w:t>
      </w:r>
    </w:p>
    <w:p w14:paraId="0EE9A879" w14:textId="77777777" w:rsidR="00E73CAD" w:rsidRDefault="00C509A7">
      <w:pPr>
        <w:pStyle w:val="Style6"/>
        <w:numPr>
          <w:ilvl w:val="0"/>
          <w:numId w:val="7"/>
        </w:numPr>
        <w:shd w:val="clear" w:color="auto" w:fill="auto"/>
        <w:tabs>
          <w:tab w:val="left" w:pos="671"/>
        </w:tabs>
        <w:jc w:val="both"/>
      </w:pPr>
      <w:r>
        <w:t>Termín odezvy na podnět jedné ze smluvních stran je touto Smlouvou stanoven na maximálně 3 pracovní dny s tím, že v rámci tohoto časového intervalu je možné písemně sjednat termín předání podkladů nebo setkání k řešení daného problému, a to</w:t>
      </w:r>
      <w:r>
        <w:t xml:space="preserve"> se lhůtou nejpozději do 8 pracovních dnů. Pokud jsou pro určité případy v této Smlouvě stanoveny jiné lhůty či doby odezvy jsou platné tyto speciálně upravené lhůty či doby.</w:t>
      </w:r>
    </w:p>
    <w:p w14:paraId="34F0E560" w14:textId="77777777" w:rsidR="00E73CAD" w:rsidRDefault="00C509A7">
      <w:pPr>
        <w:pStyle w:val="Style6"/>
        <w:numPr>
          <w:ilvl w:val="0"/>
          <w:numId w:val="7"/>
        </w:numPr>
        <w:shd w:val="clear" w:color="auto" w:fill="auto"/>
        <w:tabs>
          <w:tab w:val="left" w:pos="671"/>
        </w:tabs>
        <w:spacing w:line="322" w:lineRule="auto"/>
        <w:jc w:val="both"/>
      </w:pPr>
      <w:r>
        <w:t>Za Objednatele jsou oprávněni jednat:</w:t>
      </w:r>
    </w:p>
    <w:p w14:paraId="189C6F4A" w14:textId="36CAE723" w:rsidR="00E73CAD" w:rsidRDefault="00C509A7">
      <w:pPr>
        <w:pStyle w:val="Style6"/>
        <w:numPr>
          <w:ilvl w:val="0"/>
          <w:numId w:val="8"/>
        </w:numPr>
        <w:shd w:val="clear" w:color="auto" w:fill="auto"/>
        <w:tabs>
          <w:tab w:val="left" w:pos="1402"/>
        </w:tabs>
        <w:spacing w:after="0" w:line="324" w:lineRule="auto"/>
        <w:ind w:left="1380" w:hanging="660"/>
      </w:pPr>
      <w:proofErr w:type="spellStart"/>
      <w:r>
        <w:t>xxxxxxxxxxxxxxxxxxxxxxxxxxxx</w:t>
      </w:r>
      <w:proofErr w:type="spellEnd"/>
      <w:r>
        <w:rPr>
          <w:lang w:val="en-US" w:eastAsia="en-US" w:bidi="en-US"/>
        </w:rPr>
        <w:t xml:space="preserve">, </w:t>
      </w:r>
      <w:r>
        <w:t>ve věcech smluvních a technických;</w:t>
      </w:r>
    </w:p>
    <w:p w14:paraId="1FF67C43" w14:textId="3AD13EAF" w:rsidR="00E73CAD" w:rsidRDefault="00C509A7" w:rsidP="00C509A7">
      <w:pPr>
        <w:pStyle w:val="Style6"/>
        <w:numPr>
          <w:ilvl w:val="0"/>
          <w:numId w:val="8"/>
        </w:numPr>
        <w:shd w:val="clear" w:color="auto" w:fill="auto"/>
        <w:tabs>
          <w:tab w:val="left" w:pos="1402"/>
        </w:tabs>
        <w:spacing w:after="0" w:line="324" w:lineRule="auto"/>
        <w:ind w:firstLine="720"/>
        <w:jc w:val="both"/>
      </w:pPr>
      <w:proofErr w:type="spellStart"/>
      <w:proofErr w:type="gramStart"/>
      <w:r>
        <w:t>xxxxxxxxxxxxxxxxxxxxxxxx</w:t>
      </w:r>
      <w:proofErr w:type="spellEnd"/>
      <w:r>
        <w:t xml:space="preserve">, </w:t>
      </w:r>
      <w:r w:rsidRPr="00C509A7">
        <w:rPr>
          <w:lang w:val="en-US" w:eastAsia="en-US" w:bidi="en-US"/>
        </w:rPr>
        <w:t xml:space="preserve"> </w:t>
      </w:r>
      <w:r>
        <w:t>ve</w:t>
      </w:r>
      <w:proofErr w:type="gramEnd"/>
      <w:r>
        <w:t xml:space="preserve"> věcech technických;</w:t>
      </w:r>
    </w:p>
    <w:p w14:paraId="4E09EC6F" w14:textId="77777777" w:rsidR="00E73CAD" w:rsidRDefault="00C509A7">
      <w:pPr>
        <w:pStyle w:val="Style6"/>
        <w:numPr>
          <w:ilvl w:val="0"/>
          <w:numId w:val="8"/>
        </w:numPr>
        <w:shd w:val="clear" w:color="auto" w:fill="auto"/>
        <w:tabs>
          <w:tab w:val="left" w:pos="1402"/>
        </w:tabs>
        <w:spacing w:after="0" w:line="324" w:lineRule="auto"/>
        <w:ind w:left="1380" w:hanging="660"/>
      </w:pPr>
      <w:r>
        <w:t>a další osoby ve věcech technických na základě pověření osob uvedených v odstavcích a) a b).</w:t>
      </w:r>
    </w:p>
    <w:p w14:paraId="6DC02CD9" w14:textId="77777777" w:rsidR="00E73CAD" w:rsidRDefault="00C509A7">
      <w:pPr>
        <w:pStyle w:val="Style6"/>
        <w:numPr>
          <w:ilvl w:val="0"/>
          <w:numId w:val="7"/>
        </w:numPr>
        <w:shd w:val="clear" w:color="auto" w:fill="auto"/>
        <w:tabs>
          <w:tab w:val="left" w:pos="671"/>
        </w:tabs>
        <w:spacing w:line="324" w:lineRule="auto"/>
        <w:jc w:val="both"/>
      </w:pPr>
      <w:r>
        <w:t>Za Dodavatele jsou oprávněni jednat:</w:t>
      </w:r>
    </w:p>
    <w:p w14:paraId="00856876" w14:textId="357B982F" w:rsidR="00E73CAD" w:rsidRDefault="00C509A7">
      <w:pPr>
        <w:pStyle w:val="Style6"/>
        <w:numPr>
          <w:ilvl w:val="0"/>
          <w:numId w:val="9"/>
        </w:numPr>
        <w:shd w:val="clear" w:color="auto" w:fill="auto"/>
        <w:tabs>
          <w:tab w:val="left" w:pos="1402"/>
        </w:tabs>
        <w:spacing w:after="0" w:line="324" w:lineRule="auto"/>
        <w:ind w:firstLine="720"/>
        <w:jc w:val="both"/>
      </w:pPr>
      <w:proofErr w:type="spellStart"/>
      <w:r>
        <w:t>xxxxxxxxxxxxxxxxxxxxxxx</w:t>
      </w:r>
      <w:proofErr w:type="spellEnd"/>
    </w:p>
    <w:p w14:paraId="19053270" w14:textId="3EDF687D" w:rsidR="00E73CAD" w:rsidRDefault="00C509A7">
      <w:pPr>
        <w:pStyle w:val="Style6"/>
        <w:shd w:val="clear" w:color="auto" w:fill="auto"/>
        <w:spacing w:after="0" w:line="324" w:lineRule="auto"/>
        <w:ind w:left="1380"/>
      </w:pPr>
      <w:r>
        <w:t>(</w:t>
      </w:r>
      <w:r>
        <w:t>ve věcech smluvních a technických;</w:t>
      </w:r>
    </w:p>
    <w:p w14:paraId="776CB5AC" w14:textId="5C8C5EE4" w:rsidR="00E73CAD" w:rsidRDefault="00C509A7">
      <w:pPr>
        <w:pStyle w:val="Style6"/>
        <w:numPr>
          <w:ilvl w:val="0"/>
          <w:numId w:val="9"/>
        </w:numPr>
        <w:shd w:val="clear" w:color="auto" w:fill="auto"/>
        <w:tabs>
          <w:tab w:val="left" w:pos="1402"/>
        </w:tabs>
        <w:spacing w:after="0" w:line="324" w:lineRule="auto"/>
        <w:ind w:firstLine="720"/>
        <w:jc w:val="both"/>
      </w:pPr>
      <w:proofErr w:type="spellStart"/>
      <w:r>
        <w:t>xxxxxxxxxxxxxxxxxxxxxx</w:t>
      </w:r>
      <w:proofErr w:type="spellEnd"/>
    </w:p>
    <w:p w14:paraId="20827BAA" w14:textId="10214605" w:rsidR="00E73CAD" w:rsidRDefault="00C509A7">
      <w:pPr>
        <w:pStyle w:val="Style6"/>
        <w:shd w:val="clear" w:color="auto" w:fill="auto"/>
        <w:spacing w:line="324" w:lineRule="auto"/>
        <w:ind w:left="1380"/>
        <w:jc w:val="both"/>
      </w:pPr>
      <w:r>
        <w:t>(</w:t>
      </w:r>
      <w:r>
        <w:t xml:space="preserve">ve věcech </w:t>
      </w:r>
      <w:r>
        <w:t>technických.</w:t>
      </w:r>
    </w:p>
    <w:p w14:paraId="1D180B9B" w14:textId="3E81EF42" w:rsidR="00C509A7" w:rsidRDefault="00C509A7">
      <w:pPr>
        <w:pStyle w:val="Style6"/>
        <w:shd w:val="clear" w:color="auto" w:fill="auto"/>
        <w:spacing w:line="324" w:lineRule="auto"/>
        <w:ind w:left="1380"/>
        <w:jc w:val="both"/>
      </w:pPr>
    </w:p>
    <w:p w14:paraId="19C4886D" w14:textId="23B28216" w:rsidR="00C509A7" w:rsidRDefault="00C509A7">
      <w:pPr>
        <w:pStyle w:val="Style6"/>
        <w:shd w:val="clear" w:color="auto" w:fill="auto"/>
        <w:spacing w:line="324" w:lineRule="auto"/>
        <w:ind w:left="1380"/>
        <w:jc w:val="both"/>
      </w:pPr>
    </w:p>
    <w:p w14:paraId="12353A38" w14:textId="77777777" w:rsidR="00C509A7" w:rsidRDefault="00C509A7">
      <w:pPr>
        <w:pStyle w:val="Style6"/>
        <w:shd w:val="clear" w:color="auto" w:fill="auto"/>
        <w:spacing w:line="324" w:lineRule="auto"/>
        <w:ind w:left="1380"/>
        <w:jc w:val="both"/>
      </w:pPr>
    </w:p>
    <w:p w14:paraId="48CEE17A" w14:textId="77777777" w:rsidR="00E73CAD" w:rsidRDefault="00C509A7">
      <w:pPr>
        <w:pStyle w:val="Style6"/>
        <w:numPr>
          <w:ilvl w:val="0"/>
          <w:numId w:val="7"/>
        </w:numPr>
        <w:shd w:val="clear" w:color="auto" w:fill="auto"/>
        <w:tabs>
          <w:tab w:val="left" w:pos="677"/>
        </w:tabs>
        <w:jc w:val="both"/>
      </w:pPr>
      <w:r>
        <w:lastRenderedPageBreak/>
        <w:t>Součástí součinností obou smluvních stran je společný postup Objednatele a Dodavatele v rámci managementu plnění Předmětu Smlouvy, což představuje zejména účast Dodavatele na jednáních a řídících poradách; obě smluvní strany se tímto zavazují,</w:t>
      </w:r>
      <w:r>
        <w:t xml:space="preserve"> že si nebudou činit překážky ve společném postupu, který vede ke splnění cíle, jímž je zajištění kvalitního zobrazování obsahu na multimediálních </w:t>
      </w:r>
      <w:proofErr w:type="spellStart"/>
      <w:r>
        <w:t>playerech</w:t>
      </w:r>
      <w:proofErr w:type="spellEnd"/>
      <w:r>
        <w:t xml:space="preserve"> v rámci Národního muzea.</w:t>
      </w:r>
    </w:p>
    <w:p w14:paraId="43ACF26A" w14:textId="77777777" w:rsidR="00E73CAD" w:rsidRDefault="00C509A7">
      <w:pPr>
        <w:pStyle w:val="Style6"/>
        <w:numPr>
          <w:ilvl w:val="0"/>
          <w:numId w:val="7"/>
        </w:numPr>
        <w:shd w:val="clear" w:color="auto" w:fill="auto"/>
        <w:tabs>
          <w:tab w:val="left" w:pos="677"/>
        </w:tabs>
        <w:spacing w:line="326" w:lineRule="auto"/>
        <w:jc w:val="both"/>
      </w:pPr>
      <w:r>
        <w:t>Dodavatel souhlasí s tím, aby subjekty oprávněné dle zákona č. 320/2001 Sb</w:t>
      </w:r>
      <w:r>
        <w:t xml:space="preserve">., o finanční kontrole ve veřejné správě a o změně některých zákonů, ve znění pozdějších předpisů (dále jen </w:t>
      </w:r>
      <w:r>
        <w:rPr>
          <w:b/>
          <w:bCs/>
          <w:sz w:val="17"/>
          <w:szCs w:val="17"/>
        </w:rPr>
        <w:t xml:space="preserve">„Zákon o finanční kontrole") </w:t>
      </w:r>
      <w:r>
        <w:t>provedly finanční kontrolu závazkového vztahu vyplývajícího z této Smlouvy. Dodavatel je povinen ve smyslu ustanovení §</w:t>
      </w:r>
      <w:r>
        <w:t xml:space="preserve"> 2 písm. e) Zákona o finanční kontrole spolupracovat při výkonu finanční kontroly.</w:t>
      </w:r>
    </w:p>
    <w:p w14:paraId="5CDCB854" w14:textId="77777777" w:rsidR="00E73CAD" w:rsidRDefault="00C509A7">
      <w:pPr>
        <w:pStyle w:val="Style6"/>
        <w:numPr>
          <w:ilvl w:val="0"/>
          <w:numId w:val="7"/>
        </w:numPr>
        <w:shd w:val="clear" w:color="auto" w:fill="auto"/>
        <w:tabs>
          <w:tab w:val="left" w:pos="677"/>
        </w:tabs>
        <w:jc w:val="both"/>
      </w:pPr>
      <w:r>
        <w:t>Objednatel je právnickou osobou povinnou uveřejňovat stanovené smlouvy v registru smluv podle zákona č. 340/2015 Sb., o zvláštních podmínkách účinnosti některých smluv, uveř</w:t>
      </w:r>
      <w:r>
        <w:t xml:space="preserve">ejňování těchto smluv a registru smluv </w:t>
      </w:r>
      <w:r>
        <w:rPr>
          <w:b/>
          <w:bCs/>
          <w:sz w:val="17"/>
          <w:szCs w:val="17"/>
        </w:rPr>
        <w:t xml:space="preserve">(zákon o registru smluv), </w:t>
      </w:r>
      <w:r>
        <w:t xml:space="preserve">ve znění pozdějších předpisů. Žádné z ustanovení této Smlouvy tak nepodléhá obchodnímu tajemství. Objednatel je oprávněn znění Smlouvy v plném rozsahu zpřístupnit třetí osobě nebo na základě </w:t>
      </w:r>
      <w:r>
        <w:t>vlastního rozhodnutí nebo svých povinností zveřejnit.</w:t>
      </w:r>
    </w:p>
    <w:p w14:paraId="1A9856F8" w14:textId="77777777" w:rsidR="00E73CAD" w:rsidRDefault="00C509A7">
      <w:pPr>
        <w:pStyle w:val="Style6"/>
        <w:numPr>
          <w:ilvl w:val="0"/>
          <w:numId w:val="7"/>
        </w:numPr>
        <w:shd w:val="clear" w:color="auto" w:fill="auto"/>
        <w:tabs>
          <w:tab w:val="left" w:pos="677"/>
        </w:tabs>
        <w:spacing w:line="317" w:lineRule="auto"/>
        <w:jc w:val="both"/>
      </w:pPr>
      <w:r>
        <w:t xml:space="preserve">Dodavatel souhlasí bez jakýchkoliv výhrad se zveřejněním své identifikace a dalších </w:t>
      </w:r>
      <w:proofErr w:type="spellStart"/>
      <w:r>
        <w:t>ůdajů</w:t>
      </w:r>
      <w:proofErr w:type="spellEnd"/>
      <w:r>
        <w:t xml:space="preserve"> uvedených v této Smlouvě včetně ceny plnění Předmětu Smlouvy.</w:t>
      </w:r>
    </w:p>
    <w:p w14:paraId="614D2383" w14:textId="77777777" w:rsidR="00E73CAD" w:rsidRDefault="00C509A7">
      <w:pPr>
        <w:pStyle w:val="Style6"/>
        <w:numPr>
          <w:ilvl w:val="0"/>
          <w:numId w:val="7"/>
        </w:numPr>
        <w:shd w:val="clear" w:color="auto" w:fill="auto"/>
        <w:tabs>
          <w:tab w:val="left" w:pos="677"/>
        </w:tabs>
        <w:spacing w:line="322" w:lineRule="auto"/>
        <w:jc w:val="both"/>
      </w:pPr>
      <w:r>
        <w:t>Dodavatel je povinen dokumenty související s posky</w:t>
      </w:r>
      <w:r>
        <w:t>továním dodávek dle této Smlouvy uchovávat nejméně po dobu deseti (10) let od konce účetního období, ve kterém došlo k zaplacení poslední části ceny poskytnutých dodávek, popřípadě k poslednímu zdanitelnému plnění dle této Smlouvy, a to zejména pro účely k</w:t>
      </w:r>
      <w:r>
        <w:t>ontroly oprávněnými kontrolními orgány.</w:t>
      </w:r>
    </w:p>
    <w:p w14:paraId="67583400" w14:textId="77777777" w:rsidR="00E73CAD" w:rsidRDefault="00C509A7">
      <w:pPr>
        <w:pStyle w:val="Style6"/>
        <w:numPr>
          <w:ilvl w:val="0"/>
          <w:numId w:val="7"/>
        </w:numPr>
        <w:shd w:val="clear" w:color="auto" w:fill="auto"/>
        <w:tabs>
          <w:tab w:val="left" w:pos="677"/>
        </w:tabs>
        <w:spacing w:line="322" w:lineRule="auto"/>
        <w:jc w:val="both"/>
      </w:pPr>
      <w:r>
        <w:t>Dodavatel je povinen umožnit kontrolu dokumentů souvisejících s poskytováním služeb dle této Smlouvy ze strany Objednatele a orgánů oprávněných k provádění kontroly, a to zejména ze strany Ministerstva kultury ČR, Mi</w:t>
      </w:r>
      <w:r>
        <w:t>nisterstva financí ČR, územních finančních orgánů, Nejvyššího kontrolního úřadu, případně dalších orgánů oprávněných k výkonu kontroly a ze strany třetích osob, které tyto orgány ke kontrole pověří nebo zmocní.</w:t>
      </w:r>
    </w:p>
    <w:p w14:paraId="3DCFD4EB" w14:textId="77777777" w:rsidR="00E73CAD" w:rsidRDefault="00C509A7">
      <w:pPr>
        <w:pStyle w:val="Style6"/>
        <w:shd w:val="clear" w:color="auto" w:fill="auto"/>
        <w:spacing w:after="0" w:line="338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VII.</w:t>
      </w:r>
    </w:p>
    <w:p w14:paraId="69280AF1" w14:textId="77777777" w:rsidR="00E73CAD" w:rsidRDefault="00C509A7">
      <w:pPr>
        <w:pStyle w:val="Style6"/>
        <w:shd w:val="clear" w:color="auto" w:fill="auto"/>
        <w:spacing w:after="0" w:line="338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Postup a organizace plnění </w:t>
      </w:r>
      <w:r>
        <w:rPr>
          <w:b/>
          <w:bCs/>
          <w:sz w:val="17"/>
          <w:szCs w:val="17"/>
        </w:rPr>
        <w:t>Předmětu Smlouvy</w:t>
      </w:r>
    </w:p>
    <w:p w14:paraId="4038BC02" w14:textId="77777777" w:rsidR="00E73CAD" w:rsidRDefault="00C509A7">
      <w:pPr>
        <w:pStyle w:val="Style6"/>
        <w:numPr>
          <w:ilvl w:val="0"/>
          <w:numId w:val="10"/>
        </w:numPr>
        <w:shd w:val="clear" w:color="auto" w:fill="auto"/>
        <w:tabs>
          <w:tab w:val="left" w:pos="677"/>
        </w:tabs>
        <w:jc w:val="both"/>
      </w:pPr>
      <w:r>
        <w:t>Dodavatel se zavazuje neomezit provoz v budovách Objednatele a nenarušit bezpečnost návštěvníků ani dalších osob po celou dobu plnění Předmětu Smlouvy. Dodavatel se zavazuje dodržovat režim pohybu pracovníků Dodavatele v areálech objektů O</w:t>
      </w:r>
      <w:r>
        <w:t>bjednatele dohodnutý při předání výstavního prostoru.</w:t>
      </w:r>
    </w:p>
    <w:p w14:paraId="5B916740" w14:textId="77777777" w:rsidR="00E73CAD" w:rsidRDefault="00C509A7">
      <w:pPr>
        <w:pStyle w:val="Style6"/>
        <w:numPr>
          <w:ilvl w:val="0"/>
          <w:numId w:val="10"/>
        </w:numPr>
        <w:shd w:val="clear" w:color="auto" w:fill="auto"/>
        <w:tabs>
          <w:tab w:val="left" w:pos="677"/>
        </w:tabs>
        <w:spacing w:line="322" w:lineRule="auto"/>
        <w:jc w:val="both"/>
      </w:pPr>
      <w:r>
        <w:t>Dodavatel je povinen při plnění Předmětu Smlouvy nepoškodit žádnou část budovy Objednatele, která není předmětem plnění, případné poškozené části uvést v předchozí funkční stav. Dodavatel je povinen při</w:t>
      </w:r>
      <w:r>
        <w:t xml:space="preserve"> stavbě zakrýt podlahové krytiny ve všech použitých prostorách dle přání Objednatele.</w:t>
      </w:r>
    </w:p>
    <w:p w14:paraId="7432E9DF" w14:textId="77777777" w:rsidR="00E73CAD" w:rsidRDefault="00C509A7">
      <w:pPr>
        <w:pStyle w:val="Style6"/>
        <w:numPr>
          <w:ilvl w:val="0"/>
          <w:numId w:val="10"/>
        </w:numPr>
        <w:shd w:val="clear" w:color="auto" w:fill="auto"/>
        <w:tabs>
          <w:tab w:val="left" w:pos="677"/>
        </w:tabs>
        <w:spacing w:line="324" w:lineRule="auto"/>
        <w:jc w:val="both"/>
      </w:pPr>
      <w:r>
        <w:t>Dodavatel bere na vědomí, že v budovách Objednatele mohou probíhat další stavební práce související s otevřením expozic a zavazuje se k maximální součinnosti s těmito sub</w:t>
      </w:r>
      <w:r>
        <w:t>jekty.</w:t>
      </w:r>
    </w:p>
    <w:p w14:paraId="6043183B" w14:textId="745466FF" w:rsidR="00E73CAD" w:rsidRDefault="00C509A7">
      <w:pPr>
        <w:pStyle w:val="Style6"/>
        <w:shd w:val="clear" w:color="auto" w:fill="auto"/>
        <w:spacing w:after="0" w:line="336" w:lineRule="auto"/>
        <w:jc w:val="center"/>
        <w:rPr>
          <w:sz w:val="17"/>
          <w:szCs w:val="17"/>
        </w:rPr>
      </w:pPr>
      <w:proofErr w:type="spellStart"/>
      <w:r>
        <w:rPr>
          <w:b/>
          <w:bCs/>
          <w:sz w:val="17"/>
          <w:szCs w:val="17"/>
        </w:rPr>
        <w:t>VlI</w:t>
      </w:r>
      <w:r>
        <w:rPr>
          <w:b/>
          <w:bCs/>
          <w:sz w:val="17"/>
          <w:szCs w:val="17"/>
        </w:rPr>
        <w:t>l</w:t>
      </w:r>
      <w:proofErr w:type="spellEnd"/>
      <w:r>
        <w:rPr>
          <w:b/>
          <w:bCs/>
          <w:sz w:val="17"/>
          <w:szCs w:val="17"/>
        </w:rPr>
        <w:t>.</w:t>
      </w:r>
    </w:p>
    <w:p w14:paraId="090571F8" w14:textId="77777777" w:rsidR="00E73CAD" w:rsidRDefault="00C509A7">
      <w:pPr>
        <w:pStyle w:val="Style6"/>
        <w:shd w:val="clear" w:color="auto" w:fill="auto"/>
        <w:spacing w:after="0" w:line="336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Vlastnictví obsahu</w:t>
      </w:r>
    </w:p>
    <w:p w14:paraId="30F1E51A" w14:textId="65003CF8" w:rsidR="00E73CAD" w:rsidRDefault="00C509A7">
      <w:pPr>
        <w:pStyle w:val="Style6"/>
        <w:numPr>
          <w:ilvl w:val="0"/>
          <w:numId w:val="11"/>
        </w:numPr>
        <w:shd w:val="clear" w:color="auto" w:fill="auto"/>
        <w:tabs>
          <w:tab w:val="left" w:pos="677"/>
        </w:tabs>
        <w:spacing w:line="317" w:lineRule="auto"/>
        <w:jc w:val="both"/>
      </w:pPr>
      <w:r>
        <w:t>Objednatel je vlastníkem veškerého multimediálního obsahu a jiných dat zpracovávaných software.</w:t>
      </w:r>
    </w:p>
    <w:p w14:paraId="552FEB81" w14:textId="2A6AA5E8" w:rsidR="00C509A7" w:rsidRDefault="00C509A7" w:rsidP="00C509A7">
      <w:pPr>
        <w:pStyle w:val="Style6"/>
        <w:shd w:val="clear" w:color="auto" w:fill="auto"/>
        <w:tabs>
          <w:tab w:val="left" w:pos="677"/>
        </w:tabs>
        <w:spacing w:line="317" w:lineRule="auto"/>
        <w:jc w:val="both"/>
      </w:pPr>
    </w:p>
    <w:p w14:paraId="586B7A4A" w14:textId="6787E496" w:rsidR="00C509A7" w:rsidRDefault="00C509A7" w:rsidP="00C509A7">
      <w:pPr>
        <w:pStyle w:val="Style6"/>
        <w:shd w:val="clear" w:color="auto" w:fill="auto"/>
        <w:tabs>
          <w:tab w:val="left" w:pos="677"/>
        </w:tabs>
        <w:spacing w:line="317" w:lineRule="auto"/>
        <w:jc w:val="both"/>
      </w:pPr>
    </w:p>
    <w:p w14:paraId="6359463A" w14:textId="77777777" w:rsidR="00C509A7" w:rsidRDefault="00C509A7" w:rsidP="00C509A7">
      <w:pPr>
        <w:pStyle w:val="Style6"/>
        <w:shd w:val="clear" w:color="auto" w:fill="auto"/>
        <w:tabs>
          <w:tab w:val="left" w:pos="677"/>
        </w:tabs>
        <w:spacing w:line="317" w:lineRule="auto"/>
        <w:jc w:val="both"/>
      </w:pPr>
    </w:p>
    <w:p w14:paraId="4AEEDE27" w14:textId="77777777" w:rsidR="00E73CAD" w:rsidRDefault="00C509A7">
      <w:pPr>
        <w:pStyle w:val="Style6"/>
        <w:shd w:val="clear" w:color="auto" w:fill="auto"/>
        <w:spacing w:after="0" w:line="341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  <w:lang w:val="en-US" w:eastAsia="en-US" w:bidi="en-US"/>
        </w:rPr>
        <w:lastRenderedPageBreak/>
        <w:t>IX.</w:t>
      </w:r>
    </w:p>
    <w:p w14:paraId="48CD517D" w14:textId="77777777" w:rsidR="00E73CAD" w:rsidRDefault="00C509A7">
      <w:pPr>
        <w:pStyle w:val="Style6"/>
        <w:shd w:val="clear" w:color="auto" w:fill="auto"/>
        <w:spacing w:after="0" w:line="341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Smluvní pokuty</w:t>
      </w:r>
    </w:p>
    <w:p w14:paraId="07BC01A7" w14:textId="77777777" w:rsidR="00E73CAD" w:rsidRDefault="00C509A7">
      <w:pPr>
        <w:pStyle w:val="Style6"/>
        <w:numPr>
          <w:ilvl w:val="0"/>
          <w:numId w:val="12"/>
        </w:numPr>
        <w:shd w:val="clear" w:color="auto" w:fill="auto"/>
        <w:tabs>
          <w:tab w:val="left" w:pos="672"/>
        </w:tabs>
        <w:spacing w:line="324" w:lineRule="auto"/>
        <w:jc w:val="both"/>
      </w:pPr>
      <w:r>
        <w:t xml:space="preserve">V případě nedodržení termínu plnění stanoveného dle ČI. lil, odst. 2 této Smlouvy, uhradí Dodavatel </w:t>
      </w:r>
      <w:r>
        <w:t>Objednateli smluvní pokutu ve výši 5.000 Kč za každý i započatý den prodlení.</w:t>
      </w:r>
    </w:p>
    <w:p w14:paraId="529823F5" w14:textId="77777777" w:rsidR="00E73CAD" w:rsidRDefault="00C509A7">
      <w:pPr>
        <w:pStyle w:val="Style6"/>
        <w:numPr>
          <w:ilvl w:val="0"/>
          <w:numId w:val="12"/>
        </w:numPr>
        <w:shd w:val="clear" w:color="auto" w:fill="auto"/>
        <w:tabs>
          <w:tab w:val="left" w:pos="672"/>
        </w:tabs>
        <w:spacing w:line="317" w:lineRule="auto"/>
        <w:jc w:val="both"/>
      </w:pPr>
      <w:r>
        <w:t xml:space="preserve">Při prodlení s odstraněním vad a nedodělků oproti lhůtám uvedeným v ČI. V této Smlouvy vznikne Dodavateli povinnost uhradit Objednateli smluvní pokutu ve výši 1.000 Kč za každou </w:t>
      </w:r>
      <w:r>
        <w:t>vadu, případně nedodělek a každý i započatý den prodlení.</w:t>
      </w:r>
    </w:p>
    <w:p w14:paraId="31A84200" w14:textId="77777777" w:rsidR="00E73CAD" w:rsidRDefault="00C509A7">
      <w:pPr>
        <w:pStyle w:val="Style6"/>
        <w:numPr>
          <w:ilvl w:val="0"/>
          <w:numId w:val="12"/>
        </w:numPr>
        <w:shd w:val="clear" w:color="auto" w:fill="auto"/>
        <w:tabs>
          <w:tab w:val="left" w:pos="672"/>
        </w:tabs>
        <w:jc w:val="both"/>
      </w:pPr>
      <w:r>
        <w:t xml:space="preserve">V případě, kdy z důvodu </w:t>
      </w:r>
      <w:proofErr w:type="spellStart"/>
      <w:r>
        <w:t>neaktualizace</w:t>
      </w:r>
      <w:proofErr w:type="spellEnd"/>
      <w:r>
        <w:t xml:space="preserve"> software nastane částečná nefunkčnost software, tj. nebude funkční některá z Objednatelem požadovaných nebo Dodavatelem nabídnutých funkcionalit, vznikne Dodava</w:t>
      </w:r>
      <w:r>
        <w:t>teli povinnost uhradit Objednateli smluvní pokutu ve výši 25.000 Kč za každou nefunkční funkcionalitu a následně 1.000 Kč za i započatý den a každou nefunkční funkcionalitu, a to až do zprovoznění dané funkcionality, nebo ukončení této Smlouvy.</w:t>
      </w:r>
    </w:p>
    <w:p w14:paraId="1EF8C53B" w14:textId="77777777" w:rsidR="00E73CAD" w:rsidRDefault="00C509A7">
      <w:pPr>
        <w:pStyle w:val="Style6"/>
        <w:numPr>
          <w:ilvl w:val="0"/>
          <w:numId w:val="12"/>
        </w:numPr>
        <w:shd w:val="clear" w:color="auto" w:fill="auto"/>
        <w:tabs>
          <w:tab w:val="left" w:pos="672"/>
        </w:tabs>
        <w:jc w:val="both"/>
      </w:pPr>
      <w:r>
        <w:t xml:space="preserve">V případě, </w:t>
      </w:r>
      <w:r>
        <w:t xml:space="preserve">kdy z důvodu </w:t>
      </w:r>
      <w:proofErr w:type="spellStart"/>
      <w:r>
        <w:t>neaktualizace</w:t>
      </w:r>
      <w:proofErr w:type="spellEnd"/>
      <w:r>
        <w:t xml:space="preserve"> software nastane plná nefunkčnost software, tj. Na </w:t>
      </w:r>
      <w:proofErr w:type="spellStart"/>
      <w:r>
        <w:t>playerech</w:t>
      </w:r>
      <w:proofErr w:type="spellEnd"/>
      <w:r>
        <w:t xml:space="preserve"> Objednatele nebude při použití software zobrazován audiovizuální obsah Objednatele, vznikne Dodavateli povinnost uhradit Objednateli smluvní pokutu ve výši 100.000 Kč a</w:t>
      </w:r>
      <w:r>
        <w:t xml:space="preserve"> následně 4.000 Kč za i započatý den, a to až do zprovoznění software, nebo ukončení této Smlouvy.</w:t>
      </w:r>
    </w:p>
    <w:p w14:paraId="48B329FF" w14:textId="77777777" w:rsidR="00E73CAD" w:rsidRDefault="00C509A7">
      <w:pPr>
        <w:pStyle w:val="Style6"/>
        <w:numPr>
          <w:ilvl w:val="0"/>
          <w:numId w:val="12"/>
        </w:numPr>
        <w:shd w:val="clear" w:color="auto" w:fill="auto"/>
        <w:tabs>
          <w:tab w:val="left" w:pos="672"/>
        </w:tabs>
        <w:spacing w:line="317" w:lineRule="auto"/>
        <w:jc w:val="both"/>
      </w:pPr>
      <w:r>
        <w:t>Objednatel je dále oprávněn požadovat po Dodavateli úhradu smluvní pokuty, pokud Objednatel odstoupil od smlouvy z důvodu vadného plnění na straně Dodavatele</w:t>
      </w:r>
      <w:r>
        <w:t>, výše smluvní pokuty činí v takovém případě 5 % z celkové ceny plnění Předmětu Smlouvy.</w:t>
      </w:r>
    </w:p>
    <w:p w14:paraId="1C5EF301" w14:textId="77777777" w:rsidR="00E73CAD" w:rsidRDefault="00C509A7">
      <w:pPr>
        <w:pStyle w:val="Style6"/>
        <w:numPr>
          <w:ilvl w:val="0"/>
          <w:numId w:val="12"/>
        </w:numPr>
        <w:shd w:val="clear" w:color="auto" w:fill="auto"/>
        <w:tabs>
          <w:tab w:val="left" w:pos="672"/>
        </w:tabs>
        <w:spacing w:line="317" w:lineRule="auto"/>
        <w:jc w:val="both"/>
      </w:pPr>
      <w:r>
        <w:t>V případě prodlení Objednatele s placením faktur uhradí Objednatel Dodavateli úrok z prodlení ve výši stanovené právními předpisy.</w:t>
      </w:r>
    </w:p>
    <w:p w14:paraId="019D3F44" w14:textId="77777777" w:rsidR="00E73CAD" w:rsidRDefault="00C509A7">
      <w:pPr>
        <w:pStyle w:val="Style6"/>
        <w:numPr>
          <w:ilvl w:val="0"/>
          <w:numId w:val="12"/>
        </w:numPr>
        <w:shd w:val="clear" w:color="auto" w:fill="auto"/>
        <w:tabs>
          <w:tab w:val="left" w:pos="672"/>
        </w:tabs>
        <w:jc w:val="both"/>
      </w:pPr>
      <w:r>
        <w:t>Smluvní pokutu může Objednatel odečí</w:t>
      </w:r>
      <w:r>
        <w:t>st z účetních dokladů Dodavatele formou zápočtu.</w:t>
      </w:r>
    </w:p>
    <w:p w14:paraId="0890B546" w14:textId="77777777" w:rsidR="00E73CAD" w:rsidRDefault="00C509A7">
      <w:pPr>
        <w:pStyle w:val="Style6"/>
        <w:numPr>
          <w:ilvl w:val="0"/>
          <w:numId w:val="12"/>
        </w:numPr>
        <w:shd w:val="clear" w:color="auto" w:fill="auto"/>
        <w:tabs>
          <w:tab w:val="left" w:pos="672"/>
        </w:tabs>
        <w:spacing w:line="324" w:lineRule="auto"/>
        <w:jc w:val="both"/>
      </w:pPr>
      <w:r>
        <w:t xml:space="preserve">Smluvní pokuty sjednané touto Smlouvou hradí povinná strana nezávisle na tom, zda a v jaké výši vznikne druhé straně škoda, kterou lze vymáhat samostatně a bez ohledu na její výši. Vylučuje se použití </w:t>
      </w:r>
      <w:r>
        <w:t>§2050 Občanského zákoníku, smluvní pokuta se do náhrady škody nezapočítává</w:t>
      </w:r>
    </w:p>
    <w:p w14:paraId="3287004B" w14:textId="77777777" w:rsidR="00E73CAD" w:rsidRDefault="00C509A7">
      <w:pPr>
        <w:pStyle w:val="Style6"/>
        <w:shd w:val="clear" w:color="auto" w:fill="auto"/>
        <w:spacing w:after="0" w:line="336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X.</w:t>
      </w:r>
    </w:p>
    <w:p w14:paraId="002315A1" w14:textId="77777777" w:rsidR="00E73CAD" w:rsidRDefault="00C509A7">
      <w:pPr>
        <w:pStyle w:val="Style6"/>
        <w:shd w:val="clear" w:color="auto" w:fill="auto"/>
        <w:spacing w:after="0" w:line="336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Ukončení smlouvy</w:t>
      </w:r>
    </w:p>
    <w:p w14:paraId="5D016B2F" w14:textId="77777777" w:rsidR="00E73CAD" w:rsidRDefault="00C509A7">
      <w:pPr>
        <w:pStyle w:val="Style6"/>
        <w:numPr>
          <w:ilvl w:val="0"/>
          <w:numId w:val="13"/>
        </w:numPr>
        <w:shd w:val="clear" w:color="auto" w:fill="auto"/>
        <w:tabs>
          <w:tab w:val="left" w:pos="672"/>
        </w:tabs>
        <w:spacing w:line="317" w:lineRule="auto"/>
        <w:jc w:val="both"/>
      </w:pPr>
      <w:r>
        <w:t>Smlouvu je možné ukončit vzájemnou dohodou smluvních stran, výpovědí nebo odstoupením od smlouvy.</w:t>
      </w:r>
    </w:p>
    <w:p w14:paraId="1A79DA49" w14:textId="77777777" w:rsidR="00E73CAD" w:rsidRDefault="00C509A7">
      <w:pPr>
        <w:pStyle w:val="Style6"/>
        <w:numPr>
          <w:ilvl w:val="0"/>
          <w:numId w:val="13"/>
        </w:numPr>
        <w:shd w:val="clear" w:color="auto" w:fill="auto"/>
        <w:tabs>
          <w:tab w:val="left" w:pos="672"/>
        </w:tabs>
        <w:spacing w:line="317" w:lineRule="auto"/>
        <w:jc w:val="both"/>
      </w:pPr>
      <w:r>
        <w:t>Vypovědět tuto Smlouvu je možné pouze písemně. Výpovědní doba j</w:t>
      </w:r>
      <w:r>
        <w:t>e šestiměsíční a začíná běžet prvním dnem měsíce následujícího po doručení výpovědi druhé straně. Dodavatel není oprávněn tuto Smlouvu vypovědět v prvních 48 měsících její účinnosti.</w:t>
      </w:r>
    </w:p>
    <w:p w14:paraId="4FB7D16D" w14:textId="77777777" w:rsidR="00E73CAD" w:rsidRDefault="00C509A7">
      <w:pPr>
        <w:pStyle w:val="Style6"/>
        <w:numPr>
          <w:ilvl w:val="0"/>
          <w:numId w:val="13"/>
        </w:numPr>
        <w:shd w:val="clear" w:color="auto" w:fill="auto"/>
        <w:tabs>
          <w:tab w:val="left" w:pos="672"/>
        </w:tabs>
        <w:spacing w:line="317" w:lineRule="auto"/>
        <w:jc w:val="both"/>
      </w:pPr>
      <w:r>
        <w:t xml:space="preserve">Bez ohledu na jiná ujednání této Smlouvy, každá ze stran je oprávněna od </w:t>
      </w:r>
      <w:r>
        <w:t>této Smlouvy odstoupit pouze v případě, že byla druhá smluvní strana na možnost odstoupení od smlouvy písemně upozorněna a taková smluvní strana nezjednala nápravu ani do 14 dnů ode dne doručení výzvy ke zjednání nápravy.</w:t>
      </w:r>
    </w:p>
    <w:p w14:paraId="59EA1132" w14:textId="77777777" w:rsidR="00E73CAD" w:rsidRDefault="00C509A7">
      <w:pPr>
        <w:pStyle w:val="Style6"/>
        <w:numPr>
          <w:ilvl w:val="0"/>
          <w:numId w:val="13"/>
        </w:numPr>
        <w:shd w:val="clear" w:color="auto" w:fill="auto"/>
        <w:tabs>
          <w:tab w:val="left" w:pos="672"/>
        </w:tabs>
        <w:jc w:val="both"/>
      </w:pPr>
      <w:r>
        <w:t xml:space="preserve">Objednatel je oprávněn od Smlouvy </w:t>
      </w:r>
      <w:r>
        <w:t>odstoupit v případě podstatného porušení povinností ze strany Dodavatele. Odstoupení musí být učiněno písemně a je účinné okamžikem jeho doručení druhé smluvní straně. Za podstatné porušení povinností se pro účely této Smlouvy považuje:</w:t>
      </w:r>
    </w:p>
    <w:p w14:paraId="03A299C3" w14:textId="77777777" w:rsidR="00E73CAD" w:rsidRDefault="00C509A7">
      <w:pPr>
        <w:pStyle w:val="Style6"/>
        <w:shd w:val="clear" w:color="auto" w:fill="auto"/>
        <w:ind w:firstLine="700"/>
        <w:jc w:val="both"/>
      </w:pPr>
      <w:r>
        <w:t>• prodlení Dodavatele s poskytnutím plnění po dobu delší než 30 kalendářních dnů; opakovaná neúčast Dodavatele na dohodnutých jednáních v rámci doby platnosti Smlouvy po dobu delší než 30 kalendářních dnů;</w:t>
      </w:r>
    </w:p>
    <w:p w14:paraId="0FF18537" w14:textId="77777777" w:rsidR="00E73CAD" w:rsidRDefault="00C509A7">
      <w:pPr>
        <w:pStyle w:val="Style6"/>
        <w:numPr>
          <w:ilvl w:val="0"/>
          <w:numId w:val="14"/>
        </w:numPr>
        <w:shd w:val="clear" w:color="auto" w:fill="auto"/>
        <w:tabs>
          <w:tab w:val="left" w:pos="1360"/>
        </w:tabs>
        <w:spacing w:line="317" w:lineRule="auto"/>
        <w:ind w:left="1340" w:hanging="640"/>
        <w:jc w:val="both"/>
      </w:pPr>
      <w:r>
        <w:lastRenderedPageBreak/>
        <w:t xml:space="preserve">prodlení Dodavatele s odstraněním vad a nedodělků </w:t>
      </w:r>
      <w:r>
        <w:t>dle této Smlouvy o více než 14 kalendářních dnů po dohodnuté nebo touto Smlouvou stanovené lhůtě;</w:t>
      </w:r>
    </w:p>
    <w:p w14:paraId="3F904B5F" w14:textId="77777777" w:rsidR="00E73CAD" w:rsidRDefault="00C509A7">
      <w:pPr>
        <w:pStyle w:val="Style6"/>
        <w:numPr>
          <w:ilvl w:val="0"/>
          <w:numId w:val="14"/>
        </w:numPr>
        <w:shd w:val="clear" w:color="auto" w:fill="auto"/>
        <w:tabs>
          <w:tab w:val="left" w:pos="1360"/>
        </w:tabs>
        <w:spacing w:line="317" w:lineRule="auto"/>
        <w:ind w:left="1340" w:hanging="640"/>
        <w:jc w:val="both"/>
      </w:pPr>
      <w:r>
        <w:t xml:space="preserve">nastane plná nebo částečná nefunkčnost software, jak je popsána v čl. IX odst. 3 a 4 této Smlouvy z důvodu </w:t>
      </w:r>
      <w:proofErr w:type="spellStart"/>
      <w:r>
        <w:t>neaktualizace</w:t>
      </w:r>
      <w:proofErr w:type="spellEnd"/>
      <w:r>
        <w:t xml:space="preserve"> software.</w:t>
      </w:r>
    </w:p>
    <w:p w14:paraId="1DA864CA" w14:textId="77777777" w:rsidR="00E73CAD" w:rsidRDefault="00C509A7">
      <w:pPr>
        <w:pStyle w:val="Style6"/>
        <w:numPr>
          <w:ilvl w:val="0"/>
          <w:numId w:val="13"/>
        </w:numPr>
        <w:shd w:val="clear" w:color="auto" w:fill="auto"/>
        <w:tabs>
          <w:tab w:val="left" w:pos="674"/>
        </w:tabs>
        <w:spacing w:line="322" w:lineRule="auto"/>
        <w:jc w:val="both"/>
      </w:pPr>
      <w:r>
        <w:t>Objednatel je oprávněn od S</w:t>
      </w:r>
      <w:r>
        <w:t>mlouvy odstoupit v případě, že v jejím plnění nelze pokračovat, aniž by byla porušena pravidla uvedená v § 222 zákona č. 134/2016 Sb., o zadávání veřejných zakázek, ve znění pozdějších předpisů (dále jen „ZZVZ"), tj. aniž by Objednatel umožnil podstatnou z</w:t>
      </w:r>
      <w:r>
        <w:t>měnu závazku z této Smlouvy.</w:t>
      </w:r>
    </w:p>
    <w:p w14:paraId="602F54B9" w14:textId="77777777" w:rsidR="00E73CAD" w:rsidRDefault="00C509A7">
      <w:pPr>
        <w:pStyle w:val="Style6"/>
        <w:numPr>
          <w:ilvl w:val="0"/>
          <w:numId w:val="13"/>
        </w:numPr>
        <w:shd w:val="clear" w:color="auto" w:fill="auto"/>
        <w:tabs>
          <w:tab w:val="left" w:pos="674"/>
        </w:tabs>
        <w:jc w:val="both"/>
      </w:pPr>
      <w:r>
        <w:t xml:space="preserve">Objednatel bude dále oprávněn od Smlouvy odstoupit v případě, že v insolvenčním řízení týkajícím se Dodavatele bude vydáno rozhodnutí o úpadku, anebo i v případě, že </w:t>
      </w:r>
      <w:proofErr w:type="spellStart"/>
      <w:r>
        <w:t>insoivenční</w:t>
      </w:r>
      <w:proofErr w:type="spellEnd"/>
      <w:r>
        <w:t xml:space="preserve"> návrh bude zamítnut proto, že majetek Dodavatele </w:t>
      </w:r>
      <w:r>
        <w:t>nebude postačovat k úhradě nákladů insolvenčního řízení, a rovněž pak v případě, kdy Dodavatel vstoupí do likvidace.</w:t>
      </w:r>
    </w:p>
    <w:p w14:paraId="12D23805" w14:textId="77777777" w:rsidR="00E73CAD" w:rsidRDefault="00C509A7">
      <w:pPr>
        <w:pStyle w:val="Style6"/>
        <w:numPr>
          <w:ilvl w:val="0"/>
          <w:numId w:val="13"/>
        </w:numPr>
        <w:shd w:val="clear" w:color="auto" w:fill="auto"/>
        <w:tabs>
          <w:tab w:val="left" w:pos="674"/>
        </w:tabs>
        <w:spacing w:line="324" w:lineRule="auto"/>
        <w:jc w:val="both"/>
      </w:pPr>
      <w:r>
        <w:t>Dodavatel bude oprávněn od této Smlouvy odstoupit v případě, že Objednatel bude v prodlení s úhradou peněžitých závazků vůči Dodavateli vyp</w:t>
      </w:r>
      <w:r>
        <w:t>lývajících z této Smlouvy po dobu delší než 50 (padesát) kalendářních dnů od uplynutí splatnosti příslušné faktury, a to po předchozím písemném upozornění na toto prodlení.</w:t>
      </w:r>
    </w:p>
    <w:p w14:paraId="25BBC021" w14:textId="77777777" w:rsidR="00E73CAD" w:rsidRDefault="00C509A7">
      <w:pPr>
        <w:pStyle w:val="Style6"/>
        <w:numPr>
          <w:ilvl w:val="0"/>
          <w:numId w:val="13"/>
        </w:numPr>
        <w:shd w:val="clear" w:color="auto" w:fill="auto"/>
        <w:tabs>
          <w:tab w:val="left" w:pos="674"/>
        </w:tabs>
        <w:spacing w:line="324" w:lineRule="auto"/>
        <w:jc w:val="both"/>
      </w:pPr>
      <w:r>
        <w:t>Účinky odstoupení od této Smlouvy nastanou okamžikem doručení písemného projevu vůl</w:t>
      </w:r>
      <w:r>
        <w:t>e obsahujícího odstoupení od této Smlouvy druhé smluvní straně.</w:t>
      </w:r>
    </w:p>
    <w:p w14:paraId="2EC68130" w14:textId="77777777" w:rsidR="00E73CAD" w:rsidRDefault="00C509A7">
      <w:pPr>
        <w:pStyle w:val="Style6"/>
        <w:shd w:val="clear" w:color="auto" w:fill="auto"/>
        <w:spacing w:after="0" w:line="348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XI.</w:t>
      </w:r>
    </w:p>
    <w:p w14:paraId="1056E80E" w14:textId="77777777" w:rsidR="00E73CAD" w:rsidRDefault="00C509A7">
      <w:pPr>
        <w:pStyle w:val="Style6"/>
        <w:shd w:val="clear" w:color="auto" w:fill="auto"/>
        <w:spacing w:after="0" w:line="348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Závěrečná ustanovení</w:t>
      </w:r>
    </w:p>
    <w:p w14:paraId="71111DDA" w14:textId="77777777" w:rsidR="00E73CAD" w:rsidRDefault="00C509A7">
      <w:pPr>
        <w:pStyle w:val="Style6"/>
        <w:numPr>
          <w:ilvl w:val="0"/>
          <w:numId w:val="15"/>
        </w:numPr>
        <w:shd w:val="clear" w:color="auto" w:fill="auto"/>
        <w:tabs>
          <w:tab w:val="left" w:pos="674"/>
        </w:tabs>
        <w:spacing w:line="329" w:lineRule="auto"/>
        <w:jc w:val="both"/>
      </w:pPr>
      <w:r>
        <w:t>Dodavatel má právo jakékoliv realizované plnění prezentovat jako Dodavatel a uvádět jako svou referenci.</w:t>
      </w:r>
    </w:p>
    <w:p w14:paraId="38B319F3" w14:textId="77777777" w:rsidR="00E73CAD" w:rsidRDefault="00C509A7">
      <w:pPr>
        <w:pStyle w:val="Style6"/>
        <w:numPr>
          <w:ilvl w:val="0"/>
          <w:numId w:val="15"/>
        </w:numPr>
        <w:shd w:val="clear" w:color="auto" w:fill="auto"/>
        <w:tabs>
          <w:tab w:val="left" w:pos="674"/>
        </w:tabs>
        <w:spacing w:line="317" w:lineRule="auto"/>
        <w:jc w:val="both"/>
      </w:pPr>
      <w:r>
        <w:t xml:space="preserve">Smlouva nabývá platnosti dnem podpisu oběma smluvními </w:t>
      </w:r>
      <w:r>
        <w:t>stranami a účinnosti dnem zveřejnění v registru smluv podle zákona o registru smluv.</w:t>
      </w:r>
    </w:p>
    <w:p w14:paraId="49F74C87" w14:textId="77777777" w:rsidR="00E73CAD" w:rsidRDefault="00C509A7">
      <w:pPr>
        <w:pStyle w:val="Style6"/>
        <w:numPr>
          <w:ilvl w:val="0"/>
          <w:numId w:val="15"/>
        </w:numPr>
        <w:shd w:val="clear" w:color="auto" w:fill="auto"/>
        <w:tabs>
          <w:tab w:val="left" w:pos="674"/>
        </w:tabs>
        <w:spacing w:line="324" w:lineRule="auto"/>
        <w:jc w:val="both"/>
        <w:rPr>
          <w:sz w:val="17"/>
          <w:szCs w:val="17"/>
        </w:rPr>
      </w:pPr>
      <w:r>
        <w:t xml:space="preserve">Nedílnou součástí této Smlouvy jsou všechny její přílohy </w:t>
      </w:r>
      <w:r>
        <w:rPr>
          <w:b/>
          <w:bCs/>
          <w:sz w:val="17"/>
          <w:szCs w:val="17"/>
        </w:rPr>
        <w:t xml:space="preserve">č. </w:t>
      </w:r>
      <w:proofErr w:type="gramStart"/>
      <w:r>
        <w:rPr>
          <w:b/>
          <w:bCs/>
          <w:sz w:val="17"/>
          <w:szCs w:val="17"/>
        </w:rPr>
        <w:t>1 - 5</w:t>
      </w:r>
      <w:proofErr w:type="gramEnd"/>
      <w:r>
        <w:rPr>
          <w:b/>
          <w:bCs/>
          <w:sz w:val="17"/>
          <w:szCs w:val="17"/>
        </w:rPr>
        <w:t>.</w:t>
      </w:r>
    </w:p>
    <w:p w14:paraId="2F3FBB4C" w14:textId="77777777" w:rsidR="00E73CAD" w:rsidRDefault="00C509A7">
      <w:pPr>
        <w:pStyle w:val="Style6"/>
        <w:numPr>
          <w:ilvl w:val="0"/>
          <w:numId w:val="15"/>
        </w:numPr>
        <w:shd w:val="clear" w:color="auto" w:fill="auto"/>
        <w:tabs>
          <w:tab w:val="left" w:pos="674"/>
        </w:tabs>
        <w:spacing w:line="324" w:lineRule="auto"/>
        <w:jc w:val="both"/>
      </w:pPr>
      <w:r>
        <w:t>Tato Smlouva se řídí právním řádem České republiky. Práva a povinnosti výslovně neupravené touto Smlouvo</w:t>
      </w:r>
      <w:r>
        <w:t>u se řídí ustanoveními příslušných právních předpisů.</w:t>
      </w:r>
    </w:p>
    <w:p w14:paraId="3B012DCC" w14:textId="77777777" w:rsidR="00E73CAD" w:rsidRDefault="00C509A7">
      <w:pPr>
        <w:pStyle w:val="Style6"/>
        <w:numPr>
          <w:ilvl w:val="0"/>
          <w:numId w:val="15"/>
        </w:numPr>
        <w:shd w:val="clear" w:color="auto" w:fill="auto"/>
        <w:tabs>
          <w:tab w:val="left" w:pos="674"/>
        </w:tabs>
        <w:spacing w:line="326" w:lineRule="auto"/>
        <w:jc w:val="both"/>
      </w:pPr>
      <w:r>
        <w:t>Spory smluvních stran vznikající z této Smlouvy nebo v souvislosti s ní budou řešeny primárně smírnou cestou. V případě nevyřešení sporů smírnou cestou, budou řešeny před příslušnými obecnými soudy Česk</w:t>
      </w:r>
      <w:r>
        <w:t>é republiky.</w:t>
      </w:r>
    </w:p>
    <w:p w14:paraId="3746C71F" w14:textId="77777777" w:rsidR="00E73CAD" w:rsidRDefault="00C509A7">
      <w:pPr>
        <w:pStyle w:val="Style6"/>
        <w:numPr>
          <w:ilvl w:val="0"/>
          <w:numId w:val="15"/>
        </w:numPr>
        <w:shd w:val="clear" w:color="auto" w:fill="auto"/>
        <w:tabs>
          <w:tab w:val="left" w:pos="674"/>
        </w:tabs>
        <w:spacing w:line="324" w:lineRule="auto"/>
        <w:jc w:val="both"/>
      </w:pPr>
      <w:r>
        <w:t>Jakékoliv změny či doplnění této Smlouvy a jejích příloh je možné činit výhradně formou písemných a číselně označených dodatků schválených oběma smluvními stranami.</w:t>
      </w:r>
    </w:p>
    <w:p w14:paraId="3151CC33" w14:textId="77777777" w:rsidR="00E73CAD" w:rsidRDefault="00C509A7">
      <w:pPr>
        <w:pStyle w:val="Style6"/>
        <w:numPr>
          <w:ilvl w:val="0"/>
          <w:numId w:val="15"/>
        </w:numPr>
        <w:shd w:val="clear" w:color="auto" w:fill="auto"/>
        <w:tabs>
          <w:tab w:val="left" w:pos="674"/>
        </w:tabs>
        <w:spacing w:line="317" w:lineRule="auto"/>
        <w:jc w:val="both"/>
      </w:pPr>
      <w:r>
        <w:t>Dodavatel bez předchozího výslovného písemného souhlasu Objednatele nesmí post</w:t>
      </w:r>
      <w:r>
        <w:t>oupit ani převést jakákoliv práva či povinnosti vyplývající z této Smlouvy na jakoukoliv třetí osobu.</w:t>
      </w:r>
    </w:p>
    <w:p w14:paraId="2A13957F" w14:textId="77777777" w:rsidR="00E73CAD" w:rsidRDefault="00C509A7">
      <w:pPr>
        <w:pStyle w:val="Style6"/>
        <w:numPr>
          <w:ilvl w:val="0"/>
          <w:numId w:val="15"/>
        </w:numPr>
        <w:shd w:val="clear" w:color="auto" w:fill="auto"/>
        <w:tabs>
          <w:tab w:val="left" w:pos="674"/>
        </w:tabs>
        <w:spacing w:line="324" w:lineRule="auto"/>
        <w:jc w:val="both"/>
      </w:pPr>
      <w:r>
        <w:t>Smlouva je uzavřena elektronicky.</w:t>
      </w:r>
    </w:p>
    <w:p w14:paraId="4C5B023A" w14:textId="77777777" w:rsidR="00E73CAD" w:rsidRDefault="00C509A7">
      <w:pPr>
        <w:pStyle w:val="Style6"/>
        <w:numPr>
          <w:ilvl w:val="0"/>
          <w:numId w:val="15"/>
        </w:numPr>
        <w:shd w:val="clear" w:color="auto" w:fill="auto"/>
        <w:tabs>
          <w:tab w:val="left" w:pos="674"/>
        </w:tabs>
        <w:spacing w:line="324" w:lineRule="auto"/>
        <w:jc w:val="both"/>
        <w:sectPr w:rsidR="00E73CAD">
          <w:pgSz w:w="12149" w:h="17006"/>
          <w:pgMar w:top="1749" w:right="1914" w:bottom="1992" w:left="1550" w:header="1321" w:footer="1564" w:gutter="0"/>
          <w:cols w:space="720"/>
          <w:noEndnote/>
          <w:docGrid w:linePitch="360"/>
        </w:sectPr>
      </w:pPr>
      <w:r>
        <w:t>Smluvní strany prohlašují, že si tuto Smlouvu přečetly, s jejím obsahem souhlasí a že byla sepsán</w:t>
      </w:r>
      <w:r>
        <w:t>a na základě jejich pravé a svobodné vůle, a na důkaz toho připojují své podpisy.</w:t>
      </w:r>
    </w:p>
    <w:p w14:paraId="5A7143C9" w14:textId="32236A05" w:rsidR="00E73CAD" w:rsidRDefault="00C509A7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2084705" distL="373380" distR="1272540" simplePos="0" relativeHeight="125829380" behindDoc="0" locked="0" layoutInCell="1" allowOverlap="1" wp14:anchorId="786D5857" wp14:editId="15E2FA2B">
                <wp:simplePos x="0" y="0"/>
                <wp:positionH relativeFrom="page">
                  <wp:posOffset>1003935</wp:posOffset>
                </wp:positionH>
                <wp:positionV relativeFrom="paragraph">
                  <wp:posOffset>3947160</wp:posOffset>
                </wp:positionV>
                <wp:extent cx="956945" cy="14922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F15D2A" w14:textId="59597443" w:rsidR="00E73CAD" w:rsidRDefault="00E73CAD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6D585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9.05pt;margin-top:310.8pt;width:75.35pt;height:11.75pt;z-index:125829380;visibility:visible;mso-wrap-style:none;mso-wrap-distance-left:29.4pt;mso-wrap-distance-top:0;mso-wrap-distance-right:100.2pt;mso-wrap-distance-bottom:16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" filled="f" stroked="f">
                <v:textbox inset="0,0,0,0">
                  <w:txbxContent>
                    <w:p w14:paraId="53F15D2A" w14:textId="59597443" w:rsidR="00E73CAD" w:rsidRDefault="00E73CAD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C8171D9" wp14:editId="5BA3B353">
                <wp:simplePos x="0" y="0"/>
                <wp:positionH relativeFrom="page">
                  <wp:posOffset>997585</wp:posOffset>
                </wp:positionH>
                <wp:positionV relativeFrom="paragraph">
                  <wp:posOffset>4218305</wp:posOffset>
                </wp:positionV>
                <wp:extent cx="1588135" cy="1524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C5FF5" w14:textId="036DC3CE" w:rsidR="00E73CAD" w:rsidRDefault="00E73CAD">
                            <w:pPr>
                              <w:pStyle w:val="Style17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8171D9" id="Shape 7" o:spid="_x0000_s1027" type="#_x0000_t202" style="position:absolute;margin-left:78.55pt;margin-top:332.15pt;width:125.05pt;height:1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" filled="f" stroked="f">
                <v:textbox inset="0,0,0,0">
                  <w:txbxContent>
                    <w:p w14:paraId="490C5FF5" w14:textId="036DC3CE" w:rsidR="00E73CAD" w:rsidRDefault="00E73CAD">
                      <w:pPr>
                        <w:pStyle w:val="Style17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425242" w14:textId="77777777" w:rsidR="00E73CAD" w:rsidRDefault="00C509A7">
      <w:pPr>
        <w:pStyle w:val="Style11"/>
        <w:shd w:val="clear" w:color="auto" w:fill="auto"/>
        <w:spacing w:line="341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  <w:lang w:val="en-US" w:eastAsia="en-US" w:bidi="en-US"/>
        </w:rPr>
        <w:t xml:space="preserve">XII. </w:t>
      </w:r>
      <w:r>
        <w:rPr>
          <w:b/>
          <w:bCs/>
          <w:sz w:val="17"/>
          <w:szCs w:val="17"/>
        </w:rPr>
        <w:t>Přílohy smlouvy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3984"/>
      </w:tblGrid>
      <w:tr w:rsidR="00E73CAD" w14:paraId="0FBAB17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147" w:type="dxa"/>
            <w:shd w:val="clear" w:color="auto" w:fill="FFFFFF"/>
          </w:tcPr>
          <w:p w14:paraId="795A787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Příloha č. 1</w:t>
            </w:r>
          </w:p>
        </w:tc>
        <w:tc>
          <w:tcPr>
            <w:tcW w:w="3984" w:type="dxa"/>
            <w:shd w:val="clear" w:color="auto" w:fill="FFFFFF"/>
          </w:tcPr>
          <w:p w14:paraId="1ECBE91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</w:pPr>
            <w:r>
              <w:t>Požadavky na software pro řízení AV obsahu</w:t>
            </w:r>
          </w:p>
        </w:tc>
      </w:tr>
      <w:tr w:rsidR="00E73CAD" w14:paraId="1C5FE9E1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47" w:type="dxa"/>
            <w:shd w:val="clear" w:color="auto" w:fill="FFFFFF"/>
            <w:vAlign w:val="center"/>
          </w:tcPr>
          <w:p w14:paraId="0836D0F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Příloha č. 2</w:t>
            </w:r>
          </w:p>
        </w:tc>
        <w:tc>
          <w:tcPr>
            <w:tcW w:w="3984" w:type="dxa"/>
            <w:shd w:val="clear" w:color="auto" w:fill="FFFFFF"/>
            <w:vAlign w:val="center"/>
          </w:tcPr>
          <w:p w14:paraId="39FC3A9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</w:pPr>
            <w:r>
              <w:t xml:space="preserve">Seznam </w:t>
            </w:r>
            <w:r>
              <w:t>poddodavatelů Dodavatele</w:t>
            </w:r>
          </w:p>
        </w:tc>
      </w:tr>
      <w:tr w:rsidR="00E73CAD" w14:paraId="21EC427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147" w:type="dxa"/>
            <w:shd w:val="clear" w:color="auto" w:fill="FFFFFF"/>
            <w:vAlign w:val="center"/>
          </w:tcPr>
          <w:p w14:paraId="269C135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Příloha č. 3</w:t>
            </w:r>
          </w:p>
        </w:tc>
        <w:tc>
          <w:tcPr>
            <w:tcW w:w="3984" w:type="dxa"/>
            <w:shd w:val="clear" w:color="auto" w:fill="FFFFFF"/>
            <w:vAlign w:val="center"/>
          </w:tcPr>
          <w:p w14:paraId="4C9F9A3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</w:pPr>
            <w:r>
              <w:t>Modelový příklad</w:t>
            </w:r>
          </w:p>
        </w:tc>
      </w:tr>
      <w:tr w:rsidR="00E73CAD" w14:paraId="14E8561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47" w:type="dxa"/>
            <w:shd w:val="clear" w:color="auto" w:fill="FFFFFF"/>
            <w:vAlign w:val="center"/>
          </w:tcPr>
          <w:p w14:paraId="7FBEAD3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Příloha č. 4</w:t>
            </w:r>
          </w:p>
        </w:tc>
        <w:tc>
          <w:tcPr>
            <w:tcW w:w="3984" w:type="dxa"/>
            <w:shd w:val="clear" w:color="auto" w:fill="FFFFFF"/>
            <w:vAlign w:val="center"/>
          </w:tcPr>
          <w:p w14:paraId="5107021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</w:pPr>
            <w:r>
              <w:t xml:space="preserve">Typový seznam multimediálních </w:t>
            </w:r>
            <w:proofErr w:type="spellStart"/>
            <w:r>
              <w:t>playerů</w:t>
            </w:r>
            <w:proofErr w:type="spellEnd"/>
          </w:p>
        </w:tc>
      </w:tr>
      <w:tr w:rsidR="00E73CAD" w14:paraId="328862B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47" w:type="dxa"/>
            <w:shd w:val="clear" w:color="auto" w:fill="FFFFFF"/>
            <w:vAlign w:val="bottom"/>
          </w:tcPr>
          <w:p w14:paraId="303AB3F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Příloha č. 5</w:t>
            </w:r>
          </w:p>
        </w:tc>
        <w:tc>
          <w:tcPr>
            <w:tcW w:w="3984" w:type="dxa"/>
            <w:shd w:val="clear" w:color="auto" w:fill="FFFFFF"/>
            <w:vAlign w:val="bottom"/>
          </w:tcPr>
          <w:p w14:paraId="5717439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</w:pPr>
            <w:r>
              <w:t>Definice a hodnocení kvalitativních kritérií</w:t>
            </w:r>
          </w:p>
        </w:tc>
      </w:tr>
    </w:tbl>
    <w:p w14:paraId="35404ADE" w14:textId="77777777" w:rsidR="00E73CAD" w:rsidRDefault="00E73CAD">
      <w:pPr>
        <w:spacing w:after="1199" w:line="1" w:lineRule="exact"/>
      </w:pPr>
    </w:p>
    <w:p w14:paraId="7E85038E" w14:textId="77777777" w:rsidR="00E73CAD" w:rsidRDefault="00C509A7">
      <w:pPr>
        <w:pStyle w:val="Style6"/>
        <w:shd w:val="clear" w:color="auto" w:fill="auto"/>
        <w:spacing w:after="1920" w:line="240" w:lineRule="auto"/>
        <w:ind w:left="10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3100E22B" wp14:editId="09F14D90">
                <wp:simplePos x="0" y="0"/>
                <wp:positionH relativeFrom="page">
                  <wp:posOffset>3985260</wp:posOffset>
                </wp:positionH>
                <wp:positionV relativeFrom="paragraph">
                  <wp:posOffset>12700</wp:posOffset>
                </wp:positionV>
                <wp:extent cx="661670" cy="14351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0F26A9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00E22B" id="Shape 11" o:spid="_x0000_s1028" type="#_x0000_t202" style="position:absolute;left:0;text-align:left;margin-left:313.8pt;margin-top:1pt;width:52.1pt;height:11.3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" filled="f" stroked="f">
                <v:textbox inset="0,0,0,0">
                  <w:txbxContent>
                    <w:p w14:paraId="340F26A9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</w:p>
    <w:p w14:paraId="7244E7C4" w14:textId="1525CEC3" w:rsidR="00E73CAD" w:rsidRDefault="00E73CAD">
      <w:pPr>
        <w:pStyle w:val="Style6"/>
        <w:shd w:val="clear" w:color="auto" w:fill="auto"/>
        <w:spacing w:after="0" w:line="240" w:lineRule="auto"/>
        <w:ind w:left="1180"/>
        <w:sectPr w:rsidR="00E73CAD">
          <w:pgSz w:w="11909" w:h="16834"/>
          <w:pgMar w:top="2093" w:right="697" w:bottom="2093" w:left="549" w:header="1665" w:footer="1665" w:gutter="0"/>
          <w:cols w:space="720"/>
          <w:noEndnote/>
          <w:docGrid w:linePitch="360"/>
        </w:sectPr>
      </w:pPr>
    </w:p>
    <w:p w14:paraId="587C3C18" w14:textId="77777777" w:rsidR="00E73CAD" w:rsidRDefault="00C509A7">
      <w:pPr>
        <w:pStyle w:val="Style6"/>
        <w:shd w:val="clear" w:color="auto" w:fill="auto"/>
        <w:spacing w:after="180" w:line="240" w:lineRule="auto"/>
        <w:ind w:left="1040"/>
      </w:pPr>
      <w:r>
        <w:lastRenderedPageBreak/>
        <w:t xml:space="preserve">Příloha č. 4 zadávací </w:t>
      </w:r>
      <w:proofErr w:type="gramStart"/>
      <w:r>
        <w:t>dokumentace - Seznam</w:t>
      </w:r>
      <w:proofErr w:type="gramEnd"/>
      <w:r>
        <w:t xml:space="preserve"> poddodavatelů</w:t>
      </w:r>
    </w:p>
    <w:p w14:paraId="311A4DB2" w14:textId="77777777" w:rsidR="00E73CAD" w:rsidRDefault="00C509A7">
      <w:pPr>
        <w:pStyle w:val="Style6"/>
        <w:shd w:val="clear" w:color="auto" w:fill="auto"/>
        <w:spacing w:after="180" w:line="307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SEZNAM PODDODAVATELŮ, KTEŘÍ SE BUDOU PODÍLET NA PLNĚNÍ VEŘEJNÉ ZAKÁZKY A PŘEHLED</w:t>
      </w:r>
      <w:r>
        <w:rPr>
          <w:b/>
          <w:bCs/>
          <w:sz w:val="17"/>
          <w:szCs w:val="17"/>
        </w:rPr>
        <w:br/>
        <w:t>PODDODAVATELŮ, JEJICHŽ</w:t>
      </w:r>
      <w:r>
        <w:rPr>
          <w:b/>
          <w:bCs/>
          <w:sz w:val="17"/>
          <w:szCs w:val="17"/>
        </w:rPr>
        <w:br/>
        <w:t>PROSTŘE</w:t>
      </w:r>
      <w:r>
        <w:rPr>
          <w:b/>
          <w:bCs/>
          <w:sz w:val="17"/>
          <w:szCs w:val="17"/>
        </w:rPr>
        <w:t>DNICTVÍM ÚČASTNÍK PROKAZUJE SPLNĚNÍ KVALIFIKACE</w:t>
      </w:r>
    </w:p>
    <w:p w14:paraId="59236B7F" w14:textId="77777777" w:rsidR="00E73CAD" w:rsidRDefault="00C509A7">
      <w:pPr>
        <w:pStyle w:val="Style6"/>
        <w:shd w:val="clear" w:color="auto" w:fill="auto"/>
        <w:spacing w:after="0" w:line="276" w:lineRule="auto"/>
        <w:jc w:val="center"/>
      </w:pPr>
      <w:r>
        <w:t xml:space="preserve">Pro účely podání nabídky do výběrového řízení na veřejnou zakázku s názvem </w:t>
      </w:r>
      <w:r>
        <w:rPr>
          <w:b/>
          <w:bCs/>
          <w:sz w:val="17"/>
          <w:szCs w:val="17"/>
        </w:rPr>
        <w:t>„Software pro řízení AV</w:t>
      </w:r>
      <w:r>
        <w:rPr>
          <w:b/>
          <w:bCs/>
          <w:sz w:val="17"/>
          <w:szCs w:val="17"/>
        </w:rPr>
        <w:br/>
        <w:t xml:space="preserve">obsahu do expozic" </w:t>
      </w:r>
      <w:r>
        <w:t>vyhlášenou zadavatelem</w:t>
      </w:r>
    </w:p>
    <w:p w14:paraId="3EDFCC11" w14:textId="77777777" w:rsidR="00E73CAD" w:rsidRDefault="00C509A7">
      <w:pPr>
        <w:pStyle w:val="Style6"/>
        <w:shd w:val="clear" w:color="auto" w:fill="auto"/>
        <w:spacing w:after="380" w:line="276" w:lineRule="auto"/>
        <w:jc w:val="center"/>
      </w:pPr>
      <w:r>
        <w:t xml:space="preserve">NÁRODNÍ MUZEUM, IČO: 000 23 272, se sídlem Václavské náměstí </w:t>
      </w:r>
      <w:r>
        <w:t>68,115 79 Praha 1.</w:t>
      </w:r>
    </w:p>
    <w:p w14:paraId="2AA4755B" w14:textId="77777777" w:rsidR="00E73CAD" w:rsidRDefault="00C509A7">
      <w:pPr>
        <w:pStyle w:val="Style6"/>
        <w:shd w:val="clear" w:color="auto" w:fill="auto"/>
        <w:spacing w:after="260" w:line="307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Čestné prohlášení</w:t>
      </w:r>
    </w:p>
    <w:p w14:paraId="0236DAFC" w14:textId="77777777" w:rsidR="00E73CAD" w:rsidRDefault="00C509A7">
      <w:pPr>
        <w:pStyle w:val="Style6"/>
        <w:shd w:val="clear" w:color="auto" w:fill="auto"/>
        <w:spacing w:after="0" w:line="403" w:lineRule="auto"/>
        <w:jc w:val="center"/>
      </w:pPr>
      <w:r>
        <w:t>Účastník výběrového řízení:</w:t>
      </w:r>
    </w:p>
    <w:p w14:paraId="0D7BAE7F" w14:textId="77777777" w:rsidR="00E73CAD" w:rsidRDefault="00C509A7">
      <w:pPr>
        <w:pStyle w:val="Style6"/>
        <w:shd w:val="clear" w:color="auto" w:fill="auto"/>
        <w:spacing w:after="40" w:line="403" w:lineRule="auto"/>
        <w:jc w:val="center"/>
      </w:pPr>
      <w:r>
        <w:t>obchodní firma / jméno a příjmení: SIGNAGELAB s.r.o.</w:t>
      </w:r>
    </w:p>
    <w:p w14:paraId="5CE1F369" w14:textId="77777777" w:rsidR="00E73CAD" w:rsidRDefault="00C509A7">
      <w:pPr>
        <w:pStyle w:val="Style6"/>
        <w:shd w:val="clear" w:color="auto" w:fill="auto"/>
        <w:spacing w:after="0" w:line="403" w:lineRule="auto"/>
        <w:jc w:val="center"/>
      </w:pPr>
      <w:r>
        <w:t>se sídlem / trvale bytem Jeseniova 2769/208, Praha 3 - Jarov, 130 00</w:t>
      </w:r>
      <w:r>
        <w:br/>
        <w:t>IČO 071 57 687</w:t>
      </w:r>
    </w:p>
    <w:p w14:paraId="6343F99B" w14:textId="77777777" w:rsidR="00E73CAD" w:rsidRDefault="00C509A7">
      <w:pPr>
        <w:pStyle w:val="Style6"/>
        <w:shd w:val="clear" w:color="auto" w:fill="auto"/>
        <w:spacing w:after="0" w:line="403" w:lineRule="auto"/>
        <w:jc w:val="center"/>
      </w:pPr>
      <w:r>
        <w:t xml:space="preserve">společnost zapsaná v obchodním rejstříku </w:t>
      </w:r>
      <w:r>
        <w:t>vedeném Městským soudem v Praze,</w:t>
      </w:r>
      <w:r>
        <w:br/>
        <w:t>oddíl C, vložka 295689</w:t>
      </w:r>
    </w:p>
    <w:p w14:paraId="41CB8FD1" w14:textId="77777777" w:rsidR="00E73CAD" w:rsidRDefault="00C509A7">
      <w:pPr>
        <w:pStyle w:val="Style6"/>
        <w:shd w:val="clear" w:color="auto" w:fill="auto"/>
        <w:spacing w:after="500" w:line="403" w:lineRule="auto"/>
        <w:jc w:val="center"/>
      </w:pPr>
      <w:r>
        <w:t>zastoupená; panem Davidem Šauerem, jednatelem společnosti</w:t>
      </w:r>
      <w:r>
        <w:br/>
        <w:t>čestně prohlašuje, že níže uvedenými osobami hodlá plnit předmět uvedené veřejné zakázky.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1627"/>
        <w:gridCol w:w="1858"/>
        <w:gridCol w:w="2554"/>
        <w:gridCol w:w="3413"/>
      </w:tblGrid>
      <w:tr w:rsidR="00E73CAD" w14:paraId="51587090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91CF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Identifikační údaje poddodavatele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919FB" w14:textId="77777777" w:rsidR="00E73CAD" w:rsidRDefault="00C509A7">
            <w:pPr>
              <w:pStyle w:val="Style14"/>
              <w:shd w:val="clear" w:color="auto" w:fill="auto"/>
              <w:spacing w:after="0" w:line="295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Odhad objemu poddo</w:t>
            </w:r>
            <w:r>
              <w:rPr>
                <w:b/>
                <w:bCs/>
                <w:sz w:val="17"/>
                <w:szCs w:val="17"/>
              </w:rPr>
              <w:t>dávky z celkového objemu zakázky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67B64" w14:textId="77777777" w:rsidR="00E73CAD" w:rsidRDefault="00C509A7">
            <w:pPr>
              <w:pStyle w:val="Style14"/>
              <w:shd w:val="clear" w:color="auto" w:fill="auto"/>
              <w:spacing w:after="0" w:line="295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Specifikace prací realizovaných poddodavatelem/ specifikace části kvalifikace prokazované poddodavatelem</w:t>
            </w:r>
          </w:p>
        </w:tc>
      </w:tr>
      <w:tr w:rsidR="00E73CAD" w14:paraId="45B78EF8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317DB" w14:textId="77777777" w:rsidR="00E73CAD" w:rsidRDefault="00C509A7">
            <w:pPr>
              <w:pStyle w:val="Style14"/>
              <w:shd w:val="clear" w:color="auto" w:fill="auto"/>
              <w:spacing w:after="0" w:line="286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Obchodní firma/ jméno a příjmení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171AB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IČO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845A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Sídlo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5F95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% nebo Kč a slovní popis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AF28A" w14:textId="77777777" w:rsidR="00E73CAD" w:rsidRDefault="00E73CAD"/>
        </w:tc>
      </w:tr>
    </w:tbl>
    <w:p w14:paraId="2DF49D15" w14:textId="77777777" w:rsidR="00E73CAD" w:rsidRDefault="00E73CAD">
      <w:pPr>
        <w:sectPr w:rsidR="00E73CAD">
          <w:pgSz w:w="11971" w:h="16882"/>
          <w:pgMar w:top="1679" w:right="756" w:bottom="1679" w:left="552" w:header="1251" w:footer="1251" w:gutter="0"/>
          <w:cols w:space="720"/>
          <w:noEndnote/>
          <w:docGrid w:linePitch="360"/>
        </w:sectPr>
      </w:pPr>
    </w:p>
    <w:p w14:paraId="1C3AF211" w14:textId="77777777" w:rsidR="00E73CAD" w:rsidRDefault="00E73CAD">
      <w:pPr>
        <w:spacing w:line="88" w:lineRule="exact"/>
        <w:rPr>
          <w:sz w:val="7"/>
          <w:szCs w:val="7"/>
        </w:rPr>
      </w:pPr>
    </w:p>
    <w:p w14:paraId="1C653BF0" w14:textId="77777777" w:rsidR="00E73CAD" w:rsidRDefault="00E73CAD">
      <w:pPr>
        <w:spacing w:line="1" w:lineRule="exact"/>
        <w:sectPr w:rsidR="00E73CAD">
          <w:pgSz w:w="16834" w:h="11909" w:orient="landscape"/>
          <w:pgMar w:top="1417" w:right="1621" w:bottom="2136" w:left="505" w:header="0" w:footer="3" w:gutter="0"/>
          <w:cols w:space="720"/>
          <w:noEndnote/>
          <w:docGrid w:linePitch="360"/>
        </w:sectPr>
      </w:pPr>
    </w:p>
    <w:p w14:paraId="72B91DC8" w14:textId="72E802F2" w:rsidR="00E73CAD" w:rsidRDefault="00E73CAD">
      <w:pPr>
        <w:spacing w:line="1" w:lineRule="exact"/>
      </w:pPr>
    </w:p>
    <w:p w14:paraId="42B87951" w14:textId="77777777" w:rsidR="00E73CAD" w:rsidRDefault="00C509A7">
      <w:pPr>
        <w:pStyle w:val="Style6"/>
        <w:shd w:val="clear" w:color="auto" w:fill="auto"/>
        <w:spacing w:after="180" w:line="240" w:lineRule="auto"/>
        <w:ind w:left="1500"/>
      </w:pPr>
      <w:proofErr w:type="spellStart"/>
      <w:r>
        <w:rPr>
          <w:lang w:val="en-US" w:eastAsia="en-US" w:bidi="en-US"/>
        </w:rPr>
        <w:t>Pnioha</w:t>
      </w:r>
      <w:proofErr w:type="spellEnd"/>
      <w:r>
        <w:rPr>
          <w:lang w:val="en-US" w:eastAsia="en-US" w:bidi="en-US"/>
        </w:rPr>
        <w:t xml:space="preserve"> </w:t>
      </w:r>
      <w:r>
        <w:t xml:space="preserve">č. </w:t>
      </w:r>
      <w:r>
        <w:rPr>
          <w:lang w:val="en-US" w:eastAsia="en-US" w:bidi="en-US"/>
        </w:rPr>
        <w:t xml:space="preserve">4 </w:t>
      </w:r>
      <w:r>
        <w:t>zadávací dokumentace - Seznam poddodavatelů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651"/>
        <w:gridCol w:w="1862"/>
        <w:gridCol w:w="2587"/>
        <w:gridCol w:w="3432"/>
      </w:tblGrid>
      <w:tr w:rsidR="00E73CAD" w14:paraId="654034D9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2F56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signageOS</w:t>
            </w:r>
            <w:proofErr w:type="spellEnd"/>
          </w:p>
          <w:p w14:paraId="045DA6F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s.r.o.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A57A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02772132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23F72" w14:textId="77777777" w:rsidR="00E73CAD" w:rsidRDefault="00C509A7">
            <w:pPr>
              <w:pStyle w:val="Style14"/>
              <w:shd w:val="clear" w:color="auto" w:fill="auto"/>
              <w:spacing w:after="6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Jeseniova 2769/208,</w:t>
            </w:r>
          </w:p>
          <w:p w14:paraId="0A28C9B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Žižkov, 130 00 Praha 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F2807" w14:textId="77777777" w:rsidR="00E73CAD" w:rsidRDefault="00C509A7">
            <w:pPr>
              <w:pStyle w:val="Style14"/>
              <w:shd w:val="clear" w:color="auto" w:fill="auto"/>
              <w:spacing w:after="0" w:line="283" w:lineRule="auto"/>
              <w:jc w:val="center"/>
            </w:pPr>
            <w:r>
              <w:t>15%</w:t>
            </w:r>
          </w:p>
          <w:p w14:paraId="7B3F775F" w14:textId="77777777" w:rsidR="00E73CAD" w:rsidRDefault="00C509A7">
            <w:pPr>
              <w:pStyle w:val="Style14"/>
              <w:shd w:val="clear" w:color="auto" w:fill="auto"/>
              <w:spacing w:after="0" w:line="283" w:lineRule="auto"/>
              <w:jc w:val="center"/>
            </w:pPr>
            <w:r>
              <w:t xml:space="preserve">Naše „sesterská" společnost, která nám zajišťuje napojeni na </w:t>
            </w:r>
            <w:proofErr w:type="spellStart"/>
            <w:r>
              <w:t>SoC</w:t>
            </w:r>
            <w:proofErr w:type="spell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367C1" w14:textId="77777777" w:rsidR="00E73CAD" w:rsidRDefault="00C509A7">
            <w:pPr>
              <w:pStyle w:val="Style14"/>
              <w:shd w:val="clear" w:color="auto" w:fill="auto"/>
              <w:spacing w:after="0" w:line="276" w:lineRule="auto"/>
              <w:jc w:val="center"/>
            </w:pPr>
            <w:r>
              <w:t xml:space="preserve">SW propojení a zpřístupnění </w:t>
            </w:r>
            <w:proofErr w:type="spellStart"/>
            <w:r>
              <w:t>SoC</w:t>
            </w:r>
            <w:proofErr w:type="spellEnd"/>
            <w:r>
              <w:t xml:space="preserve"> </w:t>
            </w:r>
            <w:proofErr w:type="spellStart"/>
            <w:r>
              <w:t>chipú</w:t>
            </w:r>
            <w:proofErr w:type="spellEnd"/>
            <w:r>
              <w:t xml:space="preserve">, např. jako </w:t>
            </w:r>
            <w:r>
              <w:rPr>
                <w:lang w:val="en-US" w:eastAsia="en-US" w:bidi="en-US"/>
              </w:rPr>
              <w:t xml:space="preserve">Android </w:t>
            </w:r>
            <w:r>
              <w:t xml:space="preserve">OS a </w:t>
            </w:r>
            <w:r>
              <w:rPr>
                <w:lang w:val="en-US" w:eastAsia="en-US" w:bidi="en-US"/>
              </w:rPr>
              <w:t xml:space="preserve">Android </w:t>
            </w:r>
            <w:r>
              <w:t>TV</w:t>
            </w:r>
          </w:p>
        </w:tc>
      </w:tr>
      <w:tr w:rsidR="00E73CAD" w14:paraId="19256863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84B96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8A2C4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91AFB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D10F5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077EC" w14:textId="77777777" w:rsidR="00E73CAD" w:rsidRDefault="00E73CAD">
            <w:pPr>
              <w:rPr>
                <w:sz w:val="10"/>
                <w:szCs w:val="10"/>
              </w:rPr>
            </w:pPr>
          </w:p>
        </w:tc>
      </w:tr>
      <w:tr w:rsidR="00E73CAD" w14:paraId="54EB9398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254AA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6C828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9B4E6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D9387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16FD1" w14:textId="77777777" w:rsidR="00E73CAD" w:rsidRDefault="00E73CAD">
            <w:pPr>
              <w:rPr>
                <w:sz w:val="10"/>
                <w:szCs w:val="10"/>
              </w:rPr>
            </w:pPr>
          </w:p>
        </w:tc>
      </w:tr>
      <w:tr w:rsidR="00E73CAD" w14:paraId="057AA489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A12EC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4C65F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AEDDF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4692B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35256" w14:textId="77777777" w:rsidR="00E73CAD" w:rsidRDefault="00E73CAD">
            <w:pPr>
              <w:rPr>
                <w:sz w:val="10"/>
                <w:szCs w:val="10"/>
              </w:rPr>
            </w:pPr>
          </w:p>
        </w:tc>
      </w:tr>
    </w:tbl>
    <w:p w14:paraId="4D06C67A" w14:textId="77777777" w:rsidR="00E73CAD" w:rsidRDefault="00E73CAD">
      <w:pPr>
        <w:spacing w:after="1059" w:line="1" w:lineRule="exact"/>
      </w:pPr>
    </w:p>
    <w:p w14:paraId="17F924B1" w14:textId="77777777" w:rsidR="00E73CAD" w:rsidRDefault="00C509A7">
      <w:pPr>
        <w:pStyle w:val="Style6"/>
        <w:shd w:val="clear" w:color="auto" w:fill="auto"/>
        <w:spacing w:after="480" w:line="240" w:lineRule="auto"/>
        <w:ind w:left="1500"/>
      </w:pPr>
      <w:r>
        <w:t>V Praze dne 09.02.2021</w:t>
      </w:r>
    </w:p>
    <w:p w14:paraId="4C016321" w14:textId="4C6D6E2A" w:rsidR="00E73CAD" w:rsidRDefault="00C509A7">
      <w:pPr>
        <w:pStyle w:val="Style6"/>
        <w:shd w:val="clear" w:color="auto" w:fill="auto"/>
        <w:spacing w:after="0" w:line="240" w:lineRule="auto"/>
        <w:ind w:left="1500"/>
      </w:pPr>
      <w:r>
        <w:t>Podpis osoby oprávněné zastupovat účastníka výběrového řízení:</w:t>
      </w:r>
      <w:r>
        <w:br w:type="page"/>
      </w:r>
    </w:p>
    <w:p w14:paraId="6C44D81B" w14:textId="1D281B53" w:rsidR="00E73CAD" w:rsidRDefault="00C509A7">
      <w:pPr>
        <w:pStyle w:val="Style6"/>
        <w:shd w:val="clear" w:color="auto" w:fill="auto"/>
        <w:spacing w:after="240" w:line="240" w:lineRule="auto"/>
        <w:ind w:left="6040"/>
        <w:rPr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139700" distB="0" distL="114300" distR="114300" simplePos="0" relativeHeight="125829387" behindDoc="0" locked="0" layoutInCell="1" allowOverlap="1" wp14:anchorId="2B527639" wp14:editId="158E3F67">
                <wp:simplePos x="0" y="0"/>
                <wp:positionH relativeFrom="page">
                  <wp:posOffset>6011545</wp:posOffset>
                </wp:positionH>
                <wp:positionV relativeFrom="paragraph">
                  <wp:posOffset>2882900</wp:posOffset>
                </wp:positionV>
                <wp:extent cx="3679190" cy="7251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190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35"/>
                              <w:gridCol w:w="1358"/>
                            </w:tblGrid>
                            <w:tr w:rsidR="00E73CAD" w14:paraId="5C7C379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tblHeader/>
                              </w:trPr>
                              <w:tc>
                                <w:tcPr>
                                  <w:tcW w:w="4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AE8863B" w14:textId="77777777" w:rsidR="00E73CAD" w:rsidRDefault="00C509A7">
                                  <w:pPr>
                                    <w:pStyle w:val="Style14"/>
                                    <w:shd w:val="clear" w:color="auto" w:fill="auto"/>
                                    <w:spacing w:after="0" w:line="240" w:lineRule="auto"/>
                                    <w:ind w:left="368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celkem za HW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572498C" w14:textId="77777777" w:rsidR="00E73CAD" w:rsidRDefault="00C509A7">
                                  <w:pPr>
                                    <w:pStyle w:val="Style14"/>
                                    <w:shd w:val="clear" w:color="auto" w:fill="auto"/>
                                    <w:spacing w:after="0" w:line="240" w:lineRule="auto"/>
                                    <w:ind w:firstLine="6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1176 638 Kč</w:t>
                                  </w:r>
                                </w:p>
                              </w:tc>
                            </w:tr>
                            <w:tr w:rsidR="00E73CAD" w14:paraId="409547D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4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6E148B" w14:textId="77777777" w:rsidR="00E73CAD" w:rsidRDefault="00C509A7">
                                  <w:pPr>
                                    <w:pStyle w:val="Style14"/>
                                    <w:shd w:val="clear" w:color="auto" w:fill="auto"/>
                                    <w:spacing w:after="0" w:line="240" w:lineRule="auto"/>
                                    <w:ind w:left="30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 xml:space="preserve">cena za 1 licenci a </w:t>
                                  </w:r>
                                  <w:proofErr w:type="spellStart"/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mésic</w:t>
                                  </w:r>
                                  <w:proofErr w:type="spellEnd"/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 xml:space="preserve"> t: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E16ED2B" w14:textId="77777777" w:rsidR="00E73CAD" w:rsidRDefault="00C509A7">
                                  <w:pPr>
                                    <w:pStyle w:val="Style14"/>
                                    <w:shd w:val="clear" w:color="auto" w:fill="auto"/>
                                    <w:spacing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175 Kč</w:t>
                                  </w:r>
                                </w:p>
                              </w:tc>
                            </w:tr>
                            <w:tr w:rsidR="00E73CAD" w14:paraId="38F6B47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F1C5F1" w14:textId="77777777" w:rsidR="00E73CAD" w:rsidRDefault="00C509A7">
                                  <w:pPr>
                                    <w:pStyle w:val="Style14"/>
                                    <w:shd w:val="clear" w:color="auto" w:fill="auto"/>
                                    <w:spacing w:after="0" w:line="240" w:lineRule="auto"/>
                                    <w:ind w:left="266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celkem za 200 licenci a 48 měsíců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43894B" w14:textId="77777777" w:rsidR="00E73CAD" w:rsidRDefault="00C509A7">
                                  <w:pPr>
                                    <w:pStyle w:val="Style14"/>
                                    <w:shd w:val="clear" w:color="auto" w:fill="auto"/>
                                    <w:spacing w:after="0" w:line="240" w:lineRule="auto"/>
                                    <w:ind w:firstLine="6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1 680 000 Kč</w:t>
                                  </w:r>
                                </w:p>
                              </w:tc>
                            </w:tr>
                            <w:tr w:rsidR="00E73CAD" w14:paraId="6C60FCC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4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B756E13" w14:textId="77777777" w:rsidR="00E73CAD" w:rsidRDefault="00C509A7">
                                  <w:pPr>
                                    <w:pStyle w:val="Style14"/>
                                    <w:shd w:val="clear" w:color="auto" w:fill="auto"/>
                                    <w:spacing w:after="0" w:line="240" w:lineRule="auto"/>
                                    <w:ind w:left="3480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 xml:space="preserve">váha </w:t>
                                  </w:r>
                                  <w:proofErr w:type="gramStart"/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50%</w:t>
                                  </w:r>
                                  <w:proofErr w:type="gramEnd"/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 xml:space="preserve"> pro HW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0CC7FD" w14:textId="77777777" w:rsidR="00E73CAD" w:rsidRDefault="00C509A7">
                                  <w:pPr>
                                    <w:pStyle w:val="Style14"/>
                                    <w:shd w:val="clear" w:color="auto" w:fill="auto"/>
                                    <w:spacing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588 319 Kč</w:t>
                                  </w:r>
                                </w:p>
                              </w:tc>
                            </w:tr>
                            <w:tr w:rsidR="00E73CAD" w14:paraId="5853146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4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CDCC75" w14:textId="77777777" w:rsidR="00E73CAD" w:rsidRDefault="00C509A7">
                                  <w:pPr>
                                    <w:pStyle w:val="Style14"/>
                                    <w:shd w:val="clear" w:color="auto" w:fill="auto"/>
                                    <w:spacing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součet za 200 licenci a 48 měsíců a 50% celkové ceny za HW t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299C03" w14:textId="77777777" w:rsidR="00E73CAD" w:rsidRDefault="00C509A7">
                                  <w:pPr>
                                    <w:pStyle w:val="Style14"/>
                                    <w:shd w:val="clear" w:color="auto" w:fill="auto"/>
                                    <w:spacing w:after="0" w:line="240" w:lineRule="auto"/>
                                    <w:ind w:firstLine="6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szCs w:val="11"/>
                                    </w:rPr>
                                    <w:t>2 268 319 Kč</w:t>
                                  </w:r>
                                </w:p>
                              </w:tc>
                            </w:tr>
                          </w:tbl>
                          <w:p w14:paraId="064384D3" w14:textId="77777777" w:rsidR="00E73CAD" w:rsidRDefault="00E73CA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527639" id="Shape 15" o:spid="_x0000_s1029" type="#_x0000_t202" style="position:absolute;left:0;text-align:left;margin-left:473.35pt;margin-top:227pt;width:289.7pt;height:57.1pt;z-index:125829387;visibility:visible;mso-wrap-style:square;mso-wrap-distance-left:9pt;mso-wrap-distance-top:1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35"/>
                        <w:gridCol w:w="1358"/>
                      </w:tblGrid>
                      <w:tr w:rsidR="00E73CAD" w14:paraId="5C7C379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tblHeader/>
                        </w:trPr>
                        <w:tc>
                          <w:tcPr>
                            <w:tcW w:w="4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AE8863B" w14:textId="77777777" w:rsidR="00E73CAD" w:rsidRDefault="00C509A7">
                            <w:pPr>
                              <w:pStyle w:val="Style14"/>
                              <w:shd w:val="clear" w:color="auto" w:fill="auto"/>
                              <w:spacing w:after="0" w:line="240" w:lineRule="auto"/>
                              <w:ind w:left="368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celkem za HW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572498C" w14:textId="77777777" w:rsidR="00E73CAD" w:rsidRDefault="00C509A7">
                            <w:pPr>
                              <w:pStyle w:val="Style14"/>
                              <w:shd w:val="clear" w:color="auto" w:fill="auto"/>
                              <w:spacing w:after="0" w:line="240" w:lineRule="auto"/>
                              <w:ind w:firstLine="6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1176 638 Kč</w:t>
                            </w:r>
                          </w:p>
                        </w:tc>
                      </w:tr>
                      <w:tr w:rsidR="00E73CAD" w14:paraId="409547D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4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6E148B" w14:textId="77777777" w:rsidR="00E73CAD" w:rsidRDefault="00C509A7">
                            <w:pPr>
                              <w:pStyle w:val="Style14"/>
                              <w:shd w:val="clear" w:color="auto" w:fill="auto"/>
                              <w:spacing w:after="0" w:line="240" w:lineRule="auto"/>
                              <w:ind w:left="30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 xml:space="preserve">cena za 1 licenci a </w:t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mésic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</w:rPr>
                              <w:t xml:space="preserve"> t: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E16ED2B" w14:textId="77777777" w:rsidR="00E73CAD" w:rsidRDefault="00C509A7">
                            <w:pPr>
                              <w:pStyle w:val="Style14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175 Kč</w:t>
                            </w:r>
                          </w:p>
                        </w:tc>
                      </w:tr>
                      <w:tr w:rsidR="00E73CAD" w14:paraId="38F6B47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4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F1C5F1" w14:textId="77777777" w:rsidR="00E73CAD" w:rsidRDefault="00C509A7">
                            <w:pPr>
                              <w:pStyle w:val="Style14"/>
                              <w:shd w:val="clear" w:color="auto" w:fill="auto"/>
                              <w:spacing w:after="0" w:line="240" w:lineRule="auto"/>
                              <w:ind w:left="266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celkem za 200 licenci a 48 měsíců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B43894B" w14:textId="77777777" w:rsidR="00E73CAD" w:rsidRDefault="00C509A7">
                            <w:pPr>
                              <w:pStyle w:val="Style14"/>
                              <w:shd w:val="clear" w:color="auto" w:fill="auto"/>
                              <w:spacing w:after="0" w:line="240" w:lineRule="auto"/>
                              <w:ind w:firstLine="6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1 680 000 Kč</w:t>
                            </w:r>
                          </w:p>
                        </w:tc>
                      </w:tr>
                      <w:tr w:rsidR="00E73CAD" w14:paraId="6C60FCC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4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B756E13" w14:textId="77777777" w:rsidR="00E73CAD" w:rsidRDefault="00C509A7">
                            <w:pPr>
                              <w:pStyle w:val="Style14"/>
                              <w:shd w:val="clear" w:color="auto" w:fill="auto"/>
                              <w:spacing w:after="0" w:line="240" w:lineRule="auto"/>
                              <w:ind w:left="348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 xml:space="preserve">váha </w:t>
                            </w:r>
                            <w:proofErr w:type="gramStart"/>
                            <w:r>
                              <w:rPr>
                                <w:sz w:val="11"/>
                                <w:szCs w:val="11"/>
                              </w:rPr>
                              <w:t>50%</w:t>
                            </w:r>
                            <w:proofErr w:type="gramEnd"/>
                            <w:r>
                              <w:rPr>
                                <w:sz w:val="11"/>
                                <w:szCs w:val="11"/>
                              </w:rPr>
                              <w:t xml:space="preserve"> pro HW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0CC7FD" w14:textId="77777777" w:rsidR="00E73CAD" w:rsidRDefault="00C509A7">
                            <w:pPr>
                              <w:pStyle w:val="Style14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588 319 Kč</w:t>
                            </w:r>
                          </w:p>
                        </w:tc>
                      </w:tr>
                      <w:tr w:rsidR="00E73CAD" w14:paraId="5853146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44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FCDCC75" w14:textId="77777777" w:rsidR="00E73CAD" w:rsidRDefault="00C509A7">
                            <w:pPr>
                              <w:pStyle w:val="Style14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součet za 200 licenci a 48 měsíců a 50% celkové ceny za HW t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5299C03" w14:textId="77777777" w:rsidR="00E73CAD" w:rsidRDefault="00C509A7">
                            <w:pPr>
                              <w:pStyle w:val="Style14"/>
                              <w:shd w:val="clear" w:color="auto" w:fill="auto"/>
                              <w:spacing w:after="0" w:line="240" w:lineRule="auto"/>
                              <w:ind w:firstLine="6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2 268 319 Kč</w:t>
                            </w:r>
                          </w:p>
                        </w:tc>
                      </w:tr>
                    </w:tbl>
                    <w:p w14:paraId="064384D3" w14:textId="77777777" w:rsidR="00E73CAD" w:rsidRDefault="00E73CA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sz w:val="17"/>
          <w:szCs w:val="17"/>
        </w:rPr>
        <w:t>Modelový příklad pro hodnocení nabídek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528"/>
        <w:gridCol w:w="2357"/>
        <w:gridCol w:w="1032"/>
        <w:gridCol w:w="1680"/>
        <w:gridCol w:w="1915"/>
        <w:gridCol w:w="1546"/>
        <w:gridCol w:w="1565"/>
        <w:gridCol w:w="1339"/>
        <w:gridCol w:w="1354"/>
      </w:tblGrid>
      <w:tr w:rsidR="00E73CAD" w14:paraId="46C560A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36BF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1826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Počet i</w:t>
            </w:r>
          </w:p>
        </w:tc>
        <w:tc>
          <w:tcPr>
            <w:tcW w:w="23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25631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66A81" w14:textId="77777777" w:rsidR="00E73CAD" w:rsidRDefault="00C509A7">
            <w:pPr>
              <w:pStyle w:val="Style14"/>
              <w:shd w:val="clear" w:color="auto" w:fill="auto"/>
              <w:spacing w:after="0" w:line="32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Umístění přehrávače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9CD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DFD5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Zobrazovač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C912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Obrazový výstup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A496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Použitý přehrávač *)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E0CD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Jednotková cena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07996" w14:textId="77777777" w:rsidR="00E73CAD" w:rsidRDefault="00C509A7">
            <w:pPr>
              <w:pStyle w:val="Style14"/>
              <w:shd w:val="clear" w:color="auto" w:fill="auto"/>
              <w:spacing w:after="0" w:line="32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Náklad na HW přehrávače</w:t>
            </w:r>
          </w:p>
        </w:tc>
      </w:tr>
      <w:tr w:rsidR="00E73CAD" w14:paraId="12CC36C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919B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MPAVOl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C6CC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5EC5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Obrazovka 65"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82AC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libovolné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139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bez 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29F5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NECV854Q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870E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Ix</w:t>
            </w:r>
            <w:proofErr w:type="spellEnd"/>
            <w:r>
              <w:rPr>
                <w:sz w:val="11"/>
                <w:szCs w:val="11"/>
              </w:rPr>
              <w:t xml:space="preserve"> 3840x2160@50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017A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vlastní </w:t>
            </w:r>
            <w:proofErr w:type="spellStart"/>
            <w:r>
              <w:rPr>
                <w:sz w:val="11"/>
                <w:szCs w:val="11"/>
              </w:rPr>
              <w:t>SoC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 w:eastAsia="en-US" w:bidi="en-US"/>
              </w:rPr>
              <w:t>player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80AF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>0 KC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90FB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OKČ</w:t>
            </w:r>
          </w:p>
        </w:tc>
      </w:tr>
      <w:tr w:rsidR="00E73CAD" w14:paraId="3F275BE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EF1B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D0AB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128F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Obrazovka 65"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E13D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libovolně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C76E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bez 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A343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NEC V654Q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0FF1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Ix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3840x2160@50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CD5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vlastní </w:t>
            </w:r>
            <w:proofErr w:type="spellStart"/>
            <w:r>
              <w:rPr>
                <w:sz w:val="11"/>
                <w:szCs w:val="11"/>
              </w:rPr>
              <w:t>SoC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 w:eastAsia="en-US" w:bidi="en-US"/>
              </w:rPr>
              <w:t>player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FDD4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 xml:space="preserve">0 </w:t>
            </w:r>
            <w:r>
              <w:rPr>
                <w:sz w:val="11"/>
                <w:szCs w:val="11"/>
              </w:rPr>
              <w:t>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94E8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 Kč</w:t>
            </w:r>
          </w:p>
        </w:tc>
      </w:tr>
      <w:tr w:rsidR="00E73CAD" w14:paraId="35224C9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E71B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DFC9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FBE5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Obrazovka 55"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4E94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libovolně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5A64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bez 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7C947" w14:textId="77777777" w:rsidR="00E73CAD" w:rsidRDefault="00C509A7">
            <w:pPr>
              <w:pStyle w:val="Style14"/>
              <w:shd w:val="clear" w:color="auto" w:fill="auto"/>
              <w:tabs>
                <w:tab w:val="left" w:pos="1472"/>
              </w:tabs>
              <w:spacing w:after="0" w:line="240" w:lineRule="auto"/>
              <w:ind w:firstLine="6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NEC V554</w:t>
            </w:r>
            <w:r>
              <w:rPr>
                <w:sz w:val="11"/>
                <w:szCs w:val="11"/>
              </w:rPr>
              <w:tab/>
              <w:t>•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1957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Ix</w:t>
            </w:r>
            <w:proofErr w:type="spellEnd"/>
            <w:r>
              <w:rPr>
                <w:sz w:val="11"/>
                <w:szCs w:val="11"/>
              </w:rPr>
              <w:t xml:space="preserve"> 192</w:t>
            </w:r>
            <w:proofErr w:type="gramStart"/>
            <w:r>
              <w:rPr>
                <w:sz w:val="11"/>
                <w:szCs w:val="11"/>
              </w:rPr>
              <w:t>a(</w:t>
            </w:r>
            <w:proofErr w:type="gramEnd"/>
            <w:r>
              <w:rPr>
                <w:sz w:val="11"/>
                <w:szCs w:val="11"/>
              </w:rPr>
              <w:t>IOaO@5O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ED21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vlastni </w:t>
            </w:r>
            <w:proofErr w:type="spellStart"/>
            <w:r>
              <w:rPr>
                <w:sz w:val="11"/>
                <w:szCs w:val="11"/>
              </w:rPr>
              <w:t>SoC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 w:eastAsia="en-US" w:bidi="en-US"/>
              </w:rPr>
              <w:t>player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D8AA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 xml:space="preserve">0 </w:t>
            </w:r>
            <w:r>
              <w:rPr>
                <w:sz w:val="11"/>
                <w:szCs w:val="11"/>
              </w:rPr>
              <w:t>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BFBA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OKC</w:t>
            </w:r>
          </w:p>
        </w:tc>
      </w:tr>
      <w:tr w:rsidR="00E73CAD" w14:paraId="4D5B38B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0767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ED0D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E6E6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Obrazovka 49"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DEB9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libovolně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2C91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bez 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9E9D4" w14:textId="77777777" w:rsidR="00E73CAD" w:rsidRDefault="00C509A7">
            <w:pPr>
              <w:pStyle w:val="Style14"/>
              <w:shd w:val="clear" w:color="auto" w:fill="auto"/>
              <w:tabs>
                <w:tab w:val="left" w:pos="1708"/>
              </w:tabs>
              <w:spacing w:after="0" w:line="240" w:lineRule="auto"/>
              <w:ind w:firstLine="4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Philips 49BDL4050</w:t>
            </w:r>
            <w:r>
              <w:rPr>
                <w:sz w:val="11"/>
                <w:szCs w:val="11"/>
              </w:rPr>
              <w:tab/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C156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Ix</w:t>
            </w:r>
            <w:proofErr w:type="spellEnd"/>
            <w:r>
              <w:rPr>
                <w:sz w:val="11"/>
                <w:szCs w:val="11"/>
              </w:rPr>
              <w:t xml:space="preserve"> 1920xl080@50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CA6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vlastni </w:t>
            </w:r>
            <w:proofErr w:type="spellStart"/>
            <w:r>
              <w:rPr>
                <w:sz w:val="11"/>
                <w:szCs w:val="11"/>
              </w:rPr>
              <w:t>SoC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 w:eastAsia="en-US" w:bidi="en-US"/>
              </w:rPr>
              <w:t>player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B0E9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OKč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C692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OKč</w:t>
            </w:r>
            <w:proofErr w:type="spellEnd"/>
          </w:p>
        </w:tc>
      </w:tr>
      <w:tr w:rsidR="00E73CAD" w14:paraId="39547B5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B90D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MPAVOS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018B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1F0F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Obrazovka 48"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4FEB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libovolně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C1F3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bez 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6B3C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NECV484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14:paraId="60AB027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Ix</w:t>
            </w:r>
            <w:proofErr w:type="spellEnd"/>
            <w:r>
              <w:rPr>
                <w:sz w:val="11"/>
                <w:szCs w:val="11"/>
              </w:rPr>
              <w:t xml:space="preserve"> 1920xl080@50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9E1F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vlastni </w:t>
            </w:r>
            <w:proofErr w:type="spellStart"/>
            <w:r>
              <w:rPr>
                <w:sz w:val="11"/>
                <w:szCs w:val="11"/>
              </w:rPr>
              <w:t>SoC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 w:eastAsia="en-US" w:bidi="en-US"/>
              </w:rPr>
              <w:t>player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EF26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OKč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58D2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OKČ</w:t>
            </w:r>
          </w:p>
        </w:tc>
      </w:tr>
      <w:tr w:rsidR="00E73CAD" w14:paraId="11AAEBB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D7E1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B3A5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A949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Obrazovka v prostoru s OPS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3556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u obrazovky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FFD2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bez 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F858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NEC V554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D1728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Ix</w:t>
            </w:r>
            <w:proofErr w:type="spellEnd"/>
            <w:r>
              <w:rPr>
                <w:sz w:val="11"/>
                <w:szCs w:val="11"/>
              </w:rPr>
              <w:t xml:space="preserve"> 3840x2160(5)50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304D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Giada</w:t>
            </w:r>
            <w:proofErr w:type="spellEnd"/>
            <w:r>
              <w:rPr>
                <w:sz w:val="11"/>
                <w:szCs w:val="11"/>
              </w:rPr>
              <w:t xml:space="preserve"> PC68 OPS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CE87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11460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EE366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183 360 Kč</w:t>
            </w:r>
          </w:p>
        </w:tc>
      </w:tr>
      <w:tr w:rsidR="00E73CAD" w14:paraId="19BD001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15F1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AA5A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150B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Obrazovka &gt;32" s tlačítky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1F83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u obrazovky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BFBE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 ovládáním tlačítky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B569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obecná obrazovka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57C9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Ix</w:t>
            </w:r>
            <w:proofErr w:type="spellEnd"/>
            <w:r>
              <w:rPr>
                <w:sz w:val="11"/>
                <w:szCs w:val="11"/>
              </w:rPr>
              <w:t xml:space="preserve"> 3840x21600)50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9FE0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Briqhtsiqn</w:t>
            </w:r>
            <w:proofErr w:type="spellEnd"/>
            <w:r>
              <w:rPr>
                <w:sz w:val="11"/>
                <w:szCs w:val="11"/>
              </w:rPr>
              <w:t xml:space="preserve"> HD1024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743E5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10 295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7A47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102 950 Kč</w:t>
            </w:r>
          </w:p>
        </w:tc>
      </w:tr>
      <w:tr w:rsidR="00E73CAD" w14:paraId="742DA0B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90ED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MPAVOS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AB5C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B85A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Obrazovka &gt;32", přehrávač se SIM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64498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 sen/</w:t>
            </w:r>
            <w:proofErr w:type="spellStart"/>
            <w:r>
              <w:rPr>
                <w:sz w:val="11"/>
                <w:szCs w:val="11"/>
              </w:rPr>
              <w:t>erovné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5169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bez 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1275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obecná obrazovka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F88E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1x3840x2160(3)50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2E9C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Giada</w:t>
            </w:r>
            <w:proofErr w:type="spellEnd"/>
            <w:r>
              <w:rPr>
                <w:sz w:val="11"/>
                <w:szCs w:val="11"/>
              </w:rPr>
              <w:t xml:space="preserve"> DF68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EEFB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14 </w:t>
            </w:r>
            <w:r>
              <w:rPr>
                <w:sz w:val="11"/>
                <w:szCs w:val="11"/>
              </w:rPr>
              <w:t>189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F7F2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283 780 Kč</w:t>
            </w:r>
          </w:p>
        </w:tc>
      </w:tr>
      <w:tr w:rsidR="00E73CAD" w14:paraId="0B7325D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B19B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MPAV09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76DB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890E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Dotyková obrazovka v prostoru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BA85D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u obrazovky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E5AB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 dotykovým ovládáním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BBAE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dotyková obrazovka USB </w:t>
            </w:r>
            <w:r>
              <w:rPr>
                <w:sz w:val="11"/>
                <w:szCs w:val="11"/>
                <w:lang w:val="en-US" w:eastAsia="en-US" w:bidi="en-US"/>
              </w:rPr>
              <w:t>HID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E439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Ix</w:t>
            </w:r>
            <w:proofErr w:type="spellEnd"/>
            <w:r>
              <w:rPr>
                <w:sz w:val="11"/>
                <w:szCs w:val="11"/>
              </w:rPr>
              <w:t xml:space="preserve"> 1920x1080^50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450C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 xml:space="preserve">Raspberry Pi </w:t>
            </w:r>
            <w:r>
              <w:rPr>
                <w:sz w:val="11"/>
                <w:szCs w:val="11"/>
              </w:rPr>
              <w:t>4B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B901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2 096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3021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31 440 Kč</w:t>
            </w:r>
          </w:p>
        </w:tc>
      </w:tr>
      <w:tr w:rsidR="00E73CAD" w14:paraId="26C8C6A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0410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MPAVIO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BE77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C6B7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Dotyková obrazovka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B4ACB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 serverovně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3EB6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 dotykovým ovládáním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AF4B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dotyková obrazovka USB </w:t>
            </w:r>
            <w:r>
              <w:rPr>
                <w:sz w:val="11"/>
                <w:szCs w:val="11"/>
                <w:lang w:val="en-US" w:eastAsia="en-US" w:bidi="en-US"/>
              </w:rPr>
              <w:t>HID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9B9B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Ix</w:t>
            </w:r>
            <w:proofErr w:type="spellEnd"/>
            <w:r>
              <w:rPr>
                <w:sz w:val="11"/>
                <w:szCs w:val="11"/>
              </w:rPr>
              <w:t xml:space="preserve"> 1920x10801^.50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74B2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>Raspberry Pi 48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BA3B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2 096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456F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41 920 Kč</w:t>
            </w:r>
          </w:p>
        </w:tc>
      </w:tr>
      <w:tr w:rsidR="00E73CAD" w14:paraId="4CC940D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AB43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MPAVII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1566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BDFB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Čtyři synchronizované obrazovky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4A0261D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 libovolně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F962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bez 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0EA8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4x obecná obrazovka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14:paraId="0E912C8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4ks (</w:t>
            </w:r>
            <w:proofErr w:type="spellStart"/>
            <w:r>
              <w:rPr>
                <w:sz w:val="11"/>
                <w:szCs w:val="11"/>
              </w:rPr>
              <w:t>Ix</w:t>
            </w:r>
            <w:proofErr w:type="spellEnd"/>
            <w:r>
              <w:rPr>
                <w:sz w:val="11"/>
                <w:szCs w:val="11"/>
              </w:rPr>
              <w:t xml:space="preserve"> 1920x1080050)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5424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>Raspberry Pi 4B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D845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2 096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A43D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100 608 Kč</w:t>
            </w:r>
          </w:p>
        </w:tc>
      </w:tr>
      <w:tr w:rsidR="00E73CAD" w14:paraId="495773D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A02C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9516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3BBD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Čtyři </w:t>
            </w:r>
            <w:r>
              <w:rPr>
                <w:sz w:val="11"/>
                <w:szCs w:val="11"/>
              </w:rPr>
              <w:t xml:space="preserve">synchronizované </w:t>
            </w:r>
            <w:proofErr w:type="spellStart"/>
            <w:r>
              <w:rPr>
                <w:sz w:val="11"/>
                <w:szCs w:val="11"/>
              </w:rPr>
              <w:t>proiektory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A43D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 serverovně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A021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bez 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F553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4x </w:t>
            </w:r>
            <w:r>
              <w:rPr>
                <w:sz w:val="11"/>
                <w:szCs w:val="11"/>
                <w:lang w:val="en-US" w:eastAsia="en-US" w:bidi="en-US"/>
              </w:rPr>
              <w:t xml:space="preserve">Full </w:t>
            </w:r>
            <w:r>
              <w:rPr>
                <w:sz w:val="11"/>
                <w:szCs w:val="11"/>
              </w:rPr>
              <w:t>HD projektor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16156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4ks (1x1920x1080050)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FB6D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>Raspberry Pi 48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6D05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2 096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473B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100 608 Kč</w:t>
            </w:r>
          </w:p>
        </w:tc>
      </w:tr>
      <w:tr w:rsidR="00E73CAD" w14:paraId="6DEF8FA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4DD5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B6C2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1EEE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Projekce jednoduchá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838F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 serverovně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D419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bez 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A98D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4K projektor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277A6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Ix</w:t>
            </w:r>
            <w:proofErr w:type="spellEnd"/>
            <w:r>
              <w:rPr>
                <w:sz w:val="11"/>
                <w:szCs w:val="11"/>
              </w:rPr>
              <w:t xml:space="preserve"> 3840x21600)50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EAD4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>Raspberry Pi 48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A9F6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2 096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E1791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69 168 Kč</w:t>
            </w:r>
          </w:p>
        </w:tc>
      </w:tr>
      <w:tr w:rsidR="00E73CAD" w14:paraId="72B52C9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6856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9BAB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D75B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Projekce obrazové spojená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AE3C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 serverovně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FFB9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bez interakce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49F1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3x 4K projektor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77DBF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 3x 3840x21600)50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D9B5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>Dell 3930 rack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E57C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60 461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ACDC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241 844 Kč</w:t>
            </w:r>
          </w:p>
        </w:tc>
      </w:tr>
      <w:tr w:rsidR="00E73CAD" w14:paraId="15248B4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DCE1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MPAV15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82BC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4994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Pouze zvuk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C9422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 libovolné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B108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 ovládáním tlačítky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606C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pouze </w:t>
            </w:r>
            <w:r>
              <w:rPr>
                <w:sz w:val="11"/>
                <w:szCs w:val="11"/>
                <w:lang w:val="en-US" w:eastAsia="en-US" w:bidi="en-US"/>
              </w:rPr>
              <w:t>audio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2DD4C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n/a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8DF1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>Raspberry Pi 48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428F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2 096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34B1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20 960 Kč</w:t>
            </w:r>
          </w:p>
        </w:tc>
      </w:tr>
    </w:tbl>
    <w:p w14:paraId="35FFAEB5" w14:textId="77777777" w:rsidR="00E73CAD" w:rsidRDefault="00E73CAD">
      <w:pPr>
        <w:spacing w:after="99" w:line="1" w:lineRule="exact"/>
      </w:pPr>
    </w:p>
    <w:p w14:paraId="2CDE2B06" w14:textId="77777777" w:rsidR="00E73CAD" w:rsidRDefault="00C509A7">
      <w:pPr>
        <w:pStyle w:val="Style23"/>
        <w:shd w:val="clear" w:color="auto" w:fill="auto"/>
        <w:spacing w:before="640" w:line="348" w:lineRule="auto"/>
      </w:pPr>
      <w:r>
        <w:t xml:space="preserve">* </w:t>
      </w:r>
      <w:r>
        <w:t>Dodavatel v tomto sloupci vybere pouze z nabízených možnosti (přehrávače uvedené na listu "</w:t>
      </w:r>
      <w:proofErr w:type="spellStart"/>
      <w:r>
        <w:t>Playery</w:t>
      </w:r>
      <w:proofErr w:type="spellEnd"/>
      <w:r>
        <w:t>" v tomto souboru).</w:t>
      </w:r>
      <w:r>
        <w:br/>
        <w:t xml:space="preserve">U položek MPAV 06 - MPAVOS a MPAV14 zadavatel vyžaduje instalaci konkrétních zařízeni </w:t>
      </w:r>
      <w:proofErr w:type="gramStart"/>
      <w:r>
        <w:t>s</w:t>
      </w:r>
      <w:proofErr w:type="gramEnd"/>
      <w:r>
        <w:t xml:space="preserve"> návaznosti na další hardware, u těchto položek pro</w:t>
      </w:r>
      <w:r>
        <w:t>to nelze měnit HW přehrávače.</w:t>
      </w:r>
      <w:r>
        <w:br/>
        <w:t>V seznamu jsou uvedeny, aby byla zachována přehlednost pro celkový počet použitých licenci v modelovém přikladu.</w:t>
      </w:r>
    </w:p>
    <w:p w14:paraId="622553C7" w14:textId="0EF864BF" w:rsidR="00E73CAD" w:rsidRDefault="00C509A7">
      <w:pPr>
        <w:pStyle w:val="Style23"/>
        <w:shd w:val="clear" w:color="auto" w:fill="auto"/>
        <w:spacing w:line="305" w:lineRule="auto"/>
      </w:pPr>
      <w:r>
        <w:t xml:space="preserve">Zadavatel ve sloupci Zobrazovač uvádí u položek </w:t>
      </w:r>
      <w:proofErr w:type="spellStart"/>
      <w:proofErr w:type="gramStart"/>
      <w:r>
        <w:t>MPAVOl</w:t>
      </w:r>
      <w:proofErr w:type="spellEnd"/>
      <w:r>
        <w:t xml:space="preserve"> - MPAVOS</w:t>
      </w:r>
      <w:proofErr w:type="gramEnd"/>
      <w:r>
        <w:t xml:space="preserve"> konkrétní modely obrazovek, kterými již disponuje</w:t>
      </w:r>
      <w:r>
        <w:t>.</w:t>
      </w:r>
      <w:r>
        <w:br/>
      </w:r>
      <w:r>
        <w:rPr>
          <w:b/>
          <w:bCs/>
          <w:sz w:val="14"/>
          <w:szCs w:val="14"/>
        </w:rPr>
        <w:t xml:space="preserve"> </w:t>
      </w:r>
      <w:r>
        <w:t xml:space="preserve">těchto položek Zadavatel umožňuje řešení pomoci </w:t>
      </w:r>
      <w:proofErr w:type="spellStart"/>
      <w:r>
        <w:t>SoC</w:t>
      </w:r>
      <w:proofErr w:type="spellEnd"/>
      <w:r>
        <w:t xml:space="preserve"> přehrávače (tj, aplikace kompatibilní se zobrazovačem Zadavatele a s dodávaným systémem pro správu AV obsahu).</w:t>
      </w:r>
    </w:p>
    <w:p w14:paraId="4D0BE7E3" w14:textId="06A325A1" w:rsidR="00E73CAD" w:rsidRDefault="00C509A7">
      <w:pPr>
        <w:pStyle w:val="Style23"/>
        <w:shd w:val="clear" w:color="auto" w:fill="auto"/>
        <w:tabs>
          <w:tab w:val="left" w:pos="1850"/>
          <w:tab w:val="left" w:pos="4116"/>
        </w:tabs>
        <w:spacing w:line="271" w:lineRule="auto"/>
        <w:ind w:firstLine="660"/>
        <w:jc w:val="left"/>
      </w:pP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t xml:space="preserve">° alternativní možnost softwarového řešeni, které musí </w:t>
      </w:r>
      <w:r>
        <w:t>být funkčně spravovatelné minimálně ve stejném rozsahu, jako při použiti HW přehrávače.</w:t>
      </w:r>
    </w:p>
    <w:p w14:paraId="5CCBCD33" w14:textId="3BE74A5C" w:rsidR="00E73CAD" w:rsidRDefault="00C509A7">
      <w:pPr>
        <w:pStyle w:val="Style23"/>
        <w:shd w:val="clear" w:color="auto" w:fill="auto"/>
        <w:tabs>
          <w:tab w:val="left" w:pos="1397"/>
          <w:tab w:val="left" w:pos="6144"/>
        </w:tabs>
        <w:spacing w:line="271" w:lineRule="auto"/>
        <w:jc w:val="left"/>
      </w:pP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t xml:space="preserve">Požadavky na </w:t>
      </w:r>
      <w:proofErr w:type="spellStart"/>
      <w:r>
        <w:t>SoC</w:t>
      </w:r>
      <w:proofErr w:type="spellEnd"/>
      <w:r>
        <w:t xml:space="preserve"> přehrávač jsou uvedeny v příloze č 3 ZD.</w:t>
      </w:r>
    </w:p>
    <w:p w14:paraId="118C0049" w14:textId="77777777" w:rsidR="00E73CAD" w:rsidRDefault="00C509A7">
      <w:pPr>
        <w:pStyle w:val="Style23"/>
        <w:shd w:val="clear" w:color="auto" w:fill="auto"/>
        <w:spacing w:after="40" w:line="240" w:lineRule="auto"/>
        <w:ind w:left="4140"/>
        <w:jc w:val="left"/>
      </w:pPr>
      <w:r>
        <w:t>t cena za 1 licenci a měsíc musí obsahovat veškeré náklady dle technických specifikaci</w:t>
      </w:r>
      <w:r>
        <w:t xml:space="preserve"> uvedených v příloze č. 2 a 3 zadávací dokumentace</w:t>
      </w:r>
    </w:p>
    <w:p w14:paraId="42F3B36E" w14:textId="77777777" w:rsidR="00E73CAD" w:rsidRDefault="00C509A7">
      <w:pPr>
        <w:pStyle w:val="Style23"/>
        <w:shd w:val="clear" w:color="auto" w:fill="auto"/>
        <w:spacing w:after="160" w:line="348" w:lineRule="auto"/>
      </w:pPr>
      <w:r>
        <w:t>í Veškeré zde uvedené ceny a náklady jsou vyčíslené jako modelový přiklad pro účely hodnocení nabídek. Dodávky HW bude zajišťovat zadavatel. Vybranému dodavateli bude hrazena cena za</w:t>
      </w:r>
      <w:r>
        <w:br/>
        <w:t>skutečně využívaný poč</w:t>
      </w:r>
      <w:r>
        <w:t>et licenci za podmínek stanovených v příloze č. 2 zadávací dokumentace, závazná bude jednotková cena za 1 licenci a měsíc.</w:t>
      </w:r>
      <w:r>
        <w:br w:type="page"/>
      </w:r>
    </w:p>
    <w:p w14:paraId="1A3764AC" w14:textId="77777777" w:rsidR="00E73CAD" w:rsidRDefault="00C509A7">
      <w:pPr>
        <w:pStyle w:val="Style6"/>
        <w:shd w:val="clear" w:color="auto" w:fill="auto"/>
        <w:spacing w:after="260" w:line="240" w:lineRule="auto"/>
        <w:ind w:left="5140"/>
        <w:rPr>
          <w:sz w:val="17"/>
          <w:szCs w:val="17"/>
        </w:rPr>
      </w:pPr>
      <w:r>
        <w:rPr>
          <w:b/>
          <w:bCs/>
          <w:sz w:val="17"/>
          <w:szCs w:val="17"/>
        </w:rPr>
        <w:lastRenderedPageBreak/>
        <w:t xml:space="preserve">Podkladová </w:t>
      </w:r>
      <w:r>
        <w:rPr>
          <w:b/>
          <w:bCs/>
          <w:sz w:val="17"/>
          <w:szCs w:val="17"/>
          <w:lang w:val="en-US" w:eastAsia="en-US" w:bidi="en-US"/>
        </w:rPr>
        <w:t xml:space="preserve">data a </w:t>
      </w:r>
      <w:r>
        <w:rPr>
          <w:b/>
          <w:bCs/>
          <w:sz w:val="17"/>
          <w:szCs w:val="17"/>
        </w:rPr>
        <w:t xml:space="preserve">specifikace </w:t>
      </w:r>
      <w:r>
        <w:rPr>
          <w:b/>
          <w:bCs/>
          <w:sz w:val="17"/>
          <w:szCs w:val="17"/>
          <w:lang w:val="en-US" w:eastAsia="en-US" w:bidi="en-US"/>
        </w:rPr>
        <w:t xml:space="preserve">HW </w:t>
      </w:r>
      <w:proofErr w:type="gramStart"/>
      <w:r>
        <w:rPr>
          <w:b/>
          <w:bCs/>
          <w:sz w:val="17"/>
          <w:szCs w:val="17"/>
        </w:rPr>
        <w:t xml:space="preserve">přehrávačů </w:t>
      </w:r>
      <w:r>
        <w:rPr>
          <w:b/>
          <w:bCs/>
          <w:sz w:val="17"/>
          <w:szCs w:val="17"/>
          <w:lang w:val="en-US" w:eastAsia="en-US" w:bidi="en-US"/>
        </w:rPr>
        <w:t xml:space="preserve">- </w:t>
      </w:r>
      <w:r>
        <w:rPr>
          <w:b/>
          <w:bCs/>
          <w:sz w:val="17"/>
          <w:szCs w:val="17"/>
        </w:rPr>
        <w:t>neupravovat</w:t>
      </w:r>
      <w:proofErr w:type="gramEnd"/>
      <w:r>
        <w:rPr>
          <w:b/>
          <w:bCs/>
          <w:sz w:val="17"/>
          <w:szCs w:val="17"/>
        </w:rPr>
        <w:t>!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099"/>
        <w:gridCol w:w="1176"/>
        <w:gridCol w:w="922"/>
        <w:gridCol w:w="701"/>
        <w:gridCol w:w="902"/>
        <w:gridCol w:w="1723"/>
        <w:gridCol w:w="1190"/>
        <w:gridCol w:w="1373"/>
        <w:gridCol w:w="648"/>
        <w:gridCol w:w="710"/>
        <w:gridCol w:w="1018"/>
        <w:gridCol w:w="696"/>
        <w:gridCol w:w="446"/>
      </w:tblGrid>
      <w:tr w:rsidR="00E73CAD" w14:paraId="1D0ADBF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DC89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Označeni výrobku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4315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ID HW položky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618E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Cena</w:t>
            </w:r>
          </w:p>
        </w:tc>
        <w:tc>
          <w:tcPr>
            <w:tcW w:w="103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5E2C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Parametry výrobku</w:t>
            </w:r>
          </w:p>
        </w:tc>
      </w:tr>
      <w:tr w:rsidR="00E73CAD" w14:paraId="2194A2E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A5787C" w14:textId="77777777" w:rsidR="00E73CAD" w:rsidRDefault="00E73CAD"/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0BFA27" w14:textId="77777777" w:rsidR="00E73CAD" w:rsidRDefault="00E73CAD"/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885A1F" w14:textId="77777777" w:rsidR="00E73CAD" w:rsidRDefault="00E73CAD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63AB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CPU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36739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 RAM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FC3E4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r>
              <w:rPr>
                <w:sz w:val="11"/>
                <w:szCs w:val="11"/>
              </w:rPr>
              <w:t>Úložiště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E9B0F" w14:textId="77777777" w:rsidR="00E73CAD" w:rsidRDefault="00C509A7">
            <w:pPr>
              <w:pStyle w:val="Style14"/>
              <w:shd w:val="clear" w:color="auto" w:fill="auto"/>
              <w:tabs>
                <w:tab w:val="left" w:pos="1238"/>
              </w:tabs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Grafická karta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F8A2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Počet DP/HDMI 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3F62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Max rozlišeni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4AA7E76D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61A9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RS-232 i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16CC1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OS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A0D29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É VESA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BE03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SIM</w:t>
            </w:r>
          </w:p>
        </w:tc>
      </w:tr>
      <w:tr w:rsidR="00E73CAD" w14:paraId="6D1B5BA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9349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Brightsign</w:t>
            </w:r>
            <w:proofErr w:type="spellEnd"/>
            <w:r>
              <w:rPr>
                <w:sz w:val="11"/>
                <w:szCs w:val="11"/>
              </w:rPr>
              <w:t xml:space="preserve"> HD1024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2FD5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DMP007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EAC5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10 295 Kč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600A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n/a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D42DA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 n/a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E967B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proofErr w:type="gramStart"/>
            <w:r>
              <w:rPr>
                <w:sz w:val="11"/>
                <w:szCs w:val="11"/>
              </w:rPr>
              <w:t>32GB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BD853" w14:textId="77777777" w:rsidR="00E73CAD" w:rsidRDefault="00C509A7">
            <w:pPr>
              <w:pStyle w:val="Style14"/>
              <w:shd w:val="clear" w:color="auto" w:fill="auto"/>
              <w:tabs>
                <w:tab w:val="left" w:pos="1656"/>
              </w:tabs>
              <w:spacing w:after="0" w:line="240" w:lineRule="auto"/>
              <w:ind w:firstLine="4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integrovaná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6DEFE" w14:textId="77777777" w:rsidR="00E73CAD" w:rsidRDefault="00C509A7">
            <w:pPr>
              <w:pStyle w:val="Style14"/>
              <w:shd w:val="clear" w:color="auto" w:fill="auto"/>
              <w:tabs>
                <w:tab w:val="left" w:pos="1075"/>
              </w:tabs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  <w:r>
              <w:rPr>
                <w:sz w:val="11"/>
                <w:szCs w:val="11"/>
              </w:rPr>
              <w:tab/>
              <w:t>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56D0C" w14:textId="77777777" w:rsidR="00E73CAD" w:rsidRDefault="00C509A7">
            <w:pPr>
              <w:pStyle w:val="Style14"/>
              <w:shd w:val="clear" w:color="auto" w:fill="auto"/>
              <w:tabs>
                <w:tab w:val="left" w:pos="1465"/>
              </w:tabs>
              <w:spacing w:after="0" w:line="240" w:lineRule="auto"/>
              <w:ind w:firstLine="1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384OX216O0)6OHz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536B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ano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8187D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Brightsign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44154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 ne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0E8B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</w:t>
            </w:r>
          </w:p>
        </w:tc>
      </w:tr>
      <w:tr w:rsidR="00E73CAD" w14:paraId="4D48162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762C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Brightsign</w:t>
            </w:r>
            <w:proofErr w:type="spellEnd"/>
            <w:r>
              <w:rPr>
                <w:sz w:val="11"/>
                <w:szCs w:val="11"/>
              </w:rPr>
              <w:t xml:space="preserve"> IS424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5D2D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DMP006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6A52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5 953 Kč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A863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n/a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5C870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 n/a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B62D6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proofErr w:type="gramStart"/>
            <w:r>
              <w:rPr>
                <w:sz w:val="11"/>
                <w:szCs w:val="11"/>
              </w:rPr>
              <w:t>32GB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9ACC8" w14:textId="77777777" w:rsidR="00E73CAD" w:rsidRDefault="00C509A7">
            <w:pPr>
              <w:pStyle w:val="Style14"/>
              <w:shd w:val="clear" w:color="auto" w:fill="auto"/>
              <w:tabs>
                <w:tab w:val="left" w:pos="1656"/>
              </w:tabs>
              <w:spacing w:after="0" w:line="240" w:lineRule="auto"/>
              <w:ind w:firstLine="4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integrovaná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623A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1F9C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1920 X 1080(a)60H2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2F885821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9C81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6E51D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Brightsign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45A23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 ne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E087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</w:t>
            </w:r>
          </w:p>
        </w:tc>
      </w:tr>
      <w:tr w:rsidR="00E73CAD" w14:paraId="0328DF8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683D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Briqhtsign</w:t>
            </w:r>
            <w:proofErr w:type="spellEnd"/>
            <w:r>
              <w:rPr>
                <w:sz w:val="11"/>
                <w:szCs w:val="11"/>
              </w:rPr>
              <w:t xml:space="preserve"> XD1034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DFA9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DMP008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296D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12 784 Kč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1B43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n/a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4B559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 n/a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1FFAE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proofErr w:type="gramStart"/>
            <w:r>
              <w:rPr>
                <w:sz w:val="11"/>
                <w:szCs w:val="11"/>
              </w:rPr>
              <w:t>32GB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9DA85" w14:textId="77777777" w:rsidR="00E73CAD" w:rsidRDefault="00C509A7">
            <w:pPr>
              <w:pStyle w:val="Style14"/>
              <w:shd w:val="clear" w:color="auto" w:fill="auto"/>
              <w:tabs>
                <w:tab w:val="left" w:pos="1651"/>
              </w:tabs>
              <w:spacing w:after="0" w:line="240" w:lineRule="auto"/>
              <w:ind w:firstLine="4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integrovaná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0EF4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8D4F4" w14:textId="77777777" w:rsidR="00E73CAD" w:rsidRDefault="00C509A7">
            <w:pPr>
              <w:pStyle w:val="Style14"/>
              <w:shd w:val="clear" w:color="auto" w:fill="auto"/>
              <w:tabs>
                <w:tab w:val="left" w:pos="1950"/>
              </w:tabs>
              <w:spacing w:after="0" w:line="240" w:lineRule="auto"/>
              <w:ind w:firstLine="1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3840X2180@</w:t>
            </w:r>
            <w:proofErr w:type="gramStart"/>
            <w:r>
              <w:rPr>
                <w:sz w:val="11"/>
                <w:szCs w:val="11"/>
              </w:rPr>
              <w:t>60Hz</w:t>
            </w:r>
            <w:proofErr w:type="gramEnd"/>
            <w:r>
              <w:rPr>
                <w:sz w:val="11"/>
                <w:szCs w:val="11"/>
              </w:rPr>
              <w:tab/>
              <w:t>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E842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ano i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8FF0F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Brightsign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1CA4D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 ne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D06C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</w:t>
            </w:r>
          </w:p>
        </w:tc>
      </w:tr>
      <w:tr w:rsidR="00E73CAD" w14:paraId="013A61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2EC9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Dell 3930 </w:t>
            </w:r>
            <w:r>
              <w:rPr>
                <w:sz w:val="11"/>
                <w:szCs w:val="11"/>
                <w:lang w:val="en-US" w:eastAsia="en-US" w:bidi="en-US"/>
              </w:rPr>
              <w:t>rack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C4F4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DMP005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B2F0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60 461 Kč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7717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Í9-</w:t>
            </w:r>
            <w:proofErr w:type="gramStart"/>
            <w:r>
              <w:rPr>
                <w:sz w:val="11"/>
                <w:szCs w:val="11"/>
              </w:rPr>
              <w:t>9900T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A8A0D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proofErr w:type="gramStart"/>
            <w:r>
              <w:rPr>
                <w:sz w:val="11"/>
                <w:szCs w:val="11"/>
              </w:rPr>
              <w:t>32GB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305F2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proofErr w:type="gramStart"/>
            <w:r>
              <w:rPr>
                <w:sz w:val="11"/>
                <w:szCs w:val="11"/>
              </w:rPr>
              <w:t>255GB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F5AB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nVidia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 w:eastAsia="en-US" w:bidi="en-US"/>
              </w:rPr>
              <w:t xml:space="preserve">Quadro </w:t>
            </w:r>
            <w:r>
              <w:rPr>
                <w:sz w:val="11"/>
                <w:szCs w:val="11"/>
              </w:rPr>
              <w:t>RTX 4000 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73E59" w14:textId="77777777" w:rsidR="00E73CAD" w:rsidRDefault="00C509A7">
            <w:pPr>
              <w:pStyle w:val="Style14"/>
              <w:shd w:val="clear" w:color="auto" w:fill="auto"/>
              <w:tabs>
                <w:tab w:val="left" w:pos="1080"/>
              </w:tabs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FB47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4x5120x2880@</w:t>
            </w:r>
            <w:proofErr w:type="gramStart"/>
            <w:r>
              <w:rPr>
                <w:sz w:val="11"/>
                <w:szCs w:val="11"/>
              </w:rPr>
              <w:t>60Hz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A6AA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ano i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098DE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Windows 10 Pro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96F5C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 ne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07A2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</w:t>
            </w:r>
          </w:p>
        </w:tc>
      </w:tr>
      <w:tr w:rsidR="00E73CAD" w14:paraId="52C32B5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F4B6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Giada</w:t>
            </w:r>
            <w:proofErr w:type="spellEnd"/>
            <w:r>
              <w:rPr>
                <w:sz w:val="11"/>
                <w:szCs w:val="11"/>
              </w:rPr>
              <w:t xml:space="preserve"> DF68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D580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DMPOOl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7227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14 189 Kč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311B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Í5-8265U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5B806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proofErr w:type="gramStart"/>
            <w:r>
              <w:rPr>
                <w:sz w:val="11"/>
                <w:szCs w:val="11"/>
              </w:rPr>
              <w:t>8GB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5AEBD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1 </w:t>
            </w:r>
            <w:proofErr w:type="gramStart"/>
            <w:r>
              <w:rPr>
                <w:sz w:val="11"/>
                <w:szCs w:val="11"/>
              </w:rPr>
              <w:t>128GB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60532" w14:textId="77777777" w:rsidR="00E73CAD" w:rsidRDefault="00C509A7">
            <w:pPr>
              <w:pStyle w:val="Style14"/>
              <w:shd w:val="clear" w:color="auto" w:fill="auto"/>
              <w:tabs>
                <w:tab w:val="left" w:pos="1656"/>
              </w:tabs>
              <w:spacing w:after="0" w:line="240" w:lineRule="auto"/>
              <w:ind w:firstLine="4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integrovaná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23F8F" w14:textId="77777777" w:rsidR="00E73CAD" w:rsidRDefault="00C509A7">
            <w:pPr>
              <w:pStyle w:val="Style14"/>
              <w:shd w:val="clear" w:color="auto" w:fill="auto"/>
              <w:tabs>
                <w:tab w:val="left" w:pos="1070"/>
              </w:tabs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i/>
                <w:iCs/>
                <w:sz w:val="13"/>
                <w:szCs w:val="13"/>
              </w:rPr>
              <w:t>2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D161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4095 X 2304@</w:t>
            </w:r>
            <w:proofErr w:type="gramStart"/>
            <w:r>
              <w:rPr>
                <w:sz w:val="11"/>
                <w:szCs w:val="11"/>
              </w:rPr>
              <w:t>50Hz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A5FCB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 </w:t>
            </w:r>
            <w:r>
              <w:rPr>
                <w:sz w:val="11"/>
                <w:szCs w:val="11"/>
              </w:rPr>
              <w:t xml:space="preserve">Sv </w:t>
            </w:r>
            <w:r>
              <w:rPr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E1DA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ano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24699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Windows 10 Pro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F351C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ano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4C7D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ano</w:t>
            </w:r>
          </w:p>
        </w:tc>
      </w:tr>
      <w:tr w:rsidR="00E73CAD" w14:paraId="0A174C0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2973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Giada</w:t>
            </w:r>
            <w:proofErr w:type="spellEnd"/>
            <w:r>
              <w:rPr>
                <w:sz w:val="11"/>
                <w:szCs w:val="11"/>
              </w:rPr>
              <w:t xml:space="preserve"> PC68OPS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F5D4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DMP004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9B61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11 460 Kč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BA02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Í3-</w:t>
            </w:r>
            <w:proofErr w:type="gramStart"/>
            <w:r>
              <w:rPr>
                <w:sz w:val="11"/>
                <w:szCs w:val="11"/>
              </w:rPr>
              <w:t>8100T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8B74B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proofErr w:type="gramStart"/>
            <w:r>
              <w:rPr>
                <w:sz w:val="11"/>
                <w:szCs w:val="11"/>
              </w:rPr>
              <w:t>4GB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09B4F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proofErr w:type="gramStart"/>
            <w:r>
              <w:rPr>
                <w:sz w:val="11"/>
                <w:szCs w:val="11"/>
              </w:rPr>
              <w:t>54GB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F9CA8" w14:textId="77777777" w:rsidR="00E73CAD" w:rsidRDefault="00C509A7">
            <w:pPr>
              <w:pStyle w:val="Style14"/>
              <w:shd w:val="clear" w:color="auto" w:fill="auto"/>
              <w:tabs>
                <w:tab w:val="left" w:pos="1651"/>
              </w:tabs>
              <w:spacing w:after="0" w:line="240" w:lineRule="auto"/>
              <w:ind w:firstLine="4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integrovaná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98C5B" w14:textId="77777777" w:rsidR="00E73CAD" w:rsidRDefault="00C509A7">
            <w:pPr>
              <w:pStyle w:val="Style14"/>
              <w:shd w:val="clear" w:color="auto" w:fill="auto"/>
              <w:tabs>
                <w:tab w:val="left" w:pos="1061"/>
              </w:tabs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A692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4096 X </w:t>
            </w:r>
            <w:r>
              <w:rPr>
                <w:sz w:val="11"/>
                <w:szCs w:val="11"/>
              </w:rPr>
              <w:t>23O4@6OH2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D1052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; 4x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FE9C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ano 5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7983F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Windows to Pro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C87C7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 ne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AA92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</w:t>
            </w:r>
          </w:p>
        </w:tc>
      </w:tr>
      <w:tr w:rsidR="00E73CAD" w14:paraId="5EA39BA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C77B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HP </w:t>
            </w:r>
            <w:proofErr w:type="spellStart"/>
            <w:r>
              <w:rPr>
                <w:sz w:val="11"/>
                <w:szCs w:val="11"/>
              </w:rPr>
              <w:t>ProDesk</w:t>
            </w:r>
            <w:proofErr w:type="spellEnd"/>
            <w:r>
              <w:rPr>
                <w:sz w:val="11"/>
                <w:szCs w:val="11"/>
              </w:rPr>
              <w:t xml:space="preserve"> 400 G6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A8DA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DMP002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8895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12 820 Kč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9DAB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60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iS</w:t>
            </w:r>
            <w:proofErr w:type="spellEnd"/>
            <w:r>
              <w:rPr>
                <w:sz w:val="11"/>
                <w:szCs w:val="11"/>
              </w:rPr>
              <w:t>-IOSOOT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C8B84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proofErr w:type="gramStart"/>
            <w:r>
              <w:rPr>
                <w:sz w:val="11"/>
                <w:szCs w:val="11"/>
              </w:rPr>
              <w:t>8GB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539C0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proofErr w:type="gramStart"/>
            <w:r>
              <w:rPr>
                <w:sz w:val="11"/>
                <w:szCs w:val="11"/>
              </w:rPr>
              <w:t>256GB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5462F" w14:textId="77777777" w:rsidR="00E73CAD" w:rsidRDefault="00C509A7">
            <w:pPr>
              <w:pStyle w:val="Style14"/>
              <w:shd w:val="clear" w:color="auto" w:fill="auto"/>
              <w:tabs>
                <w:tab w:val="left" w:pos="1651"/>
              </w:tabs>
              <w:spacing w:after="0" w:line="240" w:lineRule="auto"/>
              <w:ind w:firstLine="4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integrovaná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22ECC" w14:textId="77777777" w:rsidR="00E73CAD" w:rsidRDefault="00C509A7">
            <w:pPr>
              <w:pStyle w:val="Style14"/>
              <w:shd w:val="clear" w:color="auto" w:fill="auto"/>
              <w:tabs>
                <w:tab w:val="left" w:pos="1070"/>
              </w:tabs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i/>
                <w:iCs/>
                <w:sz w:val="13"/>
                <w:szCs w:val="13"/>
              </w:rPr>
              <w:t>2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A2B0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4096 X </w:t>
            </w:r>
            <w:r>
              <w:rPr>
                <w:smallCaps/>
                <w:sz w:val="11"/>
                <w:szCs w:val="11"/>
              </w:rPr>
              <w:t>2304@60Hz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11094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 </w:t>
            </w:r>
            <w:proofErr w:type="spellStart"/>
            <w:r>
              <w:rPr>
                <w:sz w:val="11"/>
                <w:szCs w:val="11"/>
              </w:rPr>
              <w:t>Qv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EA87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B0A5E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Windows 10 Pro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D896B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ano</w:t>
            </w:r>
          </w:p>
        </w:tc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B76A6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</w:t>
            </w:r>
          </w:p>
        </w:tc>
      </w:tr>
      <w:tr w:rsidR="00E73CAD" w14:paraId="049329F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7AF0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 xml:space="preserve">Raspberry </w:t>
            </w:r>
            <w:r>
              <w:rPr>
                <w:sz w:val="11"/>
                <w:szCs w:val="11"/>
              </w:rPr>
              <w:t>Pí 4B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2C3C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DÍV1P003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DD5D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2 096 Kč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1F23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 xml:space="preserve">ARM </w:t>
            </w:r>
            <w:r>
              <w:rPr>
                <w:sz w:val="11"/>
                <w:szCs w:val="11"/>
              </w:rPr>
              <w:t>A72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7743D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1 </w:t>
            </w:r>
            <w:proofErr w:type="gramStart"/>
            <w:r>
              <w:rPr>
                <w:sz w:val="11"/>
                <w:szCs w:val="11"/>
              </w:rPr>
              <w:t>4GB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733B3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i </w:t>
            </w:r>
            <w:proofErr w:type="gramStart"/>
            <w:r>
              <w:rPr>
                <w:sz w:val="11"/>
                <w:szCs w:val="11"/>
              </w:rPr>
              <w:t>32GB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2B2B2" w14:textId="77777777" w:rsidR="00E73CAD" w:rsidRDefault="00C509A7">
            <w:pPr>
              <w:pStyle w:val="Style14"/>
              <w:shd w:val="clear" w:color="auto" w:fill="auto"/>
              <w:tabs>
                <w:tab w:val="left" w:pos="1651"/>
              </w:tabs>
              <w:spacing w:after="0" w:line="240" w:lineRule="auto"/>
              <w:ind w:firstLine="4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integrovaná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E4615" w14:textId="77777777" w:rsidR="00E73CAD" w:rsidRDefault="00C509A7">
            <w:pPr>
              <w:pStyle w:val="Style14"/>
              <w:shd w:val="clear" w:color="auto" w:fill="auto"/>
              <w:tabs>
                <w:tab w:val="left" w:pos="1126"/>
              </w:tabs>
              <w:spacing w:after="0" w:line="240" w:lineRule="auto"/>
              <w:ind w:firstLine="5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</w:rPr>
              <w:tab/>
              <w:t>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3714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3840 X </w:t>
            </w:r>
            <w:r>
              <w:rPr>
                <w:sz w:val="11"/>
                <w:szCs w:val="11"/>
              </w:rPr>
              <w:t>2150(a60H2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2DFFAB" w14:textId="77777777" w:rsidR="00E73CAD" w:rsidRDefault="00C509A7">
            <w:pPr>
              <w:pStyle w:val="Style14"/>
              <w:shd w:val="clear" w:color="auto" w:fill="auto"/>
              <w:tabs>
                <w:tab w:val="left" w:pos="413"/>
              </w:tabs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</w:t>
            </w:r>
            <w:r>
              <w:rPr>
                <w:sz w:val="11"/>
                <w:szCs w:val="11"/>
              </w:rPr>
              <w:tab/>
              <w:t>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6308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7024D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>Raspberry Pi OS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4189A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 ne</w:t>
            </w:r>
          </w:p>
        </w:tc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A545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</w:t>
            </w:r>
          </w:p>
        </w:tc>
      </w:tr>
      <w:tr w:rsidR="00E73CAD" w14:paraId="5AEFF89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D826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vlastni </w:t>
            </w:r>
            <w:proofErr w:type="spellStart"/>
            <w:r>
              <w:rPr>
                <w:sz w:val="11"/>
                <w:szCs w:val="11"/>
              </w:rPr>
              <w:t>SoC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lang w:val="en-US" w:eastAsia="en-US" w:bidi="en-US"/>
              </w:rPr>
              <w:t>player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19B6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n/a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40919" w14:textId="77777777" w:rsidR="00E73CAD" w:rsidRDefault="00C509A7">
            <w:pPr>
              <w:pStyle w:val="Style14"/>
              <w:shd w:val="clear" w:color="auto" w:fill="auto"/>
              <w:tabs>
                <w:tab w:val="left" w:pos="1112"/>
              </w:tabs>
              <w:spacing w:after="0" w:line="240" w:lineRule="auto"/>
              <w:ind w:firstLine="4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 Kč</w:t>
            </w:r>
            <w:r>
              <w:rPr>
                <w:sz w:val="11"/>
                <w:szCs w:val="11"/>
              </w:rPr>
              <w:tab/>
              <w:t>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0DEAE2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F8C20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389642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E9244B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21FB3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AEEF4D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1F4F17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29F16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1F0AA2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E7B94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li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AA244" w14:textId="77777777" w:rsidR="00E73CAD" w:rsidRDefault="00E73CAD">
            <w:pPr>
              <w:rPr>
                <w:sz w:val="10"/>
                <w:szCs w:val="10"/>
              </w:rPr>
            </w:pPr>
          </w:p>
        </w:tc>
      </w:tr>
    </w:tbl>
    <w:p w14:paraId="4321D782" w14:textId="77777777" w:rsidR="00E73CAD" w:rsidRDefault="00E73CAD">
      <w:pPr>
        <w:sectPr w:rsidR="00E73CAD">
          <w:type w:val="continuous"/>
          <w:pgSz w:w="16834" w:h="11909" w:orient="landscape"/>
          <w:pgMar w:top="1417" w:right="1621" w:bottom="2136" w:left="505" w:header="989" w:footer="1708" w:gutter="0"/>
          <w:cols w:space="720"/>
          <w:noEndnote/>
          <w:docGrid w:linePitch="360"/>
        </w:sectPr>
      </w:pPr>
    </w:p>
    <w:p w14:paraId="045577B6" w14:textId="77777777" w:rsidR="00E73CAD" w:rsidRDefault="00C509A7">
      <w:pPr>
        <w:pStyle w:val="Style4"/>
        <w:keepNext/>
        <w:keepLines/>
        <w:shd w:val="clear" w:color="auto" w:fill="auto"/>
        <w:spacing w:after="80"/>
      </w:pPr>
      <w:bookmarkStart w:id="21" w:name="bookmark24"/>
      <w:bookmarkStart w:id="22" w:name="bookmark25"/>
      <w:bookmarkStart w:id="23" w:name="bookmark26"/>
      <w:r>
        <w:lastRenderedPageBreak/>
        <w:t>Název nabízeného software, definice a hodnocení</w:t>
      </w:r>
      <w:r>
        <w:br/>
        <w:t>kvalitativních kritérií</w:t>
      </w:r>
      <w:bookmarkEnd w:id="21"/>
      <w:bookmarkEnd w:id="22"/>
      <w:bookmarkEnd w:id="23"/>
    </w:p>
    <w:p w14:paraId="5DDE40A8" w14:textId="77777777" w:rsidR="00E73CAD" w:rsidRDefault="00C509A7">
      <w:pPr>
        <w:pStyle w:val="Style6"/>
        <w:shd w:val="clear" w:color="auto" w:fill="auto"/>
        <w:spacing w:after="260"/>
      </w:pPr>
      <w:r>
        <w:rPr>
          <w:noProof/>
        </w:rPr>
        <mc:AlternateContent>
          <mc:Choice Requires="wps">
            <w:drawing>
              <wp:anchor distT="0" distB="572770" distL="114300" distR="1802765" simplePos="0" relativeHeight="125829390" behindDoc="0" locked="0" layoutInCell="1" allowOverlap="1" wp14:anchorId="44D0BFD1" wp14:editId="175BA180">
                <wp:simplePos x="0" y="0"/>
                <wp:positionH relativeFrom="page">
                  <wp:posOffset>3620135</wp:posOffset>
                </wp:positionH>
                <wp:positionV relativeFrom="paragraph">
                  <wp:posOffset>12700</wp:posOffset>
                </wp:positionV>
                <wp:extent cx="567055" cy="49403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3D672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340" w:line="240" w:lineRule="auto"/>
                            </w:pPr>
                            <w:r>
                              <w:t>SLAB CMS</w:t>
                            </w:r>
                          </w:p>
                          <w:p w14:paraId="0A26ABD5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proofErr w:type="spellStart"/>
                            <w:r>
                              <w:t>Zendesk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D0BFD1" id="Shape 19" o:spid="_x0000_s1030" type="#_x0000_t202" style="position:absolute;margin-left:285.05pt;margin-top:1pt;width:44.65pt;height:38.9pt;z-index:125829390;visibility:visible;mso-wrap-style:square;mso-wrap-distance-left:9pt;mso-wrap-distance-top:0;mso-wrap-distance-right:141.95pt;mso-wrap-distance-bottom:4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" filled="f" stroked="f">
                <v:textbox inset="0,0,0,0">
                  <w:txbxContent>
                    <w:p w14:paraId="4D63D672" w14:textId="77777777" w:rsidR="00E73CAD" w:rsidRDefault="00C509A7">
                      <w:pPr>
                        <w:pStyle w:val="Style6"/>
                        <w:shd w:val="clear" w:color="auto" w:fill="auto"/>
                        <w:spacing w:after="340" w:line="240" w:lineRule="auto"/>
                      </w:pPr>
                      <w:r>
                        <w:t>SLAB CMS</w:t>
                      </w:r>
                    </w:p>
                    <w:p w14:paraId="0A26ABD5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proofErr w:type="spellStart"/>
                      <w:r>
                        <w:t>Zendesk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0" distL="1814830" distR="114300" simplePos="0" relativeHeight="125829392" behindDoc="0" locked="0" layoutInCell="1" allowOverlap="1" wp14:anchorId="314F668B" wp14:editId="4E1DC16E">
                <wp:simplePos x="0" y="0"/>
                <wp:positionH relativeFrom="page">
                  <wp:posOffset>5320665</wp:posOffset>
                </wp:positionH>
                <wp:positionV relativeFrom="paragraph">
                  <wp:posOffset>15875</wp:posOffset>
                </wp:positionV>
                <wp:extent cx="554990" cy="106362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1063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60B5FD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317" w:lineRule="auto"/>
                            </w:pPr>
                            <w:r>
                              <w:t>Označení; H</w:t>
                            </w:r>
                          </w:p>
                          <w:p w14:paraId="5A327204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317" w:lineRule="auto"/>
                            </w:pPr>
                            <w:r>
                              <w:t>Označení:</w:t>
                            </w:r>
                          </w:p>
                          <w:p w14:paraId="5C4CEBC0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317" w:lineRule="auto"/>
                            </w:pPr>
                            <w:r>
                              <w:t>1</w:t>
                            </w:r>
                          </w:p>
                          <w:p w14:paraId="0DFD1EF6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317" w:lineRule="auto"/>
                            </w:pPr>
                            <w:r>
                              <w:t>Označení:</w:t>
                            </w:r>
                          </w:p>
                          <w:p w14:paraId="429980A9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317" w:lineRule="auto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4F668B" id="Shape 21" o:spid="_x0000_s1031" type="#_x0000_t202" style="position:absolute;margin-left:418.95pt;margin-top:1.25pt;width:43.7pt;height:83.75pt;z-index:125829392;visibility:visible;mso-wrap-style:square;mso-wrap-distance-left:142.9pt;mso-wrap-distance-top:.2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" filled="f" stroked="f">
                <v:textbox inset="0,0,0,0">
                  <w:txbxContent>
                    <w:p w14:paraId="3560B5FD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317" w:lineRule="auto"/>
                      </w:pPr>
                      <w:r>
                        <w:t>Označení; H</w:t>
                      </w:r>
                    </w:p>
                    <w:p w14:paraId="5A327204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317" w:lineRule="auto"/>
                      </w:pPr>
                      <w:r>
                        <w:t>Označení:</w:t>
                      </w:r>
                    </w:p>
                    <w:p w14:paraId="5C4CEBC0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317" w:lineRule="auto"/>
                      </w:pPr>
                      <w:r>
                        <w:t>1</w:t>
                      </w:r>
                    </w:p>
                    <w:p w14:paraId="0DFD1EF6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317" w:lineRule="auto"/>
                      </w:pPr>
                      <w:r>
                        <w:t>Označení:</w:t>
                      </w:r>
                    </w:p>
                    <w:p w14:paraId="429980A9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317" w:lineRule="auto"/>
                      </w:pPr>
                      <w:r>
                        <w:t>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Název nabízeného software pro řízení AV obsahu do expozic Podružný software </w:t>
      </w:r>
      <w:proofErr w:type="spellStart"/>
      <w:r>
        <w:t>č.l</w:t>
      </w:r>
      <w:proofErr w:type="spellEnd"/>
    </w:p>
    <w:p w14:paraId="32634812" w14:textId="77777777" w:rsidR="00E73CAD" w:rsidRDefault="00C509A7">
      <w:pPr>
        <w:pStyle w:val="Style6"/>
        <w:shd w:val="clear" w:color="auto" w:fill="auto"/>
        <w:spacing w:after="760" w:line="240" w:lineRule="auto"/>
      </w:pPr>
      <w:r>
        <w:t>Podružný software č.2</w:t>
      </w:r>
    </w:p>
    <w:p w14:paraId="25D0A89E" w14:textId="77777777" w:rsidR="00E73CAD" w:rsidRDefault="00C509A7">
      <w:pPr>
        <w:pStyle w:val="Style6"/>
        <w:shd w:val="clear" w:color="auto" w:fill="auto"/>
        <w:spacing w:after="160" w:line="317" w:lineRule="auto"/>
      </w:pPr>
      <w:r>
        <w:t xml:space="preserve">Zadavatel připouští možnost splnit požadavky uvedené v příloze č. 3 </w:t>
      </w:r>
      <w:proofErr w:type="gramStart"/>
      <w:r>
        <w:t>ZD - Požadavky</w:t>
      </w:r>
      <w:proofErr w:type="gramEnd"/>
      <w:r>
        <w:t xml:space="preserve"> na software pro řízení AV obsahu v části označené jako „Požadavky na ří</w:t>
      </w:r>
      <w:r>
        <w:t>dící část systému - aplikace pro dohled nad stavem systému" pomocí jiného software či aplikace, než která je použita jako aplikace pro správu obsahu a na klientských přehrávačích.</w:t>
      </w:r>
    </w:p>
    <w:p w14:paraId="50E17337" w14:textId="77777777" w:rsidR="00E73CAD" w:rsidRDefault="00C509A7">
      <w:pPr>
        <w:pStyle w:val="Style6"/>
        <w:shd w:val="clear" w:color="auto" w:fill="auto"/>
        <w:spacing w:after="160" w:line="312" w:lineRule="auto"/>
      </w:pPr>
      <w:r>
        <w:t>Zadavatel připouští možnost splnit níže uvedená kvalitativní kritéria pomocí</w:t>
      </w:r>
      <w:r>
        <w:t xml:space="preserve"> jiného software či aplikace, než která je použita jako aplikace pro správu obsahu a na klientských přehrávačích.</w:t>
      </w:r>
    </w:p>
    <w:p w14:paraId="740DD932" w14:textId="77777777" w:rsidR="00E73CAD" w:rsidRDefault="00C509A7">
      <w:pPr>
        <w:pStyle w:val="Style6"/>
        <w:shd w:val="clear" w:color="auto" w:fill="auto"/>
        <w:spacing w:after="160" w:line="317" w:lineRule="auto"/>
      </w:pPr>
      <w:r>
        <w:t>Dodavatel vyplní názvy použitých software do tabulky výše a vyplní v níže uvedených tabulkách, zda jím dodávaný software splňuje požadované fu</w:t>
      </w:r>
      <w:r>
        <w:t>nkcionality (vyplní „Ano" nebo „Ne") a který z uvedených software danou funkcionalitu poskytuje (vyplní „H" pro hlavní software pro řízení AV obsahu do expozic, „1" pro Podružný software č. 1 a „2" pro Podružný software č. 2).</w:t>
      </w:r>
    </w:p>
    <w:p w14:paraId="525259A9" w14:textId="77777777" w:rsidR="00E73CAD" w:rsidRDefault="00C509A7">
      <w:pPr>
        <w:pStyle w:val="Style29"/>
        <w:shd w:val="clear" w:color="auto" w:fill="auto"/>
      </w:pPr>
      <w:r>
        <w:t>Vlastnosti okamžité obousměrn</w:t>
      </w:r>
      <w:r>
        <w:t xml:space="preserve">é komunikace </w:t>
      </w:r>
      <w:proofErr w:type="gramStart"/>
      <w:r>
        <w:t>systému - celkem</w:t>
      </w:r>
      <w:proofErr w:type="gramEnd"/>
      <w:r>
        <w:t xml:space="preserve"> 25 bodů</w:t>
      </w:r>
    </w:p>
    <w:p w14:paraId="3C468408" w14:textId="77777777" w:rsidR="00E73CAD" w:rsidRDefault="00C509A7">
      <w:pPr>
        <w:pStyle w:val="Style6"/>
        <w:shd w:val="clear" w:color="auto" w:fill="auto"/>
        <w:spacing w:after="160" w:line="312" w:lineRule="auto"/>
      </w:pPr>
      <w:r>
        <w:t>Za jednotlivé položky budou v případě splnění požadovaného parametru přiděleny body uvedené v daném řádku:</w:t>
      </w:r>
    </w:p>
    <w:p w14:paraId="7844065D" w14:textId="77777777" w:rsidR="00E73CAD" w:rsidRDefault="00C509A7">
      <w:pPr>
        <w:pStyle w:val="Style6"/>
        <w:shd w:val="clear" w:color="auto" w:fill="auto"/>
        <w:spacing w:after="420" w:line="317" w:lineRule="auto"/>
      </w:pPr>
      <w:r>
        <w:rPr>
          <w:noProof/>
        </w:rPr>
        <mc:AlternateContent>
          <mc:Choice Requires="wps">
            <w:drawing>
              <wp:anchor distT="0" distB="795655" distL="114300" distR="848995" simplePos="0" relativeHeight="125829394" behindDoc="0" locked="0" layoutInCell="1" allowOverlap="1" wp14:anchorId="6692781E" wp14:editId="1C170AF7">
                <wp:simplePos x="0" y="0"/>
                <wp:positionH relativeFrom="page">
                  <wp:posOffset>4878705</wp:posOffset>
                </wp:positionH>
                <wp:positionV relativeFrom="paragraph">
                  <wp:posOffset>12700</wp:posOffset>
                </wp:positionV>
                <wp:extent cx="396240" cy="14605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408425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5 bodů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92781E" id="Shape 23" o:spid="_x0000_s1032" type="#_x0000_t202" style="position:absolute;margin-left:384.15pt;margin-top:1pt;width:31.2pt;height:11.5pt;z-index:125829394;visibility:visible;mso-wrap-style:none;mso-wrap-distance-left:9pt;mso-wrap-distance-top:0;mso-wrap-distance-right:66.85pt;mso-wrap-distance-bottom:6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" filled="f" stroked="f">
                <v:textbox inset="0,0,0,0">
                  <w:txbxContent>
                    <w:p w14:paraId="3E408425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5 bodů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795020" distL="964565" distR="114300" simplePos="0" relativeHeight="125829396" behindDoc="0" locked="0" layoutInCell="1" allowOverlap="1" wp14:anchorId="3B0C6712" wp14:editId="65DAE000">
                <wp:simplePos x="0" y="0"/>
                <wp:positionH relativeFrom="page">
                  <wp:posOffset>5728970</wp:posOffset>
                </wp:positionH>
                <wp:positionV relativeFrom="paragraph">
                  <wp:posOffset>15875</wp:posOffset>
                </wp:positionV>
                <wp:extent cx="280670" cy="14351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BD7262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0C6712" id="Shape 25" o:spid="_x0000_s1033" type="#_x0000_t202" style="position:absolute;margin-left:451.1pt;margin-top:1.25pt;width:22.1pt;height:11.3pt;z-index:125829396;visibility:visible;mso-wrap-style:none;mso-wrap-distance-left:75.95pt;mso-wrap-distance-top:.25pt;mso-wrap-distance-right:9pt;mso-wrap-distance-bottom:6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" filled="f" stroked="f">
                <v:textbox inset="0,0,0,0">
                  <w:txbxContent>
                    <w:p w14:paraId="29BD7262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ANO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5655" distB="2540" distL="114300" distR="848995" simplePos="0" relativeHeight="125829398" behindDoc="0" locked="0" layoutInCell="1" allowOverlap="1" wp14:anchorId="18D03E43" wp14:editId="07F15727">
                <wp:simplePos x="0" y="0"/>
                <wp:positionH relativeFrom="page">
                  <wp:posOffset>4878705</wp:posOffset>
                </wp:positionH>
                <wp:positionV relativeFrom="paragraph">
                  <wp:posOffset>808355</wp:posOffset>
                </wp:positionV>
                <wp:extent cx="396240" cy="14351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357793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5 bodů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D03E43" id="Shape 27" o:spid="_x0000_s1034" type="#_x0000_t202" style="position:absolute;margin-left:384.15pt;margin-top:63.65pt;width:31.2pt;height:11.3pt;z-index:125829398;visibility:visible;mso-wrap-style:none;mso-wrap-distance-left:9pt;mso-wrap-distance-top:62.65pt;mso-wrap-distance-right:66.85pt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" filled="f" stroked="f">
                <v:textbox inset="0,0,0,0">
                  <w:txbxContent>
                    <w:p w14:paraId="37357793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5 bodů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8830" distB="0" distL="964565" distR="147955" simplePos="0" relativeHeight="125829400" behindDoc="0" locked="0" layoutInCell="1" allowOverlap="1" wp14:anchorId="50A9193B" wp14:editId="0239D0C4">
                <wp:simplePos x="0" y="0"/>
                <wp:positionH relativeFrom="page">
                  <wp:posOffset>5728970</wp:posOffset>
                </wp:positionH>
                <wp:positionV relativeFrom="paragraph">
                  <wp:posOffset>811530</wp:posOffset>
                </wp:positionV>
                <wp:extent cx="247015" cy="143510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7659C9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A9193B" id="Shape 29" o:spid="_x0000_s1035" type="#_x0000_t202" style="position:absolute;margin-left:451.1pt;margin-top:63.9pt;width:19.45pt;height:11.3pt;z-index:125829400;visibility:visible;mso-wrap-style:none;mso-wrap-distance-left:75.95pt;mso-wrap-distance-top:62.9pt;mso-wrap-distance-right:11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" filled="f" stroked="f">
                <v:textbox inset="0,0,0,0">
                  <w:txbxContent>
                    <w:p w14:paraId="3D7659C9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Ano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Možnost vyvolat vzdálený </w:t>
      </w:r>
      <w:r>
        <w:rPr>
          <w:lang w:val="en-US" w:eastAsia="en-US" w:bidi="en-US"/>
        </w:rPr>
        <w:t xml:space="preserve">restart </w:t>
      </w:r>
      <w:r>
        <w:t xml:space="preserve">libovolného licencovaného přehrávače s okamžitou účinností (tj. přehrávač musí tento požadavek obdržet a spustit </w:t>
      </w:r>
      <w:r>
        <w:rPr>
          <w:lang w:val="en-US" w:eastAsia="en-US" w:bidi="en-US"/>
        </w:rPr>
        <w:t xml:space="preserve">restart </w:t>
      </w:r>
      <w:r>
        <w:t>zařízení do 15 vteřin)</w:t>
      </w:r>
    </w:p>
    <w:p w14:paraId="64B5075B" w14:textId="77777777" w:rsidR="00E73CAD" w:rsidRDefault="00C509A7">
      <w:pPr>
        <w:pStyle w:val="Style6"/>
        <w:shd w:val="clear" w:color="auto" w:fill="auto"/>
        <w:spacing w:after="260"/>
      </w:pPr>
      <w:r>
        <w:t>Získání snímku obrazovky libovolného licencovaného přehrávače s okamžitou účinností (tj. přehrávač musí tento po</w:t>
      </w:r>
      <w:r>
        <w:t>žadavek obdržet a snímek pořídit do 15 vteřin)</w:t>
      </w:r>
    </w:p>
    <w:p w14:paraId="0FE82BB7" w14:textId="77777777" w:rsidR="00E73CAD" w:rsidRDefault="00C509A7">
      <w:pPr>
        <w:pStyle w:val="Style6"/>
        <w:shd w:val="clear" w:color="auto" w:fill="auto"/>
        <w:spacing w:after="160" w:line="32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7F0AAAFE" wp14:editId="574ED087">
                <wp:simplePos x="0" y="0"/>
                <wp:positionH relativeFrom="page">
                  <wp:posOffset>4875530</wp:posOffset>
                </wp:positionH>
                <wp:positionV relativeFrom="paragraph">
                  <wp:posOffset>12700</wp:posOffset>
                </wp:positionV>
                <wp:extent cx="396240" cy="143510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EA9D3C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5 bodů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0AAAFE" id="Shape 31" o:spid="_x0000_s1036" type="#_x0000_t202" style="position:absolute;margin-left:383.9pt;margin-top:1pt;width:31.2pt;height:11.3pt;z-index:1258294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" filled="f" stroked="f">
                <v:textbox inset="0,0,0,0">
                  <w:txbxContent>
                    <w:p w14:paraId="60EA9D3C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5 bodů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77900" distL="117475" distR="114300" simplePos="0" relativeHeight="125829404" behindDoc="0" locked="0" layoutInCell="1" allowOverlap="1" wp14:anchorId="05A2BE5D" wp14:editId="4F6D97CD">
                <wp:simplePos x="0" y="0"/>
                <wp:positionH relativeFrom="page">
                  <wp:posOffset>5726430</wp:posOffset>
                </wp:positionH>
                <wp:positionV relativeFrom="paragraph">
                  <wp:posOffset>12700</wp:posOffset>
                </wp:positionV>
                <wp:extent cx="247015" cy="143510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C92584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A2BE5D" id="Shape 33" o:spid="_x0000_s1037" type="#_x0000_t202" style="position:absolute;margin-left:450.9pt;margin-top:1pt;width:19.45pt;height:11.3pt;z-index:125829404;visibility:visible;mso-wrap-style:none;mso-wrap-distance-left:9.25pt;mso-wrap-distance-top:0;mso-wrap-distance-right:9pt;mso-wrap-distance-bottom:7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" filled="f" stroked="f">
                <v:textbox inset="0,0,0,0">
                  <w:txbxContent>
                    <w:p w14:paraId="21C92584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Ano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78535" distB="0" distL="114300" distR="117475" simplePos="0" relativeHeight="125829406" behindDoc="0" locked="0" layoutInCell="1" allowOverlap="1" wp14:anchorId="3A657F25" wp14:editId="62CB88F4">
                <wp:simplePos x="0" y="0"/>
                <wp:positionH relativeFrom="page">
                  <wp:posOffset>5723255</wp:posOffset>
                </wp:positionH>
                <wp:positionV relativeFrom="paragraph">
                  <wp:posOffset>991235</wp:posOffset>
                </wp:positionV>
                <wp:extent cx="247015" cy="143510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D22DF4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657F25" id="Shape 35" o:spid="_x0000_s1038" type="#_x0000_t202" style="position:absolute;margin-left:450.65pt;margin-top:78.05pt;width:19.45pt;height:11.3pt;z-index:125829406;visibility:visible;mso-wrap-style:none;mso-wrap-distance-left:9pt;mso-wrap-distance-top:77.05pt;mso-wrap-distance-right:9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" filled="f" stroked="f">
                <v:textbox inset="0,0,0,0">
                  <w:txbxContent>
                    <w:p w14:paraId="6CD22DF4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Ano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Zobrazení historie minimálně 3 posledních snímků obrazovky (tj. pokud nedošlo k záměrnému odstranění těchto snímků obrazovky nebo nejde o nově licencovaný přehrávač, u kterého </w:t>
      </w:r>
      <w:r>
        <w:t>ještě nedošlo k pořízení snímků obrazovky, zobrazují se v systému pro dohled vždy minimálně tři poslední snímky obrazovky každého licencovaného přehrávače)</w:t>
      </w:r>
    </w:p>
    <w:p w14:paraId="58E1D668" w14:textId="77777777" w:rsidR="00E73CAD" w:rsidRDefault="00C509A7">
      <w:pPr>
        <w:pStyle w:val="Style6"/>
        <w:shd w:val="clear" w:color="auto" w:fill="auto"/>
        <w:spacing w:after="0" w:line="317" w:lineRule="auto"/>
        <w:sectPr w:rsidR="00E73CAD">
          <w:pgSz w:w="12106" w:h="16973"/>
          <w:pgMar w:top="1901" w:right="1807" w:bottom="2369" w:left="1664" w:header="1473" w:footer="1941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 wp14:anchorId="3551E2AA" wp14:editId="21716E6C">
                <wp:simplePos x="0" y="0"/>
                <wp:positionH relativeFrom="page">
                  <wp:posOffset>4902835</wp:posOffset>
                </wp:positionH>
                <wp:positionV relativeFrom="paragraph">
                  <wp:posOffset>12700</wp:posOffset>
                </wp:positionV>
                <wp:extent cx="393065" cy="143510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CD538" w14:textId="77777777" w:rsidR="00E73CAD" w:rsidRDefault="00C509A7">
                            <w:pPr>
                              <w:pStyle w:val="Style6"/>
                              <w:shd w:val="clear" w:color="auto" w:fill="auto"/>
                              <w:spacing w:after="0" w:line="240" w:lineRule="auto"/>
                            </w:pPr>
                            <w:r>
                              <w:t>5 bodů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51E2AA" id="Shape 37" o:spid="_x0000_s1039" type="#_x0000_t202" style="position:absolute;margin-left:386.05pt;margin-top:1pt;width:30.95pt;height:11.3pt;z-index:125829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" filled="f" stroked="f">
                <v:textbox inset="0,0,0,0">
                  <w:txbxContent>
                    <w:p w14:paraId="06CCD538" w14:textId="77777777" w:rsidR="00E73CAD" w:rsidRDefault="00C509A7">
                      <w:pPr>
                        <w:pStyle w:val="Style6"/>
                        <w:shd w:val="clear" w:color="auto" w:fill="auto"/>
                        <w:spacing w:after="0" w:line="240" w:lineRule="auto"/>
                      </w:pPr>
                      <w:r>
                        <w:t>5 bodů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Obnovení (znovunačtení) obsahu libovolného licencovaného přehrávače</w:t>
      </w:r>
      <w:r>
        <w:t xml:space="preserve"> s okamžitou účinností (tj. přehrávač musí tento požadavek obdržet a spustit obnovení (znovunačtení) obsahu do 15 vteřin) </w:t>
      </w:r>
    </w:p>
    <w:p w14:paraId="6AEB4632" w14:textId="77777777" w:rsidR="00E73CAD" w:rsidRDefault="00C509A7">
      <w:pPr>
        <w:pStyle w:val="Style6"/>
        <w:shd w:val="clear" w:color="auto" w:fill="auto"/>
        <w:spacing w:after="0" w:line="317" w:lineRule="auto"/>
      </w:pPr>
      <w:r>
        <w:t xml:space="preserve">Spuštění přehrávání aktuálně naplánovaného obsahu od začátku (tj. 5 bodů přehrávač musí tento požadavek obdržet a spustit přehrávání </w:t>
      </w:r>
      <w:r>
        <w:t xml:space="preserve">od prvního souboru v aktuálně přehrávaném příspěvku / </w:t>
      </w:r>
      <w:proofErr w:type="spellStart"/>
      <w:r>
        <w:t>playlistu</w:t>
      </w:r>
      <w:proofErr w:type="spellEnd"/>
      <w:r>
        <w:t xml:space="preserve"> do</w:t>
      </w:r>
    </w:p>
    <w:p w14:paraId="5EF0D403" w14:textId="77777777" w:rsidR="00E73CAD" w:rsidRDefault="00C509A7">
      <w:pPr>
        <w:pStyle w:val="Style6"/>
        <w:shd w:val="clear" w:color="auto" w:fill="auto"/>
        <w:spacing w:after="860" w:line="317" w:lineRule="auto"/>
      </w:pPr>
      <w:r>
        <w:t>15 vteřin)</w:t>
      </w:r>
    </w:p>
    <w:p w14:paraId="58026E00" w14:textId="77777777" w:rsidR="00E73CAD" w:rsidRDefault="00C509A7">
      <w:pPr>
        <w:pStyle w:val="Style34"/>
        <w:keepNext/>
        <w:keepLines/>
        <w:shd w:val="clear" w:color="auto" w:fill="auto"/>
      </w:pPr>
      <w:bookmarkStart w:id="24" w:name="bookmark27"/>
      <w:bookmarkStart w:id="25" w:name="bookmark28"/>
      <w:bookmarkStart w:id="26" w:name="bookmark29"/>
      <w:r>
        <w:lastRenderedPageBreak/>
        <w:t>integrace aplikace pro dohled nad stavem systému -15 bodů</w:t>
      </w:r>
      <w:bookmarkEnd w:id="24"/>
      <w:bookmarkEnd w:id="25"/>
      <w:bookmarkEnd w:id="26"/>
    </w:p>
    <w:p w14:paraId="7042D9F4" w14:textId="77777777" w:rsidR="00E73CAD" w:rsidRDefault="00C509A7">
      <w:pPr>
        <w:pStyle w:val="Style6"/>
        <w:shd w:val="clear" w:color="auto" w:fill="auto"/>
        <w:tabs>
          <w:tab w:val="left" w:pos="6053"/>
          <w:tab w:val="left" w:pos="7387"/>
        </w:tabs>
        <w:spacing w:after="0" w:line="317" w:lineRule="auto"/>
      </w:pPr>
      <w:r>
        <w:t>Začlenění aplikace pro dohled nad stavem systému do jedné</w:t>
      </w:r>
      <w:r>
        <w:tab/>
        <w:t>15</w:t>
      </w:r>
      <w:r>
        <w:tab/>
        <w:t>Ano H</w:t>
      </w:r>
    </w:p>
    <w:p w14:paraId="4FB04B51" w14:textId="77777777" w:rsidR="00E73CAD" w:rsidRDefault="00C509A7">
      <w:pPr>
        <w:pStyle w:val="Style6"/>
        <w:shd w:val="clear" w:color="auto" w:fill="auto"/>
        <w:spacing w:after="440" w:line="317" w:lineRule="auto"/>
      </w:pPr>
      <w:r>
        <w:t>platformy s aplikací pro správu obsahu tak, aby exist</w:t>
      </w:r>
      <w:r>
        <w:t>ovalo jednotné bodů přihlášení pod jedinečným uživatelským účtem pro každého uživatele bez nutnosti přihlašovat se ke každé aplikaci zvlášť</w:t>
      </w:r>
    </w:p>
    <w:p w14:paraId="39464EFF" w14:textId="77777777" w:rsidR="00E73CAD" w:rsidRDefault="00C509A7">
      <w:pPr>
        <w:pStyle w:val="Style34"/>
        <w:keepNext/>
        <w:keepLines/>
        <w:shd w:val="clear" w:color="auto" w:fill="auto"/>
      </w:pPr>
      <w:bookmarkStart w:id="27" w:name="bookmark30"/>
      <w:bookmarkStart w:id="28" w:name="bookmark31"/>
      <w:bookmarkStart w:id="29" w:name="bookmark32"/>
      <w:r>
        <w:t>Aktivní monitoring přehrávačů -15 bodů</w:t>
      </w:r>
      <w:bookmarkEnd w:id="27"/>
      <w:bookmarkEnd w:id="28"/>
      <w:bookmarkEnd w:id="29"/>
    </w:p>
    <w:p w14:paraId="59516E0B" w14:textId="77777777" w:rsidR="00E73CAD" w:rsidRDefault="00C509A7">
      <w:pPr>
        <w:pStyle w:val="Style6"/>
        <w:shd w:val="clear" w:color="auto" w:fill="auto"/>
        <w:spacing w:line="317" w:lineRule="auto"/>
      </w:pPr>
      <w:r>
        <w:t>Za jednotlivé položky budou v případě splnění požadovaného parametru přidělen</w:t>
      </w:r>
      <w:r>
        <w:t>y body uvedené v daném řádku: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0"/>
        <w:gridCol w:w="1176"/>
        <w:gridCol w:w="850"/>
        <w:gridCol w:w="312"/>
      </w:tblGrid>
      <w:tr w:rsidR="00E73CAD" w14:paraId="063DD181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5890" w:type="dxa"/>
            <w:shd w:val="clear" w:color="auto" w:fill="FFFFFF"/>
          </w:tcPr>
          <w:p w14:paraId="23F77AEF" w14:textId="77777777" w:rsidR="00E73CAD" w:rsidRDefault="00C509A7">
            <w:pPr>
              <w:pStyle w:val="Style14"/>
              <w:shd w:val="clear" w:color="auto" w:fill="auto"/>
              <w:spacing w:after="0" w:line="322" w:lineRule="auto"/>
            </w:pPr>
            <w:r>
              <w:t xml:space="preserve">V aplikaci pro dohled nad stavem systému je indikován stav všech koncových HW přehrávačů ve smyslu </w:t>
            </w:r>
            <w:r>
              <w:rPr>
                <w:lang w:val="en-US" w:eastAsia="en-US" w:bidi="en-US"/>
              </w:rPr>
              <w:t xml:space="preserve">online </w:t>
            </w:r>
            <w:r>
              <w:t xml:space="preserve">nebo </w:t>
            </w:r>
            <w:r>
              <w:rPr>
                <w:lang w:val="en-US" w:eastAsia="en-US" w:bidi="en-US"/>
              </w:rPr>
              <w:t xml:space="preserve">offline </w:t>
            </w:r>
            <w:r>
              <w:t>s přesností na 3 vteřiny (tj. například při fyzickém odpojení LAN kabelu od přehrávače je indikován v aplik</w:t>
            </w:r>
            <w:r>
              <w:t>aci pro dohled nad stavem</w:t>
            </w:r>
          </w:p>
        </w:tc>
        <w:tc>
          <w:tcPr>
            <w:tcW w:w="1176" w:type="dxa"/>
            <w:shd w:val="clear" w:color="auto" w:fill="FFFFFF"/>
          </w:tcPr>
          <w:p w14:paraId="6833DB9E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>5 bodů</w:t>
            </w:r>
          </w:p>
        </w:tc>
        <w:tc>
          <w:tcPr>
            <w:tcW w:w="850" w:type="dxa"/>
            <w:shd w:val="clear" w:color="auto" w:fill="FFFFFF"/>
          </w:tcPr>
          <w:p w14:paraId="287D307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  <w:jc w:val="both"/>
            </w:pPr>
            <w:r>
              <w:t>Ano</w:t>
            </w:r>
          </w:p>
        </w:tc>
        <w:tc>
          <w:tcPr>
            <w:tcW w:w="312" w:type="dxa"/>
            <w:shd w:val="clear" w:color="auto" w:fill="FFFFFF"/>
          </w:tcPr>
          <w:p w14:paraId="65B90691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</w:pPr>
            <w:r>
              <w:t>H</w:t>
            </w:r>
          </w:p>
        </w:tc>
      </w:tr>
      <w:tr w:rsidR="00E73CAD" w14:paraId="5CB06607" w14:textId="7777777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5890" w:type="dxa"/>
            <w:shd w:val="clear" w:color="auto" w:fill="FFFFFF"/>
            <w:vAlign w:val="bottom"/>
          </w:tcPr>
          <w:p w14:paraId="0C9AF9C3" w14:textId="77777777" w:rsidR="00E73CAD" w:rsidRDefault="00C509A7">
            <w:pPr>
              <w:pStyle w:val="Style14"/>
              <w:shd w:val="clear" w:color="auto" w:fill="auto"/>
              <w:spacing w:after="0" w:line="322" w:lineRule="auto"/>
            </w:pPr>
            <w:r>
              <w:t xml:space="preserve">systému stav HW přehrávače jako </w:t>
            </w:r>
            <w:r>
              <w:rPr>
                <w:lang w:val="en-US" w:eastAsia="en-US" w:bidi="en-US"/>
              </w:rPr>
              <w:t xml:space="preserve">„offline" </w:t>
            </w:r>
            <w:r>
              <w:t>do 3 vteřin bez nutnosti obnovovat obrazovku)</w:t>
            </w:r>
          </w:p>
          <w:p w14:paraId="306C74A6" w14:textId="77777777" w:rsidR="00E73CAD" w:rsidRDefault="00C509A7">
            <w:pPr>
              <w:pStyle w:val="Style14"/>
              <w:shd w:val="clear" w:color="auto" w:fill="auto"/>
              <w:spacing w:after="0" w:line="322" w:lineRule="auto"/>
            </w:pPr>
            <w:r>
              <w:t xml:space="preserve">V aplikaci pro dohled nad stavem systému je zaznamenán u všech koncových HW přehrávačů časový údaj o posledním úspěšném </w:t>
            </w:r>
            <w:r>
              <w:t>pingu (tj. zjištění, zda je síťové zařízení v síti dostupné a reaguje na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BC3D0B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>4 body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22B7A4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  <w:jc w:val="both"/>
            </w:pPr>
            <w:r>
              <w:t>Ano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48FE3E7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</w:pPr>
            <w:r>
              <w:t>H</w:t>
            </w:r>
          </w:p>
        </w:tc>
      </w:tr>
      <w:tr w:rsidR="00E73CAD" w14:paraId="4D9B1BD9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890" w:type="dxa"/>
            <w:shd w:val="clear" w:color="auto" w:fill="FFFFFF"/>
          </w:tcPr>
          <w:p w14:paraId="7646F6DA" w14:textId="77777777" w:rsidR="00E73CAD" w:rsidRDefault="00C509A7">
            <w:pPr>
              <w:pStyle w:val="Style14"/>
              <w:shd w:val="clear" w:color="auto" w:fill="auto"/>
              <w:spacing w:after="0" w:line="317" w:lineRule="auto"/>
            </w:pPr>
            <w:r>
              <w:t>i vyslaný ICMP paket)</w:t>
            </w:r>
          </w:p>
          <w:p w14:paraId="1B790102" w14:textId="77777777" w:rsidR="00E73CAD" w:rsidRDefault="00C509A7">
            <w:pPr>
              <w:pStyle w:val="Style14"/>
              <w:shd w:val="clear" w:color="auto" w:fill="auto"/>
              <w:spacing w:after="0" w:line="317" w:lineRule="auto"/>
            </w:pPr>
            <w:r>
              <w:t>V aplikaci pro dohled nad stavem systému je zjistitelná IP adresa všech koncových HW přehrávačů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0C286E4A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>3 body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61BC81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  <w:jc w:val="both"/>
            </w:pPr>
            <w:r>
              <w:t>Ano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72D76DC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</w:pPr>
            <w:r>
              <w:t>H</w:t>
            </w:r>
          </w:p>
        </w:tc>
      </w:tr>
      <w:tr w:rsidR="00E73CAD" w14:paraId="07E1EC09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890" w:type="dxa"/>
            <w:shd w:val="clear" w:color="auto" w:fill="FFFFFF"/>
          </w:tcPr>
          <w:p w14:paraId="52882248" w14:textId="77777777" w:rsidR="00E73CAD" w:rsidRDefault="00C509A7">
            <w:pPr>
              <w:pStyle w:val="Style14"/>
              <w:shd w:val="clear" w:color="auto" w:fill="auto"/>
              <w:spacing w:after="0" w:line="317" w:lineRule="auto"/>
            </w:pPr>
            <w:r>
              <w:t xml:space="preserve">V aplikaci pro dohled nad </w:t>
            </w:r>
            <w:r>
              <w:t>stavem systému je zjistitelná MAC adresa všech koncových HW přehrávačů</w:t>
            </w:r>
          </w:p>
        </w:tc>
        <w:tc>
          <w:tcPr>
            <w:tcW w:w="1176" w:type="dxa"/>
            <w:shd w:val="clear" w:color="auto" w:fill="FFFFFF"/>
          </w:tcPr>
          <w:p w14:paraId="4B9804D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>3 body</w:t>
            </w:r>
          </w:p>
        </w:tc>
        <w:tc>
          <w:tcPr>
            <w:tcW w:w="850" w:type="dxa"/>
            <w:shd w:val="clear" w:color="auto" w:fill="FFFFFF"/>
          </w:tcPr>
          <w:p w14:paraId="21FD858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  <w:jc w:val="both"/>
            </w:pPr>
            <w:r>
              <w:t>Ano</w:t>
            </w:r>
          </w:p>
        </w:tc>
        <w:tc>
          <w:tcPr>
            <w:tcW w:w="312" w:type="dxa"/>
            <w:shd w:val="clear" w:color="auto" w:fill="FFFFFF"/>
          </w:tcPr>
          <w:p w14:paraId="15F8E12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right"/>
            </w:pPr>
            <w:r>
              <w:t>H</w:t>
            </w:r>
          </w:p>
        </w:tc>
      </w:tr>
      <w:tr w:rsidR="00E73CAD" w14:paraId="105695A9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90" w:type="dxa"/>
            <w:shd w:val="clear" w:color="auto" w:fill="FFFFFF"/>
            <w:vAlign w:val="bottom"/>
          </w:tcPr>
          <w:p w14:paraId="0128D37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Integrace aktivního monitoringu -15 bodů</w:t>
            </w:r>
          </w:p>
        </w:tc>
        <w:tc>
          <w:tcPr>
            <w:tcW w:w="1176" w:type="dxa"/>
            <w:shd w:val="clear" w:color="auto" w:fill="FFFFFF"/>
          </w:tcPr>
          <w:p w14:paraId="16452691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14:paraId="75E55434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</w:tcPr>
          <w:p w14:paraId="79DC37D3" w14:textId="77777777" w:rsidR="00E73CAD" w:rsidRDefault="00E73CAD">
            <w:pPr>
              <w:rPr>
                <w:sz w:val="10"/>
                <w:szCs w:val="10"/>
              </w:rPr>
            </w:pPr>
          </w:p>
        </w:tc>
      </w:tr>
      <w:tr w:rsidR="00E73CAD" w14:paraId="74A16D5B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5890" w:type="dxa"/>
            <w:shd w:val="clear" w:color="auto" w:fill="FFFFFF"/>
            <w:vAlign w:val="bottom"/>
          </w:tcPr>
          <w:p w14:paraId="64B83F8C" w14:textId="77777777" w:rsidR="00E73CAD" w:rsidRDefault="00C509A7">
            <w:pPr>
              <w:pStyle w:val="Style14"/>
              <w:shd w:val="clear" w:color="auto" w:fill="auto"/>
              <w:spacing w:after="0" w:line="322" w:lineRule="auto"/>
            </w:pPr>
            <w:r>
              <w:t xml:space="preserve">Za začlenění výše uvedeného Aktivního monitoringu přehrávačů do jedné platformy s aplikací pro správu obsahu tak, aby </w:t>
            </w:r>
            <w:r>
              <w:t>existovalo jednotné přihlášení pod jedinečným uživatelským účtem pro každého uživatele bez nutnosti přihlašovat se zvlášť do Aktivního</w:t>
            </w:r>
          </w:p>
        </w:tc>
        <w:tc>
          <w:tcPr>
            <w:tcW w:w="1176" w:type="dxa"/>
            <w:shd w:val="clear" w:color="auto" w:fill="FFFFFF"/>
          </w:tcPr>
          <w:p w14:paraId="0B6ABED2" w14:textId="77777777" w:rsidR="00E73CAD" w:rsidRDefault="00C509A7">
            <w:pPr>
              <w:pStyle w:val="Style14"/>
              <w:shd w:val="clear" w:color="auto" w:fill="auto"/>
              <w:spacing w:before="120" w:after="0" w:line="240" w:lineRule="auto"/>
              <w:ind w:firstLine="140"/>
            </w:pPr>
            <w:r>
              <w:t>15 bodů</w:t>
            </w:r>
          </w:p>
        </w:tc>
        <w:tc>
          <w:tcPr>
            <w:tcW w:w="850" w:type="dxa"/>
            <w:shd w:val="clear" w:color="auto" w:fill="FFFFFF"/>
          </w:tcPr>
          <w:p w14:paraId="1927336A" w14:textId="77777777" w:rsidR="00E73CAD" w:rsidRDefault="00C509A7">
            <w:pPr>
              <w:pStyle w:val="Style14"/>
              <w:shd w:val="clear" w:color="auto" w:fill="auto"/>
              <w:spacing w:before="120" w:after="0" w:line="240" w:lineRule="auto"/>
              <w:ind w:firstLine="320"/>
              <w:jc w:val="both"/>
            </w:pPr>
            <w:r>
              <w:t>Ano</w:t>
            </w:r>
          </w:p>
        </w:tc>
        <w:tc>
          <w:tcPr>
            <w:tcW w:w="312" w:type="dxa"/>
            <w:shd w:val="clear" w:color="auto" w:fill="FFFFFF"/>
          </w:tcPr>
          <w:p w14:paraId="0FEC3B08" w14:textId="77777777" w:rsidR="00E73CAD" w:rsidRDefault="00C509A7">
            <w:pPr>
              <w:pStyle w:val="Style14"/>
              <w:shd w:val="clear" w:color="auto" w:fill="auto"/>
              <w:spacing w:before="120" w:after="0" w:line="240" w:lineRule="auto"/>
              <w:jc w:val="right"/>
            </w:pPr>
            <w:r>
              <w:t>H</w:t>
            </w:r>
          </w:p>
        </w:tc>
      </w:tr>
    </w:tbl>
    <w:p w14:paraId="6FED38E3" w14:textId="77777777" w:rsidR="00E73CAD" w:rsidRDefault="00C509A7">
      <w:pPr>
        <w:pStyle w:val="Style11"/>
        <w:shd w:val="clear" w:color="auto" w:fill="auto"/>
        <w:sectPr w:rsidR="00E73CAD">
          <w:headerReference w:type="default" r:id="rId7"/>
          <w:type w:val="continuous"/>
          <w:pgSz w:w="12106" w:h="16973"/>
          <w:pgMar w:top="1901" w:right="1807" w:bottom="2369" w:left="1664" w:header="0" w:footer="1941" w:gutter="0"/>
          <w:cols w:space="720"/>
          <w:noEndnote/>
          <w:docGrid w:linePitch="360"/>
        </w:sectPr>
      </w:pPr>
      <w:r>
        <w:t>monitoringu a do aplikace pro správu obsahu</w:t>
      </w:r>
    </w:p>
    <w:p w14:paraId="7AAC4DFA" w14:textId="77777777" w:rsidR="00E73CAD" w:rsidRDefault="00C509A7">
      <w:pPr>
        <w:pStyle w:val="Style6"/>
        <w:shd w:val="clear" w:color="auto" w:fill="auto"/>
        <w:spacing w:after="0"/>
      </w:pPr>
      <w:r>
        <w:lastRenderedPageBreak/>
        <w:t xml:space="preserve">Spuštění přehrávání aktuálně naplánovaného obsahu od začátku (tj. 5 bodů přehrávač musí tento požadavek obdržet a spustit přehrávání od prvního souboru v aktuálně přehrávaném příspěvku / </w:t>
      </w:r>
      <w:proofErr w:type="spellStart"/>
      <w:r>
        <w:t>playlistu</w:t>
      </w:r>
      <w:proofErr w:type="spellEnd"/>
      <w:r>
        <w:t xml:space="preserve"> do</w:t>
      </w:r>
    </w:p>
    <w:p w14:paraId="3F387737" w14:textId="77777777" w:rsidR="00E73CAD" w:rsidRDefault="00C509A7">
      <w:pPr>
        <w:pStyle w:val="Style6"/>
        <w:shd w:val="clear" w:color="auto" w:fill="auto"/>
        <w:spacing w:after="860"/>
      </w:pPr>
      <w:r>
        <w:t>15 vteřin)</w:t>
      </w:r>
    </w:p>
    <w:p w14:paraId="74425B82" w14:textId="77777777" w:rsidR="00E73CAD" w:rsidRDefault="00C509A7">
      <w:pPr>
        <w:pStyle w:val="Style34"/>
        <w:keepNext/>
        <w:keepLines/>
        <w:shd w:val="clear" w:color="auto" w:fill="auto"/>
      </w:pPr>
      <w:bookmarkStart w:id="30" w:name="bookmark33"/>
      <w:bookmarkStart w:id="31" w:name="bookmark34"/>
      <w:bookmarkStart w:id="32" w:name="bookmark35"/>
      <w:r>
        <w:t>Integrace aplikace pro dohled nad stavem syst</w:t>
      </w:r>
      <w:r>
        <w:t>ému -15 bodů</w:t>
      </w:r>
      <w:bookmarkEnd w:id="30"/>
      <w:bookmarkEnd w:id="31"/>
      <w:bookmarkEnd w:id="32"/>
    </w:p>
    <w:p w14:paraId="30BD84F6" w14:textId="77777777" w:rsidR="00E73CAD" w:rsidRDefault="00C509A7">
      <w:pPr>
        <w:pStyle w:val="Style6"/>
        <w:shd w:val="clear" w:color="auto" w:fill="auto"/>
        <w:tabs>
          <w:tab w:val="left" w:pos="6048"/>
          <w:tab w:val="left" w:pos="7382"/>
        </w:tabs>
        <w:spacing w:after="0" w:line="314" w:lineRule="auto"/>
      </w:pPr>
      <w:r>
        <w:t>Začlenění aplikace pro dohled nad stavem systému do jedné</w:t>
      </w:r>
      <w:r>
        <w:tab/>
        <w:t>15</w:t>
      </w:r>
      <w:r>
        <w:tab/>
        <w:t>Ano H</w:t>
      </w:r>
    </w:p>
    <w:p w14:paraId="71A29939" w14:textId="77777777" w:rsidR="00E73CAD" w:rsidRDefault="00C509A7">
      <w:pPr>
        <w:pStyle w:val="Style6"/>
        <w:shd w:val="clear" w:color="auto" w:fill="auto"/>
        <w:spacing w:after="440" w:line="314" w:lineRule="auto"/>
      </w:pPr>
      <w:r>
        <w:t>platformy s aplikací pro správu obsahu tak, aby existovalo jednotné bodů přihlášení pod jedinečným uživatelským účtem pro každého uživatele bez nutnosti přihlašovat se ke každé</w:t>
      </w:r>
      <w:r>
        <w:t xml:space="preserve"> aplikaci zvlášť</w:t>
      </w:r>
    </w:p>
    <w:p w14:paraId="05DD00F8" w14:textId="77777777" w:rsidR="00E73CAD" w:rsidRDefault="00C509A7">
      <w:pPr>
        <w:pStyle w:val="Style34"/>
        <w:keepNext/>
        <w:keepLines/>
        <w:shd w:val="clear" w:color="auto" w:fill="auto"/>
      </w:pPr>
      <w:bookmarkStart w:id="33" w:name="bookmark36"/>
      <w:bookmarkStart w:id="34" w:name="bookmark37"/>
      <w:bookmarkStart w:id="35" w:name="bookmark38"/>
      <w:r>
        <w:t>Aktivní monitoring přehrávačů -15 bodů</w:t>
      </w:r>
      <w:bookmarkEnd w:id="33"/>
      <w:bookmarkEnd w:id="34"/>
      <w:bookmarkEnd w:id="35"/>
    </w:p>
    <w:p w14:paraId="0A7AD4E2" w14:textId="77777777" w:rsidR="00E73CAD" w:rsidRDefault="00C509A7">
      <w:pPr>
        <w:pStyle w:val="Style6"/>
        <w:shd w:val="clear" w:color="auto" w:fill="auto"/>
        <w:spacing w:line="312" w:lineRule="auto"/>
      </w:pPr>
      <w:r>
        <w:t>Za jednotlivé položky budou v případě splnění požadovaného parametru přiděleny body uvedené v daném řádku;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0"/>
        <w:gridCol w:w="1171"/>
        <w:gridCol w:w="854"/>
        <w:gridCol w:w="312"/>
      </w:tblGrid>
      <w:tr w:rsidR="00E73CAD" w14:paraId="28B7FC06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5890" w:type="dxa"/>
            <w:shd w:val="clear" w:color="auto" w:fill="FFFFFF"/>
            <w:vAlign w:val="bottom"/>
          </w:tcPr>
          <w:p w14:paraId="25458AB7" w14:textId="77777777" w:rsidR="00E73CAD" w:rsidRDefault="00C509A7">
            <w:pPr>
              <w:pStyle w:val="Style14"/>
              <w:shd w:val="clear" w:color="auto" w:fill="auto"/>
              <w:spacing w:after="0"/>
            </w:pPr>
            <w:r>
              <w:t xml:space="preserve">V aplikaci pro dohled nad stavem systému je indikován stav všech koncových HW přehrávačů ve smyslu </w:t>
            </w:r>
            <w:r>
              <w:rPr>
                <w:lang w:val="en-US" w:eastAsia="en-US" w:bidi="en-US"/>
              </w:rPr>
              <w:t xml:space="preserve">online </w:t>
            </w:r>
            <w:r>
              <w:t xml:space="preserve">nebo </w:t>
            </w:r>
            <w:r>
              <w:rPr>
                <w:lang w:val="en-US" w:eastAsia="en-US" w:bidi="en-US"/>
              </w:rPr>
              <w:t xml:space="preserve">offline </w:t>
            </w:r>
            <w:r>
              <w:t>s přesností na 3 vteřiny (tj. například při fyzickém odpojení LAN kabelu od přehrávače je indikován v aplikaci pro dohled nad stavem syst</w:t>
            </w:r>
            <w:r>
              <w:t xml:space="preserve">ému stav HW přehrávače jako </w:t>
            </w:r>
            <w:r>
              <w:rPr>
                <w:lang w:val="en-US" w:eastAsia="en-US" w:bidi="en-US"/>
              </w:rPr>
              <w:t xml:space="preserve">„offline" </w:t>
            </w:r>
            <w:r>
              <w:t>do 3 vteřin bez nutnosti</w:t>
            </w:r>
          </w:p>
        </w:tc>
        <w:tc>
          <w:tcPr>
            <w:tcW w:w="1171" w:type="dxa"/>
            <w:shd w:val="clear" w:color="auto" w:fill="FFFFFF"/>
          </w:tcPr>
          <w:p w14:paraId="77E7533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>5 bodů</w:t>
            </w:r>
          </w:p>
        </w:tc>
        <w:tc>
          <w:tcPr>
            <w:tcW w:w="854" w:type="dxa"/>
            <w:shd w:val="clear" w:color="auto" w:fill="FFFFFF"/>
          </w:tcPr>
          <w:p w14:paraId="006F47E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  <w:jc w:val="both"/>
            </w:pPr>
            <w:r>
              <w:t>Ano</w:t>
            </w:r>
          </w:p>
        </w:tc>
        <w:tc>
          <w:tcPr>
            <w:tcW w:w="312" w:type="dxa"/>
            <w:shd w:val="clear" w:color="auto" w:fill="FFFFFF"/>
          </w:tcPr>
          <w:p w14:paraId="48275A1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60"/>
            </w:pPr>
            <w:r>
              <w:t>H</w:t>
            </w:r>
          </w:p>
        </w:tc>
      </w:tr>
      <w:tr w:rsidR="00E73CAD" w14:paraId="6011B355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890" w:type="dxa"/>
            <w:shd w:val="clear" w:color="auto" w:fill="FFFFFF"/>
            <w:vAlign w:val="bottom"/>
          </w:tcPr>
          <w:p w14:paraId="354C450D" w14:textId="77777777" w:rsidR="00E73CAD" w:rsidRDefault="00C509A7">
            <w:pPr>
              <w:pStyle w:val="Style14"/>
              <w:shd w:val="clear" w:color="auto" w:fill="auto"/>
              <w:spacing w:after="0" w:line="317" w:lineRule="auto"/>
            </w:pPr>
            <w:r>
              <w:t>obnovovat obrazovku)</w:t>
            </w:r>
          </w:p>
          <w:p w14:paraId="4A01D984" w14:textId="77777777" w:rsidR="00E73CAD" w:rsidRDefault="00C509A7">
            <w:pPr>
              <w:pStyle w:val="Style14"/>
              <w:shd w:val="clear" w:color="auto" w:fill="auto"/>
              <w:spacing w:after="0" w:line="317" w:lineRule="auto"/>
            </w:pPr>
            <w:r>
              <w:t xml:space="preserve">V aplikaci pro dohled nad stavem systému je zaznamenán u všech koncových HW přehrávačů časový údaj o posledním úspěšném pingu (tj. zjištění, zda je </w:t>
            </w:r>
            <w:r>
              <w:t>síťové zařízení v síti dostupné a reaguje na i vyslaný ICMP paket)</w:t>
            </w:r>
          </w:p>
        </w:tc>
        <w:tc>
          <w:tcPr>
            <w:tcW w:w="1171" w:type="dxa"/>
            <w:shd w:val="clear" w:color="auto" w:fill="FFFFFF"/>
          </w:tcPr>
          <w:p w14:paraId="440275F8" w14:textId="77777777" w:rsidR="00E73CAD" w:rsidRDefault="00C509A7">
            <w:pPr>
              <w:pStyle w:val="Style14"/>
              <w:shd w:val="clear" w:color="auto" w:fill="auto"/>
              <w:spacing w:before="300" w:after="0" w:line="240" w:lineRule="auto"/>
              <w:ind w:firstLine="140"/>
            </w:pPr>
            <w:r>
              <w:t>4 body</w:t>
            </w:r>
          </w:p>
        </w:tc>
        <w:tc>
          <w:tcPr>
            <w:tcW w:w="854" w:type="dxa"/>
            <w:shd w:val="clear" w:color="auto" w:fill="FFFFFF"/>
          </w:tcPr>
          <w:p w14:paraId="2D747CD8" w14:textId="77777777" w:rsidR="00E73CAD" w:rsidRDefault="00C509A7">
            <w:pPr>
              <w:pStyle w:val="Style14"/>
              <w:shd w:val="clear" w:color="auto" w:fill="auto"/>
              <w:spacing w:before="300" w:after="0" w:line="240" w:lineRule="auto"/>
              <w:ind w:firstLine="320"/>
              <w:jc w:val="both"/>
            </w:pPr>
            <w:r>
              <w:t>Ano</w:t>
            </w:r>
          </w:p>
        </w:tc>
        <w:tc>
          <w:tcPr>
            <w:tcW w:w="312" w:type="dxa"/>
            <w:shd w:val="clear" w:color="auto" w:fill="FFFFFF"/>
          </w:tcPr>
          <w:p w14:paraId="68E62476" w14:textId="77777777" w:rsidR="00E73CAD" w:rsidRDefault="00C509A7">
            <w:pPr>
              <w:pStyle w:val="Style14"/>
              <w:shd w:val="clear" w:color="auto" w:fill="auto"/>
              <w:spacing w:before="320" w:after="0" w:line="240" w:lineRule="auto"/>
              <w:ind w:firstLine="160"/>
            </w:pPr>
            <w:r>
              <w:t>H</w:t>
            </w:r>
          </w:p>
        </w:tc>
      </w:tr>
      <w:tr w:rsidR="00E73CAD" w14:paraId="1D67E252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890" w:type="dxa"/>
            <w:shd w:val="clear" w:color="auto" w:fill="FFFFFF"/>
            <w:vAlign w:val="bottom"/>
          </w:tcPr>
          <w:p w14:paraId="2219B65F" w14:textId="77777777" w:rsidR="00E73CAD" w:rsidRDefault="00C509A7">
            <w:pPr>
              <w:pStyle w:val="Style14"/>
              <w:shd w:val="clear" w:color="auto" w:fill="auto"/>
              <w:spacing w:after="0" w:line="312" w:lineRule="auto"/>
            </w:pPr>
            <w:r>
              <w:t>V aplikaci pro dohled nad stavem systému je zjistitelná IP adresa všech koncových HW přehrávačů</w:t>
            </w:r>
          </w:p>
        </w:tc>
        <w:tc>
          <w:tcPr>
            <w:tcW w:w="1171" w:type="dxa"/>
            <w:shd w:val="clear" w:color="auto" w:fill="FFFFFF"/>
          </w:tcPr>
          <w:p w14:paraId="4F7622F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>3 body</w:t>
            </w:r>
          </w:p>
        </w:tc>
        <w:tc>
          <w:tcPr>
            <w:tcW w:w="854" w:type="dxa"/>
            <w:shd w:val="clear" w:color="auto" w:fill="FFFFFF"/>
          </w:tcPr>
          <w:p w14:paraId="0228506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  <w:jc w:val="both"/>
            </w:pPr>
            <w:r>
              <w:t>Ano</w:t>
            </w:r>
          </w:p>
        </w:tc>
        <w:tc>
          <w:tcPr>
            <w:tcW w:w="312" w:type="dxa"/>
            <w:shd w:val="clear" w:color="auto" w:fill="FFFFFF"/>
          </w:tcPr>
          <w:p w14:paraId="5FA022E7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60"/>
            </w:pPr>
            <w:r>
              <w:t>H</w:t>
            </w:r>
          </w:p>
        </w:tc>
      </w:tr>
      <w:tr w:rsidR="00E73CAD" w14:paraId="1B89A637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890" w:type="dxa"/>
            <w:shd w:val="clear" w:color="auto" w:fill="FFFFFF"/>
          </w:tcPr>
          <w:p w14:paraId="35622B92" w14:textId="77777777" w:rsidR="00E73CAD" w:rsidRDefault="00C509A7">
            <w:pPr>
              <w:pStyle w:val="Style14"/>
              <w:shd w:val="clear" w:color="auto" w:fill="auto"/>
              <w:spacing w:after="0" w:line="317" w:lineRule="auto"/>
            </w:pPr>
            <w:r>
              <w:t xml:space="preserve">V aplikaci pro dohled nad stavem systému je </w:t>
            </w:r>
            <w:r>
              <w:t>zjistitelná MAC adresa všech koncových HW přehrávačů</w:t>
            </w:r>
          </w:p>
        </w:tc>
        <w:tc>
          <w:tcPr>
            <w:tcW w:w="1171" w:type="dxa"/>
            <w:shd w:val="clear" w:color="auto" w:fill="FFFFFF"/>
          </w:tcPr>
          <w:p w14:paraId="122E5A5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40"/>
            </w:pPr>
            <w:r>
              <w:t>3 body</w:t>
            </w:r>
          </w:p>
        </w:tc>
        <w:tc>
          <w:tcPr>
            <w:tcW w:w="854" w:type="dxa"/>
            <w:shd w:val="clear" w:color="auto" w:fill="FFFFFF"/>
          </w:tcPr>
          <w:p w14:paraId="174C1DA3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  <w:jc w:val="both"/>
            </w:pPr>
            <w:r>
              <w:t>Ano</w:t>
            </w:r>
          </w:p>
        </w:tc>
        <w:tc>
          <w:tcPr>
            <w:tcW w:w="312" w:type="dxa"/>
            <w:shd w:val="clear" w:color="auto" w:fill="FFFFFF"/>
          </w:tcPr>
          <w:p w14:paraId="5E19B6E0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160"/>
            </w:pPr>
            <w:r>
              <w:t>H</w:t>
            </w:r>
          </w:p>
        </w:tc>
      </w:tr>
      <w:tr w:rsidR="00E73CAD" w14:paraId="096D85DE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890" w:type="dxa"/>
            <w:shd w:val="clear" w:color="auto" w:fill="FFFFFF"/>
            <w:vAlign w:val="bottom"/>
          </w:tcPr>
          <w:p w14:paraId="0ABA429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Integrace aktivního monitoringu -15 bodů</w:t>
            </w:r>
          </w:p>
        </w:tc>
        <w:tc>
          <w:tcPr>
            <w:tcW w:w="1171" w:type="dxa"/>
            <w:shd w:val="clear" w:color="auto" w:fill="FFFFFF"/>
          </w:tcPr>
          <w:p w14:paraId="2699F7BF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14:paraId="7BC22024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</w:tcPr>
          <w:p w14:paraId="61580966" w14:textId="77777777" w:rsidR="00E73CAD" w:rsidRDefault="00E73CAD">
            <w:pPr>
              <w:rPr>
                <w:sz w:val="10"/>
                <w:szCs w:val="10"/>
              </w:rPr>
            </w:pPr>
          </w:p>
        </w:tc>
      </w:tr>
      <w:tr w:rsidR="00E73CAD" w14:paraId="525FDA96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5890" w:type="dxa"/>
            <w:shd w:val="clear" w:color="auto" w:fill="FFFFFF"/>
            <w:vAlign w:val="bottom"/>
          </w:tcPr>
          <w:p w14:paraId="49B55A22" w14:textId="77777777" w:rsidR="00E73CAD" w:rsidRDefault="00C509A7">
            <w:pPr>
              <w:pStyle w:val="Style14"/>
              <w:shd w:val="clear" w:color="auto" w:fill="auto"/>
              <w:spacing w:after="0" w:line="324" w:lineRule="auto"/>
            </w:pPr>
            <w:r>
              <w:t xml:space="preserve">Za začlenění výše uvedeného Aktivního monitoringu přehrávačů do jedné platformy s aplikací pro správu obsahu tak, aby existovalo </w:t>
            </w:r>
            <w:r>
              <w:t>jednotné přihlášení pod jedinečným uživatelským účtem pro každého uživatele bez nutnosti přihlašovat se zvlášť do Aktivního</w:t>
            </w:r>
          </w:p>
        </w:tc>
        <w:tc>
          <w:tcPr>
            <w:tcW w:w="1171" w:type="dxa"/>
            <w:shd w:val="clear" w:color="auto" w:fill="FFFFFF"/>
          </w:tcPr>
          <w:p w14:paraId="4D4FA4F0" w14:textId="77777777" w:rsidR="00E73CAD" w:rsidRDefault="00C509A7">
            <w:pPr>
              <w:pStyle w:val="Style14"/>
              <w:shd w:val="clear" w:color="auto" w:fill="auto"/>
              <w:spacing w:before="120" w:after="0" w:line="240" w:lineRule="auto"/>
              <w:ind w:firstLine="140"/>
            </w:pPr>
            <w:r>
              <w:t>15 bodů</w:t>
            </w:r>
          </w:p>
        </w:tc>
        <w:tc>
          <w:tcPr>
            <w:tcW w:w="854" w:type="dxa"/>
            <w:shd w:val="clear" w:color="auto" w:fill="FFFFFF"/>
          </w:tcPr>
          <w:p w14:paraId="03777C2F" w14:textId="77777777" w:rsidR="00E73CAD" w:rsidRDefault="00C509A7">
            <w:pPr>
              <w:pStyle w:val="Style14"/>
              <w:shd w:val="clear" w:color="auto" w:fill="auto"/>
              <w:spacing w:before="120" w:after="0" w:line="240" w:lineRule="auto"/>
              <w:ind w:firstLine="320"/>
              <w:jc w:val="both"/>
            </w:pPr>
            <w:r>
              <w:t>Ano</w:t>
            </w:r>
          </w:p>
        </w:tc>
        <w:tc>
          <w:tcPr>
            <w:tcW w:w="312" w:type="dxa"/>
            <w:shd w:val="clear" w:color="auto" w:fill="FFFFFF"/>
          </w:tcPr>
          <w:p w14:paraId="19E3C741" w14:textId="77777777" w:rsidR="00E73CAD" w:rsidRDefault="00C509A7">
            <w:pPr>
              <w:pStyle w:val="Style14"/>
              <w:shd w:val="clear" w:color="auto" w:fill="auto"/>
              <w:spacing w:before="120" w:after="0" w:line="240" w:lineRule="auto"/>
              <w:ind w:firstLine="160"/>
            </w:pPr>
            <w:r>
              <w:t>H</w:t>
            </w:r>
          </w:p>
        </w:tc>
      </w:tr>
    </w:tbl>
    <w:p w14:paraId="42517B64" w14:textId="77777777" w:rsidR="00E73CAD" w:rsidRDefault="00C509A7">
      <w:pPr>
        <w:pStyle w:val="Style11"/>
        <w:shd w:val="clear" w:color="auto" w:fill="auto"/>
        <w:sectPr w:rsidR="00E73CAD">
          <w:pgSz w:w="12091" w:h="16968"/>
          <w:pgMar w:top="1766" w:right="2001" w:bottom="1766" w:left="1651" w:header="0" w:footer="1338" w:gutter="0"/>
          <w:cols w:space="720"/>
          <w:noEndnote/>
          <w:docGrid w:linePitch="360"/>
        </w:sectPr>
      </w:pPr>
      <w:r>
        <w:t>monitoringu a do aplikace pro správu obsahu</w:t>
      </w:r>
    </w:p>
    <w:p w14:paraId="4AF78F6F" w14:textId="77777777" w:rsidR="00E73CAD" w:rsidRDefault="00C509A7">
      <w:pPr>
        <w:pStyle w:val="Style34"/>
        <w:keepNext/>
        <w:keepLines/>
        <w:shd w:val="clear" w:color="auto" w:fill="auto"/>
        <w:spacing w:after="220"/>
      </w:pPr>
      <w:bookmarkStart w:id="36" w:name="bookmark39"/>
      <w:bookmarkStart w:id="37" w:name="bookmark40"/>
      <w:bookmarkStart w:id="38" w:name="bookmark41"/>
      <w:r>
        <w:lastRenderedPageBreak/>
        <w:t>Synchronizace libovolných přehrávačů -12 bodů</w:t>
      </w:r>
      <w:bookmarkEnd w:id="36"/>
      <w:bookmarkEnd w:id="37"/>
      <w:bookmarkEnd w:id="3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0"/>
        <w:gridCol w:w="1421"/>
        <w:gridCol w:w="1157"/>
      </w:tblGrid>
      <w:tr w:rsidR="00E73CAD" w14:paraId="39EF955B" w14:textId="77777777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5640" w:type="dxa"/>
            <w:shd w:val="clear" w:color="auto" w:fill="FFFFFF"/>
          </w:tcPr>
          <w:p w14:paraId="16466294" w14:textId="77777777" w:rsidR="00E73CAD" w:rsidRDefault="00C509A7">
            <w:pPr>
              <w:pStyle w:val="Style14"/>
              <w:shd w:val="clear" w:color="auto" w:fill="auto"/>
              <w:spacing w:after="0" w:line="322" w:lineRule="auto"/>
            </w:pPr>
            <w:r>
              <w:t>Možnost synchronizovat s přesností na 0,5 vteřiny přehrávání obsahu v libovolných přehrávačích zvolených dodavatelem v bodech MPAV01-MPAV14 v příloze č. 8 ZD (Vzor Modelového příkladu pro hodnocení nabídek)</w:t>
            </w:r>
          </w:p>
        </w:tc>
        <w:tc>
          <w:tcPr>
            <w:tcW w:w="1421" w:type="dxa"/>
            <w:shd w:val="clear" w:color="auto" w:fill="FFFFFF"/>
          </w:tcPr>
          <w:p w14:paraId="254085A9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400"/>
            </w:pPr>
            <w:r>
              <w:t>12 bodů</w:t>
            </w:r>
          </w:p>
        </w:tc>
        <w:tc>
          <w:tcPr>
            <w:tcW w:w="1157" w:type="dxa"/>
            <w:shd w:val="clear" w:color="auto" w:fill="FFFFFF"/>
          </w:tcPr>
          <w:p w14:paraId="3754593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</w:pPr>
            <w:r>
              <w:t>Ano H</w:t>
            </w:r>
          </w:p>
        </w:tc>
      </w:tr>
      <w:tr w:rsidR="00E73CAD" w14:paraId="76BBC6D7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40" w:type="dxa"/>
            <w:shd w:val="clear" w:color="auto" w:fill="FFFFFF"/>
            <w:vAlign w:val="center"/>
          </w:tcPr>
          <w:p w14:paraId="37419FFF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Zasílání </w:t>
            </w:r>
            <w:r>
              <w:rPr>
                <w:b/>
                <w:bCs/>
                <w:sz w:val="26"/>
                <w:szCs w:val="26"/>
              </w:rPr>
              <w:t>notifikačních e-mailů - 6 bodů</w:t>
            </w:r>
          </w:p>
        </w:tc>
        <w:tc>
          <w:tcPr>
            <w:tcW w:w="1421" w:type="dxa"/>
            <w:shd w:val="clear" w:color="auto" w:fill="FFFFFF"/>
          </w:tcPr>
          <w:p w14:paraId="6BA3CE9A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0639E967" w14:textId="77777777" w:rsidR="00E73CAD" w:rsidRDefault="00E73CAD">
            <w:pPr>
              <w:rPr>
                <w:sz w:val="10"/>
                <w:szCs w:val="10"/>
              </w:rPr>
            </w:pPr>
          </w:p>
        </w:tc>
      </w:tr>
      <w:tr w:rsidR="00E73CAD" w14:paraId="2763DC7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640" w:type="dxa"/>
            <w:shd w:val="clear" w:color="auto" w:fill="FFFFFF"/>
            <w:vAlign w:val="center"/>
          </w:tcPr>
          <w:p w14:paraId="1CC82FAD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Možnost zasílání notifikačních e-mailů o výpadku přehrávačů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6D9C635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</w:pPr>
            <w:r>
              <w:t>6 bodu</w:t>
            </w:r>
          </w:p>
        </w:tc>
        <w:tc>
          <w:tcPr>
            <w:tcW w:w="1157" w:type="dxa"/>
            <w:shd w:val="clear" w:color="auto" w:fill="FFFFFF"/>
            <w:vAlign w:val="center"/>
          </w:tcPr>
          <w:p w14:paraId="2B95A83C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</w:pPr>
            <w:r>
              <w:t>Ano H</w:t>
            </w:r>
          </w:p>
        </w:tc>
      </w:tr>
      <w:tr w:rsidR="00E73CAD" w14:paraId="6F55226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640" w:type="dxa"/>
            <w:shd w:val="clear" w:color="auto" w:fill="FFFFFF"/>
          </w:tcPr>
          <w:p w14:paraId="3D0E8752" w14:textId="77777777" w:rsidR="00E73CAD" w:rsidRDefault="00C509A7">
            <w:pPr>
              <w:pStyle w:val="Style14"/>
              <w:shd w:val="clear" w:color="auto" w:fill="auto"/>
              <w:spacing w:before="100" w:after="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Zasílání notifikačních SMS - 6 bodů</w:t>
            </w:r>
          </w:p>
        </w:tc>
        <w:tc>
          <w:tcPr>
            <w:tcW w:w="1421" w:type="dxa"/>
            <w:shd w:val="clear" w:color="auto" w:fill="FFFFFF"/>
          </w:tcPr>
          <w:p w14:paraId="716A1B72" w14:textId="77777777" w:rsidR="00E73CAD" w:rsidRDefault="00E73CAD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14:paraId="0EABC945" w14:textId="77777777" w:rsidR="00E73CAD" w:rsidRDefault="00E73CAD">
            <w:pPr>
              <w:rPr>
                <w:sz w:val="10"/>
                <w:szCs w:val="10"/>
              </w:rPr>
            </w:pPr>
          </w:p>
        </w:tc>
      </w:tr>
      <w:tr w:rsidR="00E73CAD" w14:paraId="5FC7C0F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640" w:type="dxa"/>
            <w:shd w:val="clear" w:color="auto" w:fill="FFFFFF"/>
            <w:vAlign w:val="bottom"/>
          </w:tcPr>
          <w:p w14:paraId="30167894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</w:pPr>
            <w:r>
              <w:t>Možnost zasílání notifikačních SMS o výpadku přehrávačů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691C9C9B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jc w:val="center"/>
            </w:pPr>
            <w:r>
              <w:t>6 bodů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09B0D428" w14:textId="77777777" w:rsidR="00E73CAD" w:rsidRDefault="00C509A7">
            <w:pPr>
              <w:pStyle w:val="Style14"/>
              <w:shd w:val="clear" w:color="auto" w:fill="auto"/>
              <w:spacing w:after="0" w:line="240" w:lineRule="auto"/>
              <w:ind w:firstLine="320"/>
              <w:jc w:val="both"/>
            </w:pPr>
            <w:r>
              <w:t>Ne</w:t>
            </w:r>
          </w:p>
        </w:tc>
      </w:tr>
    </w:tbl>
    <w:p w14:paraId="0D41E985" w14:textId="77777777" w:rsidR="00E73CAD" w:rsidRDefault="00E73CAD">
      <w:pPr>
        <w:spacing w:after="219" w:line="1" w:lineRule="exact"/>
      </w:pPr>
    </w:p>
    <w:p w14:paraId="34A8527B" w14:textId="77777777" w:rsidR="00E73CAD" w:rsidRDefault="00C509A7">
      <w:pPr>
        <w:pStyle w:val="Style34"/>
        <w:keepNext/>
        <w:keepLines/>
        <w:shd w:val="clear" w:color="auto" w:fill="auto"/>
        <w:spacing w:after="220"/>
      </w:pPr>
      <w:bookmarkStart w:id="39" w:name="bookmark42"/>
      <w:bookmarkStart w:id="40" w:name="bookmark43"/>
      <w:bookmarkStart w:id="41" w:name="bookmark44"/>
      <w:r>
        <w:t xml:space="preserve">Dodavatelem provozovaný systém </w:t>
      </w:r>
      <w:r>
        <w:t>hlášení závad - 6 bodů</w:t>
      </w:r>
      <w:bookmarkEnd w:id="39"/>
      <w:bookmarkEnd w:id="40"/>
      <w:bookmarkEnd w:id="41"/>
    </w:p>
    <w:p w14:paraId="3871173E" w14:textId="77777777" w:rsidR="00E73CAD" w:rsidRDefault="00C509A7">
      <w:pPr>
        <w:pStyle w:val="Style6"/>
        <w:shd w:val="clear" w:color="auto" w:fill="auto"/>
        <w:spacing w:line="317" w:lineRule="auto"/>
      </w:pPr>
      <w:r>
        <w:t>Systém musí poskytovat možnost nahlásit závadu libovolným z oprávněných uživatelů zadavatele. Systém musí umět sledovat průběh řešení a odstraňování závad dodavatelem a archivovat veškeré nahlášené, vyřešené i nevyřešené závady. Každ</w:t>
      </w:r>
      <w:r>
        <w:t>ý z úkonů, který se bude v systému s nahlášenou závadou odehrávat, musí být opatřen časovým údajem, kdy se tak stalo.</w:t>
      </w:r>
    </w:p>
    <w:p w14:paraId="65958834" w14:textId="77777777" w:rsidR="00E73CAD" w:rsidRDefault="00C509A7">
      <w:pPr>
        <w:pStyle w:val="Style6"/>
        <w:shd w:val="clear" w:color="auto" w:fill="auto"/>
        <w:spacing w:after="220" w:line="324" w:lineRule="auto"/>
      </w:pPr>
      <w:r>
        <w:t xml:space="preserve">Dodavatelem provozovaný systém hlášení závad (tzv. </w:t>
      </w:r>
      <w:proofErr w:type="spellStart"/>
      <w:r>
        <w:t>ticketovací</w:t>
      </w:r>
      <w:proofErr w:type="spellEnd"/>
      <w:r>
        <w:t xml:space="preserve"> 6 bodů Ano 1 Systém)</w:t>
      </w:r>
    </w:p>
    <w:sectPr w:rsidR="00E73CAD">
      <w:headerReference w:type="default" r:id="rId8"/>
      <w:pgSz w:w="11966" w:h="16877"/>
      <w:pgMar w:top="1721" w:right="2058" w:bottom="1721" w:left="1526" w:header="1293" w:footer="12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DA7A0" w14:textId="77777777" w:rsidR="00000000" w:rsidRDefault="00C509A7">
      <w:r>
        <w:separator/>
      </w:r>
    </w:p>
  </w:endnote>
  <w:endnote w:type="continuationSeparator" w:id="0">
    <w:p w14:paraId="203CD01D" w14:textId="77777777" w:rsidR="00000000" w:rsidRDefault="00C5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5F6D6" w14:textId="77777777" w:rsidR="00E73CAD" w:rsidRDefault="00E73CAD"/>
  </w:footnote>
  <w:footnote w:type="continuationSeparator" w:id="0">
    <w:p w14:paraId="406659D2" w14:textId="77777777" w:rsidR="00E73CAD" w:rsidRDefault="00E73C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8799C" w14:textId="77777777" w:rsidR="00E73CAD" w:rsidRDefault="00C509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47E1030" wp14:editId="333FCFE3">
              <wp:simplePos x="0" y="0"/>
              <wp:positionH relativeFrom="page">
                <wp:posOffset>5838825</wp:posOffset>
              </wp:positionH>
              <wp:positionV relativeFrom="page">
                <wp:posOffset>1058545</wp:posOffset>
              </wp:positionV>
              <wp:extent cx="496570" cy="8509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E7052" w14:textId="77777777" w:rsidR="00E73CAD" w:rsidRDefault="00C509A7">
                          <w:pPr>
                            <w:pStyle w:val="Style31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Ano 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E1030" id="_x0000_t202" coordsize="21600,21600" o:spt="202" path="m,l,21600r21600,l21600,xe">
              <v:stroke joinstyle="miter"/>
              <v:path gradientshapeok="t" o:connecttype="rect"/>
            </v:shapetype>
            <v:shape id="Shape 39" o:spid="_x0000_s1040" type="#_x0000_t202" style="position:absolute;margin-left:459.75pt;margin-top:83.35pt;width:39.1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" filled="f" stroked="f">
              <v:textbox style="mso-fit-shape-to-text:t" inset="0,0,0,0">
                <w:txbxContent>
                  <w:p w14:paraId="3CFE7052" w14:textId="77777777" w:rsidR="00E73CAD" w:rsidRDefault="00C509A7">
                    <w:pPr>
                      <w:pStyle w:val="Style31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Ano 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FB3F4" w14:textId="77777777" w:rsidR="00E73CAD" w:rsidRDefault="00E73C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7D83"/>
    <w:multiLevelType w:val="multilevel"/>
    <w:tmpl w:val="96F24B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CE778B"/>
    <w:multiLevelType w:val="multilevel"/>
    <w:tmpl w:val="B2E0BC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BE5D7D"/>
    <w:multiLevelType w:val="multilevel"/>
    <w:tmpl w:val="8C7634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C5453D"/>
    <w:multiLevelType w:val="multilevel"/>
    <w:tmpl w:val="ED5ED8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3D49BB"/>
    <w:multiLevelType w:val="multilevel"/>
    <w:tmpl w:val="8BBE66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D719A0"/>
    <w:multiLevelType w:val="multilevel"/>
    <w:tmpl w:val="AEF6BE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7134B5"/>
    <w:multiLevelType w:val="multilevel"/>
    <w:tmpl w:val="708C26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EB4BF7"/>
    <w:multiLevelType w:val="multilevel"/>
    <w:tmpl w:val="EE8633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6B34A2"/>
    <w:multiLevelType w:val="multilevel"/>
    <w:tmpl w:val="E67828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051005"/>
    <w:multiLevelType w:val="multilevel"/>
    <w:tmpl w:val="6EECAE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3605FD"/>
    <w:multiLevelType w:val="multilevel"/>
    <w:tmpl w:val="C1B857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E427FC"/>
    <w:multiLevelType w:val="multilevel"/>
    <w:tmpl w:val="730AEB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27419C"/>
    <w:multiLevelType w:val="multilevel"/>
    <w:tmpl w:val="72EC5B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7D0D0C"/>
    <w:multiLevelType w:val="multilevel"/>
    <w:tmpl w:val="67C439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5C200F"/>
    <w:multiLevelType w:val="multilevel"/>
    <w:tmpl w:val="3D6CD41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3"/>
  </w:num>
  <w:num w:numId="5">
    <w:abstractNumId w:val="14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4"/>
  </w:num>
  <w:num w:numId="11">
    <w:abstractNumId w:val="13"/>
  </w:num>
  <w:num w:numId="12">
    <w:abstractNumId w:val="6"/>
  </w:num>
  <w:num w:numId="13">
    <w:abstractNumId w:val="10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AD"/>
    <w:rsid w:val="00C509A7"/>
    <w:rsid w:val="00E7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99B6"/>
  <w15:docId w15:val="{539AFA52-204D-4FCD-86C6-6B800F2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2">
    <w:name w:val="Char Style 32"/>
    <w:basedOn w:val="Standardnpsmoodstavce"/>
    <w:link w:val="Style3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16"/>
      <w:szCs w:val="16"/>
      <w:lang w:val="en-US" w:eastAsia="en-US" w:bidi="en-US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320" w:line="360" w:lineRule="auto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140" w:line="319" w:lineRule="auto"/>
    </w:pPr>
    <w:rPr>
      <w:rFonts w:ascii="Arial" w:eastAsia="Arial" w:hAnsi="Arial" w:cs="Arial"/>
      <w:sz w:val="18"/>
      <w:szCs w:val="18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341" w:lineRule="auto"/>
      <w:jc w:val="center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1">
    <w:name w:val="Style 11"/>
    <w:basedOn w:val="Normln"/>
    <w:link w:val="CharStyle1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140" w:line="319" w:lineRule="auto"/>
    </w:pPr>
    <w:rPr>
      <w:rFonts w:ascii="Arial" w:eastAsia="Arial" w:hAnsi="Arial" w:cs="Arial"/>
      <w:sz w:val="18"/>
      <w:szCs w:val="18"/>
    </w:rPr>
  </w:style>
  <w:style w:type="paragraph" w:customStyle="1" w:styleId="Style17">
    <w:name w:val="Style 17"/>
    <w:basedOn w:val="Normln"/>
    <w:link w:val="CharStyle18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326" w:lineRule="auto"/>
      <w:jc w:val="center"/>
    </w:pPr>
    <w:rPr>
      <w:rFonts w:ascii="Arial" w:eastAsia="Arial" w:hAnsi="Arial" w:cs="Arial"/>
      <w:sz w:val="11"/>
      <w:szCs w:val="11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after="160" w:line="312" w:lineRule="auto"/>
    </w:pPr>
    <w:rPr>
      <w:rFonts w:ascii="Arial" w:eastAsia="Arial" w:hAnsi="Arial" w:cs="Arial"/>
      <w:sz w:val="26"/>
      <w:szCs w:val="26"/>
    </w:rPr>
  </w:style>
  <w:style w:type="paragraph" w:customStyle="1" w:styleId="Style31">
    <w:name w:val="Style 31"/>
    <w:basedOn w:val="Normln"/>
    <w:link w:val="CharStyle32"/>
    <w:pPr>
      <w:shd w:val="clear" w:color="auto" w:fill="FFFFFF"/>
    </w:pPr>
    <w:rPr>
      <w:sz w:val="20"/>
      <w:szCs w:val="20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after="24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5115</Words>
  <Characters>30182</Characters>
  <Application>Microsoft Office Word</Application>
  <DocSecurity>4</DocSecurity>
  <Lines>251</Lines>
  <Paragraphs>70</Paragraphs>
  <ScaleCrop>false</ScaleCrop>
  <Company/>
  <LinksUpToDate>false</LinksUpToDate>
  <CharactersWithSpaces>35227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2</cp:revision>
  <dcterms:created xsi:type="dcterms:W3CDTF">2021-03-25T12:35:00Z</dcterms:created>
  <dcterms:modified xsi:type="dcterms:W3CDTF">2021-03-25T12:35:00Z</dcterms:modified>
</cp:coreProperties>
</file>