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3CFD4" w14:textId="117F8E35" w:rsidR="004548FB" w:rsidRPr="00071422" w:rsidRDefault="00071422" w:rsidP="00071422">
      <w:pPr>
        <w:pStyle w:val="lnek"/>
        <w:numPr>
          <w:ilvl w:val="0"/>
          <w:numId w:val="0"/>
        </w:numPr>
        <w:spacing w:before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Příloha č. </w:t>
      </w:r>
      <w:r w:rsidR="00721B04">
        <w:rPr>
          <w:sz w:val="32"/>
          <w:szCs w:val="32"/>
        </w:rPr>
        <w:t>5</w:t>
      </w:r>
    </w:p>
    <w:p w14:paraId="4038E15D" w14:textId="77777777" w:rsidR="00FA31FE" w:rsidRPr="00920095" w:rsidRDefault="00FA31FE" w:rsidP="00920095">
      <w:pPr>
        <w:jc w:val="center"/>
        <w:rPr>
          <w:sz w:val="32"/>
          <w:szCs w:val="32"/>
        </w:rPr>
      </w:pPr>
      <w:r w:rsidRPr="00920095">
        <w:rPr>
          <w:rFonts w:asciiTheme="minorHAnsi" w:hAnsiTheme="minorHAnsi" w:cstheme="minorHAnsi"/>
          <w:b/>
          <w:sz w:val="32"/>
          <w:szCs w:val="32"/>
        </w:rPr>
        <w:t>Prohlášení a záruky Investora</w:t>
      </w:r>
    </w:p>
    <w:p w14:paraId="29EF2D68" w14:textId="4034ACA8" w:rsidR="00071422" w:rsidRPr="00071422" w:rsidRDefault="00071422" w:rsidP="00071422">
      <w:pPr>
        <w:pStyle w:val="lnek"/>
        <w:spacing w:before="120" w:line="240" w:lineRule="auto"/>
        <w:ind w:left="567" w:hanging="567"/>
        <w:rPr>
          <w:color w:val="auto"/>
          <w:szCs w:val="22"/>
        </w:rPr>
      </w:pPr>
      <w:r w:rsidRPr="005C22B1">
        <w:rPr>
          <w:color w:val="auto"/>
          <w:szCs w:val="22"/>
        </w:rPr>
        <w:t>Úvodní ustanovení</w:t>
      </w:r>
    </w:p>
    <w:p w14:paraId="612A9575" w14:textId="78B7456C" w:rsidR="00AF415A" w:rsidRPr="00071422" w:rsidRDefault="00AF415A" w:rsidP="00920095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Theme="minorHAnsi" w:eastAsia="Calibri" w:hAnsiTheme="minorHAnsi" w:cstheme="minorHAnsi"/>
        </w:rPr>
      </w:pPr>
      <w:r w:rsidRPr="00071422">
        <w:rPr>
          <w:rFonts w:asciiTheme="minorHAnsi" w:eastAsia="Calibri" w:hAnsiTheme="minorHAnsi" w:cstheme="minorHAnsi"/>
        </w:rPr>
        <w:t>Tato Prohlášení a záruky Investora tvoří nedílnou součást Dohody.</w:t>
      </w:r>
    </w:p>
    <w:p w14:paraId="39B4A031" w14:textId="0B19F9BB" w:rsidR="00AF415A" w:rsidRDefault="00AF415A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Theme="minorHAnsi" w:eastAsia="Calibri" w:hAnsiTheme="minorHAnsi" w:cstheme="minorHAnsi"/>
        </w:rPr>
      </w:pPr>
      <w:r w:rsidRPr="00071422">
        <w:rPr>
          <w:rFonts w:asciiTheme="minorHAnsi" w:eastAsia="Calibri" w:hAnsiTheme="minorHAnsi" w:cstheme="minorHAnsi"/>
        </w:rPr>
        <w:t>Výrazy s počátečními velkými písmeny mají stejný význam, jaký je těmto výrazům přisuzován v Dohodě.</w:t>
      </w:r>
    </w:p>
    <w:p w14:paraId="5EBD01AA" w14:textId="563F3D24" w:rsidR="00071422" w:rsidRDefault="00071422" w:rsidP="00071422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Theme="minorHAnsi" w:eastAsia="Calibri" w:hAnsiTheme="minorHAnsi" w:cstheme="minorHAnsi"/>
        </w:rPr>
      </w:pPr>
      <w:r w:rsidRPr="00071422">
        <w:rPr>
          <w:rFonts w:asciiTheme="minorHAnsi" w:eastAsia="Calibri" w:hAnsiTheme="minorHAnsi" w:cstheme="minorHAnsi"/>
        </w:rPr>
        <w:t xml:space="preserve">Kdekoli se v těchto Prohlášeních a zárukách </w:t>
      </w:r>
      <w:r>
        <w:rPr>
          <w:rFonts w:asciiTheme="minorHAnsi" w:eastAsia="Calibri" w:hAnsiTheme="minorHAnsi" w:cstheme="minorHAnsi"/>
        </w:rPr>
        <w:t>Investora</w:t>
      </w:r>
      <w:r w:rsidRPr="00071422">
        <w:rPr>
          <w:rFonts w:asciiTheme="minorHAnsi" w:eastAsia="Calibri" w:hAnsiTheme="minorHAnsi" w:cstheme="minorHAnsi"/>
        </w:rPr>
        <w:t xml:space="preserve"> hovoří o tom, že příslušné Prohlášení a záruka </w:t>
      </w:r>
      <w:r>
        <w:rPr>
          <w:rFonts w:asciiTheme="minorHAnsi" w:eastAsia="Calibri" w:hAnsiTheme="minorHAnsi" w:cstheme="minorHAnsi"/>
        </w:rPr>
        <w:t>Investora</w:t>
      </w:r>
      <w:r w:rsidRPr="00071422">
        <w:rPr>
          <w:rFonts w:asciiTheme="minorHAnsi" w:eastAsia="Calibri" w:hAnsiTheme="minorHAnsi" w:cstheme="minorHAnsi"/>
        </w:rPr>
        <w:t xml:space="preserve"> je poskytováno podle vědomí </w:t>
      </w:r>
      <w:r>
        <w:rPr>
          <w:rFonts w:asciiTheme="minorHAnsi" w:eastAsia="Calibri" w:hAnsiTheme="minorHAnsi" w:cstheme="minorHAnsi"/>
        </w:rPr>
        <w:t>Investora</w:t>
      </w:r>
      <w:r w:rsidRPr="00071422">
        <w:rPr>
          <w:rFonts w:asciiTheme="minorHAnsi" w:eastAsia="Calibri" w:hAnsiTheme="minorHAnsi" w:cstheme="minorHAnsi"/>
        </w:rPr>
        <w:t xml:space="preserve">, zahrnuje toto vědomí veškeré skutečnosti a informace, jimiž </w:t>
      </w:r>
      <w:r>
        <w:rPr>
          <w:rFonts w:asciiTheme="minorHAnsi" w:eastAsia="Calibri" w:hAnsiTheme="minorHAnsi" w:cstheme="minorHAnsi"/>
        </w:rPr>
        <w:t>Investor</w:t>
      </w:r>
      <w:r w:rsidRPr="00071422">
        <w:rPr>
          <w:rFonts w:asciiTheme="minorHAnsi" w:eastAsia="Calibri" w:hAnsiTheme="minorHAnsi" w:cstheme="minorHAnsi"/>
        </w:rPr>
        <w:t xml:space="preserve"> disponuje či by </w:t>
      </w:r>
      <w:r w:rsidR="00587F39">
        <w:rPr>
          <w:rFonts w:asciiTheme="minorHAnsi" w:eastAsia="Calibri" w:hAnsiTheme="minorHAnsi" w:cstheme="minorHAnsi"/>
        </w:rPr>
        <w:t xml:space="preserve">při vynaložení řádné péče </w:t>
      </w:r>
      <w:r w:rsidRPr="00071422">
        <w:rPr>
          <w:rFonts w:asciiTheme="minorHAnsi" w:eastAsia="Calibri" w:hAnsiTheme="minorHAnsi" w:cstheme="minorHAnsi"/>
        </w:rPr>
        <w:t>disponovat měl a/nebo mohl</w:t>
      </w:r>
      <w:r w:rsidR="00587F39">
        <w:rPr>
          <w:rFonts w:asciiTheme="minorHAnsi" w:eastAsia="Calibri" w:hAnsiTheme="minorHAnsi" w:cstheme="minorHAnsi"/>
        </w:rPr>
        <w:t xml:space="preserve">. </w:t>
      </w:r>
    </w:p>
    <w:p w14:paraId="0500DDBF" w14:textId="3B18C15A" w:rsidR="00071422" w:rsidRPr="00071422" w:rsidRDefault="00071422" w:rsidP="00071422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Theme="minorHAnsi" w:eastAsia="Calibri" w:hAnsiTheme="minorHAnsi" w:cstheme="minorHAnsi"/>
        </w:rPr>
      </w:pPr>
      <w:r w:rsidRPr="00071422">
        <w:rPr>
          <w:rFonts w:asciiTheme="minorHAnsi" w:eastAsia="Calibri" w:hAnsiTheme="minorHAnsi" w:cstheme="minorHAnsi"/>
        </w:rPr>
        <w:t xml:space="preserve">Kdekoli se v těchto Prohlášeních a zárukách </w:t>
      </w:r>
      <w:r>
        <w:rPr>
          <w:rFonts w:asciiTheme="minorHAnsi" w:eastAsia="Calibri" w:hAnsiTheme="minorHAnsi" w:cstheme="minorHAnsi"/>
        </w:rPr>
        <w:t>Investora</w:t>
      </w:r>
      <w:r w:rsidRPr="00071422">
        <w:rPr>
          <w:rFonts w:asciiTheme="minorHAnsi" w:eastAsia="Calibri" w:hAnsiTheme="minorHAnsi" w:cstheme="minorHAnsi"/>
        </w:rPr>
        <w:t xml:space="preserve"> stanoví, že určitý stav nemá být rozporován, zpochybněn či ohrožen, uplatní se pro takový případ čl. 3</w:t>
      </w:r>
      <w:r w:rsidR="007D122A">
        <w:rPr>
          <w:rFonts w:asciiTheme="minorHAnsi" w:eastAsia="Calibri" w:hAnsiTheme="minorHAnsi" w:cstheme="minorHAnsi"/>
        </w:rPr>
        <w:t>4</w:t>
      </w:r>
      <w:r w:rsidRPr="00071422">
        <w:rPr>
          <w:rFonts w:asciiTheme="minorHAnsi" w:eastAsia="Calibri" w:hAnsiTheme="minorHAnsi" w:cstheme="minorHAnsi"/>
        </w:rPr>
        <w:t>.9 a čl. 3</w:t>
      </w:r>
      <w:r w:rsidR="007D122A">
        <w:rPr>
          <w:rFonts w:asciiTheme="minorHAnsi" w:eastAsia="Calibri" w:hAnsiTheme="minorHAnsi" w:cstheme="minorHAnsi"/>
        </w:rPr>
        <w:t>4</w:t>
      </w:r>
      <w:r w:rsidRPr="00071422">
        <w:rPr>
          <w:rFonts w:asciiTheme="minorHAnsi" w:eastAsia="Calibri" w:hAnsiTheme="minorHAnsi" w:cstheme="minorHAnsi"/>
        </w:rPr>
        <w:t>.10 Dohody.</w:t>
      </w:r>
    </w:p>
    <w:p w14:paraId="3F335FEC" w14:textId="76EF10EA" w:rsidR="00071422" w:rsidRPr="00071422" w:rsidRDefault="00071422" w:rsidP="00071422">
      <w:pPr>
        <w:numPr>
          <w:ilvl w:val="0"/>
          <w:numId w:val="2"/>
        </w:numPr>
        <w:spacing w:before="120" w:after="120" w:line="240" w:lineRule="auto"/>
        <w:ind w:left="567" w:hanging="567"/>
        <w:jc w:val="both"/>
        <w:rPr>
          <w:rFonts w:asciiTheme="minorHAnsi" w:eastAsia="Calibri" w:hAnsiTheme="minorHAnsi" w:cstheme="minorHAnsi"/>
          <w:b/>
          <w:bCs/>
        </w:rPr>
      </w:pPr>
      <w:r w:rsidRPr="00071422">
        <w:rPr>
          <w:rFonts w:asciiTheme="minorHAnsi" w:eastAsia="Calibri" w:hAnsiTheme="minorHAnsi" w:cstheme="minorHAnsi"/>
          <w:b/>
          <w:bCs/>
        </w:rPr>
        <w:t>Investor</w:t>
      </w:r>
    </w:p>
    <w:p w14:paraId="617246D9" w14:textId="77777777" w:rsidR="000E6213" w:rsidRPr="00071422" w:rsidRDefault="000E6213" w:rsidP="000E6213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071422">
        <w:rPr>
          <w:rFonts w:asciiTheme="minorHAnsi" w:eastAsia="Calibri" w:hAnsiTheme="minorHAnsi" w:cstheme="minorHAnsi"/>
        </w:rPr>
        <w:t>Investor je společností s ručením omezeným řádně založenou, vzniklou a platně existující v souladu s platnými právními předpisy České republiky.</w:t>
      </w:r>
    </w:p>
    <w:p w14:paraId="7814E4DF" w14:textId="77777777" w:rsidR="000E6213" w:rsidRPr="00071422" w:rsidRDefault="000E6213" w:rsidP="000E6213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071422">
        <w:rPr>
          <w:rFonts w:asciiTheme="minorHAnsi" w:hAnsiTheme="minorHAnsi" w:cstheme="minorHAnsi"/>
          <w:lang w:eastAsia="en-US"/>
        </w:rPr>
        <w:t>Investor je plně svéprávný a je oprávněn k uzavření Dohody a jakýchkoli dokumentů uzavíraných na základě Dohody či v souvislosti s ní, jakož i k výkonu práv a plnění závazků vyplývajících z Dohody nebo</w:t>
      </w:r>
      <w:r w:rsidR="00730C50" w:rsidRPr="00071422">
        <w:rPr>
          <w:rFonts w:asciiTheme="minorHAnsi" w:hAnsiTheme="minorHAnsi" w:cstheme="minorHAnsi"/>
          <w:lang w:eastAsia="en-US"/>
        </w:rPr>
        <w:t> </w:t>
      </w:r>
      <w:r w:rsidRPr="00071422">
        <w:rPr>
          <w:rFonts w:asciiTheme="minorHAnsi" w:hAnsiTheme="minorHAnsi" w:cstheme="minorHAnsi"/>
          <w:lang w:eastAsia="en-US"/>
        </w:rPr>
        <w:t>jakýchkoli dokumentů uzavíraných na základě Dohody či v souvislosti s ní.</w:t>
      </w:r>
    </w:p>
    <w:p w14:paraId="549D2A62" w14:textId="77777777" w:rsidR="000E6213" w:rsidRPr="00071422" w:rsidRDefault="000E6213" w:rsidP="008F43CC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lang w:eastAsia="en-US"/>
        </w:rPr>
      </w:pPr>
      <w:r w:rsidRPr="00071422">
        <w:rPr>
          <w:rFonts w:asciiTheme="minorHAnsi" w:hAnsiTheme="minorHAnsi" w:cstheme="minorHAnsi"/>
          <w:lang w:eastAsia="en-US"/>
        </w:rPr>
        <w:t>Uzavření Dohody ze strany Investora nepředstavuje porušení žádného právního předpisu, smluvního nebo jiného závazku nebo rozhodnutí kompetentního státního nebo jiného správního orgánu vztahujících se na Investora.</w:t>
      </w:r>
    </w:p>
    <w:p w14:paraId="2C6FD6AE" w14:textId="77777777" w:rsidR="000E6213" w:rsidRPr="009F5DE5" w:rsidRDefault="000E6213" w:rsidP="008F43CC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="Calibri" w:hAnsi="Calibri"/>
        </w:rPr>
      </w:pPr>
      <w:r w:rsidRPr="00071422">
        <w:rPr>
          <w:rFonts w:asciiTheme="minorHAnsi" w:hAnsiTheme="minorHAnsi" w:cstheme="minorHAnsi"/>
          <w:lang w:eastAsia="en-US"/>
        </w:rPr>
        <w:t xml:space="preserve">Investor není v úpadku, hrozícím úpadku, v platební neschopnosti a není předlužen ve smyslu </w:t>
      </w:r>
      <w:r w:rsidR="009D7259" w:rsidRPr="00071422">
        <w:rPr>
          <w:rFonts w:asciiTheme="minorHAnsi" w:hAnsiTheme="minorHAnsi" w:cstheme="minorHAnsi"/>
          <w:lang w:eastAsia="en-US"/>
        </w:rPr>
        <w:t>zákona č. 182/2006 Sb., o úpadku a způsobech jeho řešení (insolvenční zákon), ve znění pozdějších předpisů (dále jen „</w:t>
      </w:r>
      <w:r w:rsidR="009D7259" w:rsidRPr="00071422">
        <w:rPr>
          <w:rFonts w:asciiTheme="minorHAnsi" w:hAnsiTheme="minorHAnsi" w:cstheme="minorHAnsi"/>
          <w:b/>
          <w:bCs/>
          <w:lang w:eastAsia="en-US"/>
        </w:rPr>
        <w:t>Insolvenční zákon</w:t>
      </w:r>
      <w:r w:rsidR="009D7259" w:rsidRPr="00071422">
        <w:rPr>
          <w:rFonts w:asciiTheme="minorHAnsi" w:hAnsiTheme="minorHAnsi" w:cstheme="minorHAnsi"/>
          <w:lang w:eastAsia="en-US"/>
        </w:rPr>
        <w:t>“)</w:t>
      </w:r>
      <w:r w:rsidRPr="00071422">
        <w:rPr>
          <w:rFonts w:asciiTheme="minorHAnsi" w:hAnsiTheme="minorHAnsi" w:cstheme="minorHAnsi"/>
          <w:lang w:eastAsia="en-US"/>
        </w:rPr>
        <w:t xml:space="preserve">, ani nezastavil platby, není v prodlení se splněním žádného dluhu významné majetkové hodnoty a ani není neschopen platit své dluhy řádně a </w:t>
      </w:r>
      <w:r w:rsidRPr="009F5DE5">
        <w:rPr>
          <w:rFonts w:ascii="Calibri" w:hAnsi="Calibri"/>
        </w:rPr>
        <w:t>včas.</w:t>
      </w:r>
    </w:p>
    <w:p w14:paraId="598BAC53" w14:textId="77777777" w:rsidR="000E6213" w:rsidRPr="009F5DE5" w:rsidRDefault="000E6213" w:rsidP="008F43CC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="Calibri" w:hAnsi="Calibri"/>
        </w:rPr>
      </w:pPr>
      <w:r w:rsidRPr="009F5DE5">
        <w:rPr>
          <w:rFonts w:ascii="Calibri" w:hAnsi="Calibri"/>
        </w:rPr>
        <w:t>Vůči Investorovi nebyl podán důvodný insolvenční návrh ani návrh na vyhlášení moratoria ve smyslu Insolvenčního zákona a žádný soud nezamítl insolvenční návrh ani nezastavil insolvenční řízení pro nedostatek majetku Investora.</w:t>
      </w:r>
    </w:p>
    <w:p w14:paraId="5E5EC132" w14:textId="77777777" w:rsidR="000E6213" w:rsidRPr="009F5DE5" w:rsidRDefault="000E6213" w:rsidP="008F43CC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="Calibri" w:hAnsi="Calibri"/>
        </w:rPr>
      </w:pPr>
      <w:r w:rsidRPr="009F5DE5">
        <w:rPr>
          <w:rFonts w:ascii="Calibri" w:hAnsi="Calibri"/>
        </w:rPr>
        <w:t>Investor je platebně schopný v tom smyslu, že neexistují žádné okolnosti, z nichž by dle definic obsažených v Insolvenčním zákoně vyplývalo, že je Investor v úpadku, nebo mu úpadek hrozí.</w:t>
      </w:r>
    </w:p>
    <w:p w14:paraId="74267B38" w14:textId="77777777" w:rsidR="000E6213" w:rsidRPr="009F5DE5" w:rsidRDefault="000E6213" w:rsidP="008F43CC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="Calibri" w:hAnsi="Calibri"/>
        </w:rPr>
      </w:pPr>
      <w:r w:rsidRPr="009F5DE5">
        <w:rPr>
          <w:rFonts w:ascii="Calibri" w:hAnsi="Calibri"/>
        </w:rPr>
        <w:t>Proti Investorovi není vedeno žádné exekuční řízení, řízení o výkonu rozhodnutí či jakékoli jiné vykonávací řízení, v jejichž důsledku by uzavření a plnění Dohody Investorem bylo neplatným nebo zdánlivým právním jednáním.</w:t>
      </w:r>
    </w:p>
    <w:p w14:paraId="03520E4E" w14:textId="62495547" w:rsidR="000E6213" w:rsidRPr="009F5DE5" w:rsidRDefault="000E6213" w:rsidP="008F43CC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="Calibri" w:hAnsi="Calibri"/>
        </w:rPr>
      </w:pPr>
      <w:r w:rsidRPr="009F5DE5">
        <w:rPr>
          <w:rFonts w:ascii="Calibri" w:hAnsi="Calibri"/>
        </w:rPr>
        <w:t xml:space="preserve">Ke dni uzavření Dohody nebyla proti Investorovi, dle jeho vědomí, podána žádná žaloba a ani není </w:t>
      </w:r>
      <w:r w:rsidR="002D3446" w:rsidRPr="009F5DE5">
        <w:rPr>
          <w:rFonts w:ascii="Calibri" w:hAnsi="Calibri"/>
        </w:rPr>
        <w:t xml:space="preserve">ke dni uzavření Dohody </w:t>
      </w:r>
      <w:r w:rsidRPr="009F5DE5">
        <w:rPr>
          <w:rFonts w:ascii="Calibri" w:hAnsi="Calibri"/>
        </w:rPr>
        <w:t>účastníkem žádného soudníh</w:t>
      </w:r>
      <w:r w:rsidR="00A25C6E" w:rsidRPr="009F5DE5">
        <w:rPr>
          <w:rFonts w:ascii="Calibri" w:hAnsi="Calibri"/>
        </w:rPr>
        <w:t>o či</w:t>
      </w:r>
      <w:r w:rsidRPr="009F5DE5">
        <w:rPr>
          <w:rFonts w:ascii="Calibri" w:hAnsi="Calibri"/>
        </w:rPr>
        <w:t xml:space="preserve"> rozhodčího</w:t>
      </w:r>
      <w:r w:rsidR="00A25C6E" w:rsidRPr="009F5DE5">
        <w:rPr>
          <w:rFonts w:ascii="Calibri" w:hAnsi="Calibri"/>
        </w:rPr>
        <w:t xml:space="preserve"> řízení</w:t>
      </w:r>
      <w:r w:rsidRPr="009F5DE5">
        <w:rPr>
          <w:rFonts w:ascii="Calibri" w:hAnsi="Calibri"/>
        </w:rPr>
        <w:t>, které by mohlo být překážkou platnosti, účinnosti nebo vymahatelnosti Dohody nebo plnění Dohody ze strany Investora</w:t>
      </w:r>
      <w:r w:rsidR="00715B36" w:rsidRPr="009F5DE5">
        <w:rPr>
          <w:rFonts w:ascii="Calibri" w:hAnsi="Calibri"/>
        </w:rPr>
        <w:t>.</w:t>
      </w:r>
    </w:p>
    <w:p w14:paraId="14029115" w14:textId="74B3F75B" w:rsidR="00B60E7B" w:rsidRPr="009F5DE5" w:rsidRDefault="00B12AFB" w:rsidP="008F43CC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="Calibri" w:hAnsi="Calibri"/>
        </w:rPr>
      </w:pPr>
      <w:bookmarkStart w:id="0" w:name="_Hlk42524001"/>
      <w:r w:rsidRPr="009F5DE5">
        <w:rPr>
          <w:rFonts w:ascii="Calibri" w:hAnsi="Calibri"/>
        </w:rPr>
        <w:t>Osobou ovládající Investora ve smyslu § 74 a násl. ZOK je pan Petr Dědek (nar. 28.2.1974, bytem Vrchlabí č.p. 1600, 543 01 Vrchlabí)</w:t>
      </w:r>
      <w:r w:rsidR="006C4C2F" w:rsidRPr="009F5DE5">
        <w:rPr>
          <w:rFonts w:ascii="Calibri" w:hAnsi="Calibri"/>
        </w:rPr>
        <w:t xml:space="preserve">. </w:t>
      </w:r>
      <w:bookmarkEnd w:id="0"/>
    </w:p>
    <w:p w14:paraId="1DDE69E4" w14:textId="6B372B19" w:rsidR="0043467C" w:rsidRDefault="00B60E7B" w:rsidP="00B60E7B">
      <w:pPr>
        <w:spacing w:after="160" w:line="259" w:lineRule="auto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br w:type="page"/>
      </w:r>
    </w:p>
    <w:p w14:paraId="67B430ED" w14:textId="0D8EF8A7" w:rsidR="00B33A32" w:rsidRPr="00B33A32" w:rsidRDefault="00B33A32" w:rsidP="00B33A32">
      <w:pPr>
        <w:numPr>
          <w:ilvl w:val="0"/>
          <w:numId w:val="2"/>
        </w:numPr>
        <w:spacing w:before="120" w:after="120" w:line="240" w:lineRule="auto"/>
        <w:ind w:left="567" w:hanging="567"/>
        <w:jc w:val="both"/>
        <w:rPr>
          <w:rFonts w:ascii="Calibri" w:hAnsi="Calibri" w:cs="Calibri"/>
          <w:b/>
          <w:bCs/>
          <w:lang w:eastAsia="en-US"/>
        </w:rPr>
      </w:pPr>
      <w:r w:rsidRPr="00B33A32">
        <w:rPr>
          <w:rFonts w:ascii="Calibri" w:hAnsi="Calibri" w:cs="Calibri"/>
          <w:b/>
          <w:bCs/>
          <w:lang w:eastAsia="en-US"/>
        </w:rPr>
        <w:lastRenderedPageBreak/>
        <w:t>Právní jednání</w:t>
      </w:r>
    </w:p>
    <w:p w14:paraId="639F3FEC" w14:textId="395CFFFE" w:rsidR="008F43CC" w:rsidRPr="008F43CC" w:rsidRDefault="008F43CC" w:rsidP="008F43CC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="Calibri" w:hAnsi="Calibri" w:cs="Calibri"/>
          <w:lang w:eastAsia="en-US"/>
        </w:rPr>
      </w:pPr>
      <w:bookmarkStart w:id="1" w:name="_Ref59548755"/>
      <w:r w:rsidRPr="008F43CC">
        <w:rPr>
          <w:rFonts w:ascii="Calibri" w:hAnsi="Calibri" w:cs="Calibri"/>
        </w:rPr>
        <w:t>Veškerá ustanovení Dohody (a Dohody samotné jako celek)</w:t>
      </w:r>
      <w:r w:rsidR="0007374E">
        <w:rPr>
          <w:rFonts w:ascii="Calibri" w:hAnsi="Calibri" w:cs="Calibri"/>
        </w:rPr>
        <w:t xml:space="preserve"> a </w:t>
      </w:r>
      <w:r w:rsidRPr="008F43CC">
        <w:rPr>
          <w:rFonts w:ascii="Calibri" w:hAnsi="Calibri" w:cs="Calibri"/>
        </w:rPr>
        <w:t>Akcionářské dohody (a Akcionářské dohody jako celek)</w:t>
      </w:r>
      <w:r w:rsidR="0007374E">
        <w:rPr>
          <w:rFonts w:ascii="Calibri" w:hAnsi="Calibri" w:cs="Calibri"/>
        </w:rPr>
        <w:t xml:space="preserve"> </w:t>
      </w:r>
      <w:r w:rsidRPr="008F43CC">
        <w:rPr>
          <w:rFonts w:ascii="Calibri" w:hAnsi="Calibri" w:cs="Calibri"/>
        </w:rPr>
        <w:t xml:space="preserve">jsou dle vědomí </w:t>
      </w:r>
      <w:r>
        <w:rPr>
          <w:rFonts w:ascii="Calibri" w:hAnsi="Calibri" w:cs="Calibri"/>
        </w:rPr>
        <w:t xml:space="preserve">Investora </w:t>
      </w:r>
      <w:r w:rsidRPr="008F43CC">
        <w:rPr>
          <w:rFonts w:ascii="Calibri" w:hAnsi="Calibri" w:cs="Calibri"/>
        </w:rPr>
        <w:t xml:space="preserve">v celém svém rozsahu platná a účinná, přičemž dle vědomí </w:t>
      </w:r>
      <w:r>
        <w:rPr>
          <w:rFonts w:ascii="Calibri" w:hAnsi="Calibri" w:cs="Calibri"/>
        </w:rPr>
        <w:t>Investora</w:t>
      </w:r>
      <w:r w:rsidRPr="008F43CC">
        <w:rPr>
          <w:rFonts w:ascii="Calibri" w:hAnsi="Calibri" w:cs="Calibri"/>
        </w:rPr>
        <w:t xml:space="preserve"> neexistuje žádná právní skutečnost či jiný právní důvod pro jejich neplatnost, neúčinnost, zrušení (zánik), zdánlivost či nevymahatelnost.</w:t>
      </w:r>
      <w:bookmarkEnd w:id="1"/>
      <w:r w:rsidRPr="008F43CC">
        <w:rPr>
          <w:rFonts w:ascii="Calibri" w:hAnsi="Calibri" w:cs="Calibri"/>
        </w:rPr>
        <w:t xml:space="preserve"> </w:t>
      </w:r>
    </w:p>
    <w:p w14:paraId="1D63586D" w14:textId="6C1AF88A" w:rsidR="008F43CC" w:rsidRPr="008F43CC" w:rsidRDefault="008F43CC" w:rsidP="008F43CC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="Calibri" w:hAnsi="Calibri" w:cs="Calibri"/>
          <w:lang w:eastAsia="en-US"/>
        </w:rPr>
      </w:pPr>
      <w:bookmarkStart w:id="2" w:name="_Ref59548758"/>
      <w:r w:rsidRPr="008F43CC">
        <w:rPr>
          <w:rFonts w:ascii="Calibri" w:hAnsi="Calibri" w:cs="Calibri"/>
        </w:rPr>
        <w:t xml:space="preserve">Uzavření a plnění </w:t>
      </w:r>
      <w:r w:rsidR="0007374E">
        <w:rPr>
          <w:rFonts w:ascii="Calibri" w:hAnsi="Calibri" w:cs="Calibri"/>
        </w:rPr>
        <w:t>p</w:t>
      </w:r>
      <w:r w:rsidRPr="008F43CC">
        <w:rPr>
          <w:rFonts w:ascii="Calibri" w:hAnsi="Calibri" w:cs="Calibri"/>
        </w:rPr>
        <w:t xml:space="preserve">rávních jednání </w:t>
      </w:r>
      <w:r w:rsidR="0007374E">
        <w:rPr>
          <w:rFonts w:ascii="Calibri" w:hAnsi="Calibri" w:cs="Calibri"/>
        </w:rPr>
        <w:t>uvedených v </w:t>
      </w:r>
      <w:bookmarkStart w:id="3" w:name="_Hlk64639034"/>
      <w:r w:rsidR="0007374E">
        <w:rPr>
          <w:rFonts w:ascii="Calibri" w:hAnsi="Calibri" w:cs="Calibri"/>
        </w:rPr>
        <w:t xml:space="preserve">čl. </w:t>
      </w:r>
      <w:r w:rsidR="0007374E">
        <w:rPr>
          <w:rFonts w:ascii="Calibri" w:hAnsi="Calibri" w:cs="Calibri"/>
        </w:rPr>
        <w:fldChar w:fldCharType="begin"/>
      </w:r>
      <w:r w:rsidR="0007374E">
        <w:rPr>
          <w:rFonts w:ascii="Calibri" w:hAnsi="Calibri" w:cs="Calibri"/>
        </w:rPr>
        <w:instrText xml:space="preserve"> REF _Ref59548755 \r \h </w:instrText>
      </w:r>
      <w:r w:rsidR="0007374E">
        <w:rPr>
          <w:rFonts w:ascii="Calibri" w:hAnsi="Calibri" w:cs="Calibri"/>
        </w:rPr>
      </w:r>
      <w:r w:rsidR="0007374E">
        <w:rPr>
          <w:rFonts w:ascii="Calibri" w:hAnsi="Calibri" w:cs="Calibri"/>
        </w:rPr>
        <w:fldChar w:fldCharType="separate"/>
      </w:r>
      <w:r w:rsidR="0007374E">
        <w:rPr>
          <w:rFonts w:ascii="Calibri" w:hAnsi="Calibri" w:cs="Calibri"/>
        </w:rPr>
        <w:t>3.1</w:t>
      </w:r>
      <w:r w:rsidR="0007374E">
        <w:rPr>
          <w:rFonts w:ascii="Calibri" w:hAnsi="Calibri" w:cs="Calibri"/>
        </w:rPr>
        <w:fldChar w:fldCharType="end"/>
      </w:r>
      <w:r w:rsidR="0007374E">
        <w:rPr>
          <w:rFonts w:ascii="Calibri" w:hAnsi="Calibri" w:cs="Calibri"/>
        </w:rPr>
        <w:t xml:space="preserve"> těchto Prohlášení a záruk Investora </w:t>
      </w:r>
      <w:bookmarkEnd w:id="3"/>
      <w:r w:rsidRPr="008F43CC">
        <w:rPr>
          <w:rFonts w:ascii="Calibri" w:hAnsi="Calibri" w:cs="Calibri"/>
        </w:rPr>
        <w:t>nepředstavuje porušení a ani v důsledku jejich plnění nedojde k porušení:</w:t>
      </w:r>
      <w:bookmarkEnd w:id="2"/>
    </w:p>
    <w:p w14:paraId="07440EDD" w14:textId="1F23CDDD" w:rsidR="008F43CC" w:rsidRPr="008F43CC" w:rsidRDefault="008F43CC" w:rsidP="008F43CC">
      <w:pPr>
        <w:numPr>
          <w:ilvl w:val="2"/>
          <w:numId w:val="2"/>
        </w:numPr>
        <w:spacing w:before="120" w:after="120" w:line="240" w:lineRule="auto"/>
        <w:ind w:left="1418" w:hanging="851"/>
        <w:jc w:val="both"/>
        <w:rPr>
          <w:rFonts w:ascii="Calibri" w:hAnsi="Calibri" w:cs="Calibri"/>
          <w:lang w:eastAsia="en-US"/>
        </w:rPr>
      </w:pPr>
      <w:r w:rsidRPr="008F43CC">
        <w:rPr>
          <w:rFonts w:ascii="Calibri" w:hAnsi="Calibri" w:cs="Calibri"/>
        </w:rPr>
        <w:t xml:space="preserve">žádného právního jednání, jichž se </w:t>
      </w:r>
      <w:r>
        <w:rPr>
          <w:rFonts w:ascii="Calibri" w:hAnsi="Calibri" w:cs="Calibri"/>
        </w:rPr>
        <w:t>Investor</w:t>
      </w:r>
      <w:r w:rsidRPr="008F43CC">
        <w:rPr>
          <w:rFonts w:ascii="Calibri" w:hAnsi="Calibri" w:cs="Calibri"/>
        </w:rPr>
        <w:t xml:space="preserve"> účastní, a/nebo které jsou pro </w:t>
      </w:r>
      <w:r>
        <w:rPr>
          <w:rFonts w:ascii="Calibri" w:hAnsi="Calibri" w:cs="Calibri"/>
        </w:rPr>
        <w:t>Investora</w:t>
      </w:r>
      <w:r w:rsidRPr="008F43CC">
        <w:rPr>
          <w:rFonts w:ascii="Calibri" w:hAnsi="Calibri" w:cs="Calibri"/>
        </w:rPr>
        <w:t xml:space="preserve"> závazné;</w:t>
      </w:r>
    </w:p>
    <w:p w14:paraId="1E60A59A" w14:textId="7AA8B202" w:rsidR="008F43CC" w:rsidRPr="008F43CC" w:rsidRDefault="008F43CC" w:rsidP="008F43CC">
      <w:pPr>
        <w:numPr>
          <w:ilvl w:val="2"/>
          <w:numId w:val="2"/>
        </w:numPr>
        <w:ind w:left="1418" w:hanging="851"/>
        <w:jc w:val="both"/>
        <w:rPr>
          <w:rFonts w:ascii="Calibri" w:hAnsi="Calibri" w:cs="Calibri"/>
        </w:rPr>
      </w:pPr>
      <w:r w:rsidRPr="008F43CC">
        <w:rPr>
          <w:rFonts w:ascii="Calibri" w:hAnsi="Calibri" w:cs="Calibri"/>
        </w:rPr>
        <w:t xml:space="preserve">žádného soudního, rozhodčího, správního či jiného rozhodnutí, opatření, nařízení anebo příkazu, jichž je </w:t>
      </w:r>
      <w:r>
        <w:rPr>
          <w:rFonts w:ascii="Calibri" w:hAnsi="Calibri" w:cs="Calibri"/>
        </w:rPr>
        <w:t>Investor</w:t>
      </w:r>
      <w:r w:rsidRPr="008F43CC">
        <w:rPr>
          <w:rFonts w:ascii="Calibri" w:hAnsi="Calibri" w:cs="Calibri"/>
        </w:rPr>
        <w:t xml:space="preserve"> stranou a/nebo které jsou pro </w:t>
      </w:r>
      <w:r>
        <w:rPr>
          <w:rFonts w:ascii="Calibri" w:hAnsi="Calibri" w:cs="Calibri"/>
        </w:rPr>
        <w:t>Investora</w:t>
      </w:r>
      <w:r w:rsidRPr="008F43CC">
        <w:rPr>
          <w:rFonts w:ascii="Calibri" w:hAnsi="Calibri" w:cs="Calibri"/>
        </w:rPr>
        <w:t xml:space="preserve"> závazné nebo které jemu byly uloženy; </w:t>
      </w:r>
      <w:r w:rsidR="0007374E">
        <w:rPr>
          <w:rFonts w:ascii="Calibri" w:hAnsi="Calibri" w:cs="Calibri"/>
        </w:rPr>
        <w:t>a/nebo</w:t>
      </w:r>
    </w:p>
    <w:p w14:paraId="2DCD87AD" w14:textId="03D07DDD" w:rsidR="008F43CC" w:rsidRPr="008F43CC" w:rsidRDefault="008F43CC" w:rsidP="008F43CC">
      <w:pPr>
        <w:numPr>
          <w:ilvl w:val="2"/>
          <w:numId w:val="2"/>
        </w:numPr>
        <w:ind w:left="1418" w:hanging="851"/>
        <w:jc w:val="both"/>
        <w:rPr>
          <w:rFonts w:ascii="Calibri" w:hAnsi="Calibri" w:cs="Calibri"/>
        </w:rPr>
      </w:pPr>
      <w:r w:rsidRPr="008F43CC">
        <w:rPr>
          <w:rFonts w:ascii="Calibri" w:hAnsi="Calibri" w:cs="Calibri"/>
        </w:rPr>
        <w:t>žádného právního předpisu či jiné závazné právní normy</w:t>
      </w:r>
      <w:r w:rsidR="0007374E">
        <w:rPr>
          <w:rFonts w:ascii="Calibri" w:hAnsi="Calibri" w:cs="Calibri"/>
        </w:rPr>
        <w:t>.</w:t>
      </w:r>
    </w:p>
    <w:p w14:paraId="65C435B3" w14:textId="2EA09B62" w:rsidR="00754426" w:rsidRPr="009F5DE5" w:rsidRDefault="008F43CC" w:rsidP="009F5DE5">
      <w:pPr>
        <w:numPr>
          <w:ilvl w:val="1"/>
          <w:numId w:val="2"/>
        </w:numPr>
        <w:ind w:left="567" w:hanging="567"/>
        <w:jc w:val="both"/>
        <w:rPr>
          <w:rFonts w:ascii="Calibri" w:hAnsi="Calibri"/>
        </w:rPr>
      </w:pPr>
      <w:r w:rsidRPr="008F43CC">
        <w:rPr>
          <w:rFonts w:ascii="Calibri" w:hAnsi="Calibri" w:cs="Calibri"/>
        </w:rPr>
        <w:t xml:space="preserve">Dle vědomí </w:t>
      </w:r>
      <w:r>
        <w:rPr>
          <w:rFonts w:ascii="Calibri" w:hAnsi="Calibri" w:cs="Calibri"/>
        </w:rPr>
        <w:t>Investora</w:t>
      </w:r>
      <w:r w:rsidRPr="008F43CC">
        <w:rPr>
          <w:rFonts w:ascii="Calibri" w:hAnsi="Calibri" w:cs="Calibri"/>
        </w:rPr>
        <w:t xml:space="preserve"> nebylo zahájeno a ani </w:t>
      </w:r>
      <w:r>
        <w:rPr>
          <w:rFonts w:ascii="Calibri" w:hAnsi="Calibri" w:cs="Calibri"/>
        </w:rPr>
        <w:t>Investorovi</w:t>
      </w:r>
      <w:r w:rsidRPr="008F43CC">
        <w:rPr>
          <w:rFonts w:ascii="Calibri" w:hAnsi="Calibri" w:cs="Calibri"/>
        </w:rPr>
        <w:t xml:space="preserve"> není známo, že by hrozilo zahájení jakéhokoli řízení (ať na návrh či z úřední moci), které by se mohlo negativně dotknout plnění těchto </w:t>
      </w:r>
      <w:r w:rsidR="0007374E">
        <w:rPr>
          <w:rFonts w:ascii="Calibri" w:hAnsi="Calibri" w:cs="Calibri"/>
        </w:rPr>
        <w:t>p</w:t>
      </w:r>
      <w:r w:rsidRPr="008F43CC">
        <w:rPr>
          <w:rFonts w:ascii="Calibri" w:hAnsi="Calibri" w:cs="Calibri"/>
        </w:rPr>
        <w:t xml:space="preserve">rávních jednání </w:t>
      </w:r>
      <w:r w:rsidR="0007374E">
        <w:rPr>
          <w:rFonts w:ascii="Calibri" w:hAnsi="Calibri" w:cs="Calibri"/>
        </w:rPr>
        <w:t xml:space="preserve">uvedených v čl. </w:t>
      </w:r>
      <w:r w:rsidR="0007374E">
        <w:rPr>
          <w:rFonts w:ascii="Calibri" w:hAnsi="Calibri" w:cs="Calibri"/>
        </w:rPr>
        <w:fldChar w:fldCharType="begin"/>
      </w:r>
      <w:r w:rsidR="0007374E">
        <w:rPr>
          <w:rFonts w:ascii="Calibri" w:hAnsi="Calibri" w:cs="Calibri"/>
        </w:rPr>
        <w:instrText xml:space="preserve"> REF _Ref59548755 \r \h </w:instrText>
      </w:r>
      <w:r w:rsidR="0007374E">
        <w:rPr>
          <w:rFonts w:ascii="Calibri" w:hAnsi="Calibri" w:cs="Calibri"/>
        </w:rPr>
      </w:r>
      <w:r w:rsidR="0007374E">
        <w:rPr>
          <w:rFonts w:ascii="Calibri" w:hAnsi="Calibri" w:cs="Calibri"/>
        </w:rPr>
        <w:fldChar w:fldCharType="separate"/>
      </w:r>
      <w:r w:rsidR="0007374E">
        <w:rPr>
          <w:rFonts w:ascii="Calibri" w:hAnsi="Calibri" w:cs="Calibri"/>
        </w:rPr>
        <w:t>3.1</w:t>
      </w:r>
      <w:r w:rsidR="0007374E">
        <w:rPr>
          <w:rFonts w:ascii="Calibri" w:hAnsi="Calibri" w:cs="Calibri"/>
        </w:rPr>
        <w:fldChar w:fldCharType="end"/>
      </w:r>
      <w:r w:rsidR="0007374E">
        <w:rPr>
          <w:rFonts w:ascii="Calibri" w:hAnsi="Calibri" w:cs="Calibri"/>
        </w:rPr>
        <w:t xml:space="preserve"> těchto Prohlášení a záruk Investora </w:t>
      </w:r>
      <w:r w:rsidRPr="008F43CC">
        <w:rPr>
          <w:rFonts w:ascii="Calibri" w:hAnsi="Calibri" w:cs="Calibri"/>
        </w:rPr>
        <w:t xml:space="preserve">a/nebo platnosti, účinnosti a právních účinků těchto </w:t>
      </w:r>
      <w:r w:rsidR="0007374E">
        <w:rPr>
          <w:rFonts w:ascii="Calibri" w:hAnsi="Calibri" w:cs="Calibri"/>
        </w:rPr>
        <w:t>p</w:t>
      </w:r>
      <w:r w:rsidRPr="008F43CC">
        <w:rPr>
          <w:rFonts w:ascii="Calibri" w:hAnsi="Calibri" w:cs="Calibri"/>
        </w:rPr>
        <w:t xml:space="preserve">rávních jednání.  </w:t>
      </w:r>
    </w:p>
    <w:sectPr w:rsidR="00754426" w:rsidRPr="009F5DE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91878" w14:textId="77777777" w:rsidR="00FB00E0" w:rsidRDefault="00FB00E0" w:rsidP="00D50AD2">
      <w:pPr>
        <w:spacing w:after="0" w:line="240" w:lineRule="auto"/>
      </w:pPr>
      <w:r>
        <w:separator/>
      </w:r>
    </w:p>
  </w:endnote>
  <w:endnote w:type="continuationSeparator" w:id="0">
    <w:p w14:paraId="68D87503" w14:textId="77777777" w:rsidR="00FB00E0" w:rsidRDefault="00FB00E0" w:rsidP="00D50AD2">
      <w:pPr>
        <w:spacing w:after="0" w:line="240" w:lineRule="auto"/>
      </w:pPr>
      <w:r>
        <w:continuationSeparator/>
      </w:r>
    </w:p>
  </w:endnote>
  <w:endnote w:type="continuationNotice" w:id="1">
    <w:p w14:paraId="575C4A32" w14:textId="77777777" w:rsidR="00FB00E0" w:rsidRDefault="00FB00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2384110"/>
      <w:docPartObj>
        <w:docPartGallery w:val="Page Numbers (Bottom of Page)"/>
        <w:docPartUnique/>
      </w:docPartObj>
    </w:sdtPr>
    <w:sdtEndPr/>
    <w:sdtContent>
      <w:p w14:paraId="18EDA192" w14:textId="3B9155AF" w:rsidR="008F43CC" w:rsidRDefault="008F43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78160" w14:textId="77777777" w:rsidR="008F43CC" w:rsidRDefault="008F43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DBE1B" w14:textId="77777777" w:rsidR="00FB00E0" w:rsidRDefault="00FB00E0" w:rsidP="00D50AD2">
      <w:pPr>
        <w:spacing w:after="0" w:line="240" w:lineRule="auto"/>
      </w:pPr>
      <w:r>
        <w:separator/>
      </w:r>
    </w:p>
  </w:footnote>
  <w:footnote w:type="continuationSeparator" w:id="0">
    <w:p w14:paraId="323F3FB6" w14:textId="77777777" w:rsidR="00FB00E0" w:rsidRDefault="00FB00E0" w:rsidP="00D50AD2">
      <w:pPr>
        <w:spacing w:after="0" w:line="240" w:lineRule="auto"/>
      </w:pPr>
      <w:r>
        <w:continuationSeparator/>
      </w:r>
    </w:p>
  </w:footnote>
  <w:footnote w:type="continuationNotice" w:id="1">
    <w:p w14:paraId="13E07ECD" w14:textId="77777777" w:rsidR="00FB00E0" w:rsidRDefault="00FB00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70142" w14:textId="77777777" w:rsidR="00D50AD2" w:rsidRDefault="00D50AD2" w:rsidP="0092009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F3909"/>
    <w:multiLevelType w:val="multilevel"/>
    <w:tmpl w:val="BAE80CA4"/>
    <w:styleLink w:val="Styl1"/>
    <w:lvl w:ilvl="0">
      <w:start w:val="1"/>
      <w:numFmt w:val="decimal"/>
      <w:pStyle w:val="Nadpis1-BS"/>
      <w:lvlText w:val="%1."/>
      <w:lvlJc w:val="left"/>
      <w:pPr>
        <w:ind w:left="1531" w:hanging="1531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decimal"/>
      <w:pStyle w:val="Nadpis2-BS"/>
      <w:lvlText w:val="%1.%2."/>
      <w:lvlJc w:val="left"/>
      <w:pPr>
        <w:ind w:left="357" w:hanging="35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9"/>
        <w:vertAlign w:val="baseline"/>
      </w:rPr>
    </w:lvl>
    <w:lvl w:ilvl="2">
      <w:start w:val="1"/>
      <w:numFmt w:val="lowerRoman"/>
      <w:pStyle w:val="Nadpis3-BS"/>
      <w:lvlText w:val="%3."/>
      <w:lvlJc w:val="right"/>
      <w:pPr>
        <w:ind w:left="357" w:hanging="357"/>
      </w:pPr>
      <w:rPr>
        <w:rFonts w:cs="Times New Roman" w:hint="default"/>
      </w:rPr>
    </w:lvl>
    <w:lvl w:ilvl="3">
      <w:start w:val="1"/>
      <w:numFmt w:val="decimal"/>
      <w:pStyle w:val="Nadpis4-BS"/>
      <w:lvlText w:val="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lowerLetter"/>
      <w:pStyle w:val="Nadpis5-BS"/>
      <w:lvlText w:val="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cs="Times New Roman" w:hint="default"/>
      </w:rPr>
    </w:lvl>
  </w:abstractNum>
  <w:abstractNum w:abstractNumId="1" w15:restartNumberingAfterBreak="0">
    <w:nsid w:val="422C5A75"/>
    <w:multiLevelType w:val="multilevel"/>
    <w:tmpl w:val="3BE41FBC"/>
    <w:lvl w:ilvl="0">
      <w:start w:val="1"/>
      <w:numFmt w:val="decimal"/>
      <w:lvlText w:val="%1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91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8" w:hanging="1440"/>
      </w:pPr>
      <w:rPr>
        <w:rFonts w:hint="default"/>
      </w:rPr>
    </w:lvl>
  </w:abstractNum>
  <w:abstractNum w:abstractNumId="2" w15:restartNumberingAfterBreak="0">
    <w:nsid w:val="5ABD408A"/>
    <w:multiLevelType w:val="multilevel"/>
    <w:tmpl w:val="08C49DBE"/>
    <w:lvl w:ilvl="0">
      <w:start w:val="1"/>
      <w:numFmt w:val="decimal"/>
      <w:pStyle w:val="lnek"/>
      <w:lvlText w:val="%1."/>
      <w:lvlJc w:val="left"/>
      <w:pPr>
        <w:ind w:left="6881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pStyle w:val="odstavec"/>
      <w:lvlText w:val="%1.%2"/>
      <w:lvlJc w:val="left"/>
      <w:pPr>
        <w:ind w:left="-910" w:hanging="432"/>
      </w:pPr>
      <w:rPr>
        <w:rFonts w:hint="default"/>
        <w:b w:val="0"/>
        <w:sz w:val="20"/>
        <w:szCs w:val="18"/>
      </w:rPr>
    </w:lvl>
    <w:lvl w:ilvl="2">
      <w:start w:val="1"/>
      <w:numFmt w:val="decimal"/>
      <w:pStyle w:val="pododstavec"/>
      <w:lvlText w:val="%1.%2.%3."/>
      <w:lvlJc w:val="left"/>
      <w:pPr>
        <w:ind w:left="-4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13"/>
    <w:rsid w:val="00071422"/>
    <w:rsid w:val="0007374E"/>
    <w:rsid w:val="000748B8"/>
    <w:rsid w:val="000C2017"/>
    <w:rsid w:val="000E6213"/>
    <w:rsid w:val="00145DC2"/>
    <w:rsid w:val="001545F6"/>
    <w:rsid w:val="0019696B"/>
    <w:rsid w:val="001A78F3"/>
    <w:rsid w:val="001B0649"/>
    <w:rsid w:val="001B248F"/>
    <w:rsid w:val="002D3446"/>
    <w:rsid w:val="002F3E6E"/>
    <w:rsid w:val="00342C22"/>
    <w:rsid w:val="0043467C"/>
    <w:rsid w:val="004548FB"/>
    <w:rsid w:val="004F1CF9"/>
    <w:rsid w:val="004F2D93"/>
    <w:rsid w:val="005357E2"/>
    <w:rsid w:val="00587F39"/>
    <w:rsid w:val="0065395F"/>
    <w:rsid w:val="006846AB"/>
    <w:rsid w:val="00697451"/>
    <w:rsid w:val="006A619C"/>
    <w:rsid w:val="006C4C2F"/>
    <w:rsid w:val="006F78DD"/>
    <w:rsid w:val="00715B36"/>
    <w:rsid w:val="00721B04"/>
    <w:rsid w:val="00730C50"/>
    <w:rsid w:val="00754426"/>
    <w:rsid w:val="007A2563"/>
    <w:rsid w:val="007D122A"/>
    <w:rsid w:val="00847E58"/>
    <w:rsid w:val="008F43CC"/>
    <w:rsid w:val="008F4EAB"/>
    <w:rsid w:val="009115BE"/>
    <w:rsid w:val="00920095"/>
    <w:rsid w:val="00936187"/>
    <w:rsid w:val="009D7259"/>
    <w:rsid w:val="009F5DE5"/>
    <w:rsid w:val="00A229E5"/>
    <w:rsid w:val="00A25C6E"/>
    <w:rsid w:val="00A55CB3"/>
    <w:rsid w:val="00AF415A"/>
    <w:rsid w:val="00B0256C"/>
    <w:rsid w:val="00B12AFB"/>
    <w:rsid w:val="00B248A3"/>
    <w:rsid w:val="00B33A32"/>
    <w:rsid w:val="00B60E7B"/>
    <w:rsid w:val="00BA60EC"/>
    <w:rsid w:val="00BE4C7F"/>
    <w:rsid w:val="00C05D78"/>
    <w:rsid w:val="00C15EB1"/>
    <w:rsid w:val="00C42583"/>
    <w:rsid w:val="00C562AC"/>
    <w:rsid w:val="00C76321"/>
    <w:rsid w:val="00C823D9"/>
    <w:rsid w:val="00D0379C"/>
    <w:rsid w:val="00D50AD2"/>
    <w:rsid w:val="00D71E44"/>
    <w:rsid w:val="00DA5402"/>
    <w:rsid w:val="00EE6F8E"/>
    <w:rsid w:val="00F676F9"/>
    <w:rsid w:val="00F67BA1"/>
    <w:rsid w:val="00FA31FE"/>
    <w:rsid w:val="00F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6060"/>
  <w15:chartTrackingRefBased/>
  <w15:docId w15:val="{2B241709-BA84-4FAA-A109-D2284E41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213"/>
    <w:pPr>
      <w:spacing w:after="200" w:line="252" w:lineRule="auto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BS">
    <w:name w:val="Nadpis 1 - BS"/>
    <w:next w:val="Nadpis2-BS"/>
    <w:uiPriority w:val="99"/>
    <w:qFormat/>
    <w:rsid w:val="000E6213"/>
    <w:pPr>
      <w:numPr>
        <w:numId w:val="1"/>
      </w:numPr>
      <w:spacing w:before="240" w:after="60" w:line="240" w:lineRule="auto"/>
    </w:pPr>
    <w:rPr>
      <w:rFonts w:ascii="Calibri" w:eastAsia="Times New Roman" w:hAnsi="Calibri" w:cs="Times New Roman"/>
      <w:b/>
      <w:lang w:eastAsia="cs-CZ"/>
    </w:rPr>
  </w:style>
  <w:style w:type="paragraph" w:customStyle="1" w:styleId="Nadpis2-BS">
    <w:name w:val="Nadpis 2 - BS"/>
    <w:basedOn w:val="Nadpis1-BS"/>
    <w:uiPriority w:val="99"/>
    <w:qFormat/>
    <w:rsid w:val="000E6213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Nadpis4-BS">
    <w:name w:val="Nadpis 4 - BS"/>
    <w:basedOn w:val="Nadpis2-BS"/>
    <w:uiPriority w:val="99"/>
    <w:qFormat/>
    <w:rsid w:val="000E6213"/>
    <w:pPr>
      <w:numPr>
        <w:ilvl w:val="3"/>
      </w:numPr>
      <w:tabs>
        <w:tab w:val="left" w:pos="1843"/>
      </w:tabs>
    </w:pPr>
  </w:style>
  <w:style w:type="paragraph" w:customStyle="1" w:styleId="Nadpis5-BS">
    <w:name w:val="Nadpis 5 - BS"/>
    <w:basedOn w:val="Nadpis4-BS"/>
    <w:uiPriority w:val="99"/>
    <w:qFormat/>
    <w:rsid w:val="000E6213"/>
    <w:pPr>
      <w:numPr>
        <w:ilvl w:val="4"/>
      </w:numPr>
      <w:tabs>
        <w:tab w:val="num" w:pos="1134"/>
      </w:tabs>
      <w:ind w:left="360" w:hanging="567"/>
    </w:pPr>
  </w:style>
  <w:style w:type="paragraph" w:customStyle="1" w:styleId="Nadpis3-BS">
    <w:name w:val="Nadpis 3 -BS"/>
    <w:basedOn w:val="Nadpis2-BS"/>
    <w:uiPriority w:val="99"/>
    <w:qFormat/>
    <w:rsid w:val="000E6213"/>
    <w:pPr>
      <w:numPr>
        <w:ilvl w:val="2"/>
      </w:numPr>
      <w:tabs>
        <w:tab w:val="left" w:pos="1418"/>
      </w:tabs>
    </w:pPr>
  </w:style>
  <w:style w:type="numbering" w:customStyle="1" w:styleId="Styl1">
    <w:name w:val="Styl1"/>
    <w:rsid w:val="000E6213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C5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AD2"/>
    <w:rPr>
      <w:rFonts w:ascii="Cambria" w:eastAsia="Times New Roman" w:hAnsi="Cambr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AD2"/>
    <w:rPr>
      <w:rFonts w:ascii="Cambria" w:eastAsia="Times New Roman" w:hAnsi="Cambria" w:cs="Times New Roman"/>
      <w:lang w:eastAsia="cs-CZ"/>
    </w:rPr>
  </w:style>
  <w:style w:type="paragraph" w:customStyle="1" w:styleId="lnek">
    <w:name w:val="článek"/>
    <w:basedOn w:val="Normln"/>
    <w:link w:val="lnekChar"/>
    <w:qFormat/>
    <w:rsid w:val="00071422"/>
    <w:pPr>
      <w:keepNext/>
      <w:numPr>
        <w:numId w:val="3"/>
      </w:numPr>
      <w:spacing w:before="360" w:after="120" w:line="300" w:lineRule="exact"/>
      <w:ind w:left="425" w:hanging="425"/>
      <w:jc w:val="both"/>
    </w:pPr>
    <w:rPr>
      <w:rFonts w:asciiTheme="minorHAnsi" w:eastAsia="Calibri" w:hAnsiTheme="minorHAnsi" w:cstheme="minorHAnsi"/>
      <w:b/>
      <w:color w:val="000000"/>
      <w:szCs w:val="18"/>
      <w:lang w:eastAsia="en-US"/>
    </w:rPr>
  </w:style>
  <w:style w:type="paragraph" w:customStyle="1" w:styleId="odstavec">
    <w:name w:val="odstavec"/>
    <w:basedOn w:val="Normln"/>
    <w:link w:val="odstavecChar"/>
    <w:qFormat/>
    <w:rsid w:val="00071422"/>
    <w:pPr>
      <w:numPr>
        <w:ilvl w:val="1"/>
        <w:numId w:val="3"/>
      </w:numPr>
      <w:spacing w:after="120" w:line="300" w:lineRule="exact"/>
      <w:ind w:left="567" w:hanging="567"/>
      <w:jc w:val="both"/>
    </w:pPr>
    <w:rPr>
      <w:rFonts w:asciiTheme="minorHAnsi" w:eastAsia="Calibri" w:hAnsiTheme="minorHAnsi" w:cstheme="minorHAnsi"/>
      <w:iCs/>
      <w:color w:val="000000"/>
      <w:sz w:val="20"/>
      <w:szCs w:val="18"/>
      <w:lang w:eastAsia="en-US"/>
    </w:rPr>
  </w:style>
  <w:style w:type="character" w:customStyle="1" w:styleId="lnekChar">
    <w:name w:val="článek Char"/>
    <w:basedOn w:val="Standardnpsmoodstavce"/>
    <w:link w:val="lnek"/>
    <w:rsid w:val="00071422"/>
    <w:rPr>
      <w:rFonts w:eastAsia="Calibri" w:cstheme="minorHAnsi"/>
      <w:b/>
      <w:color w:val="000000"/>
      <w:szCs w:val="18"/>
    </w:rPr>
  </w:style>
  <w:style w:type="paragraph" w:customStyle="1" w:styleId="pododstavec">
    <w:name w:val="pododstavec"/>
    <w:basedOn w:val="Normln"/>
    <w:qFormat/>
    <w:rsid w:val="00071422"/>
    <w:pPr>
      <w:numPr>
        <w:ilvl w:val="2"/>
        <w:numId w:val="3"/>
      </w:numPr>
      <w:spacing w:after="120" w:line="300" w:lineRule="exact"/>
      <w:ind w:left="1276" w:hanging="709"/>
      <w:jc w:val="both"/>
    </w:pPr>
    <w:rPr>
      <w:rFonts w:asciiTheme="minorHAnsi" w:eastAsia="Calibri" w:hAnsiTheme="minorHAnsi" w:cstheme="minorHAnsi"/>
      <w:color w:val="000000"/>
      <w:sz w:val="20"/>
      <w:szCs w:val="18"/>
      <w:lang w:eastAsia="en-US"/>
    </w:rPr>
  </w:style>
  <w:style w:type="character" w:customStyle="1" w:styleId="odstavecChar">
    <w:name w:val="odstavec Char"/>
    <w:basedOn w:val="Standardnpsmoodstavce"/>
    <w:link w:val="odstavec"/>
    <w:locked/>
    <w:rsid w:val="008F43CC"/>
    <w:rPr>
      <w:rFonts w:eastAsia="Calibri" w:cstheme="minorHAnsi"/>
      <w:iCs/>
      <w:color w:val="000000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6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321"/>
    <w:rPr>
      <w:rFonts w:ascii="Cambria" w:eastAsia="Times New Roman" w:hAnsi="Cambr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321"/>
    <w:rPr>
      <w:rFonts w:ascii="Cambria" w:eastAsia="Times New Roman" w:hAnsi="Cambr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1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7062</BodJednani>
    <Navrh xmlns="df30a891-99dc-44a0-9782-3a4c8c525d86">28373</Navrh>
    <StatusJednani xmlns="f94004b3-5c85-4b6f-b2cb-b6e165aced0d">Otevřeno</StatusJednani>
    <Jednani xmlns="f94004b3-5c85-4b6f-b2cb-b6e165aced0d">380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C049-C186-46B1-84FA-64D3AF0A2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377DE-10A6-4A56-B4BF-4F37687BA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40E38-4323-4270-9874-8938509BF601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D3572B51-D156-4AD3-9E9F-D04ED7F902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801789-F124-4C9E-8E28-7B76D6DB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5.1.5_Příloha č. 5_Prohlášení a záruky Investora_fin-1</dc:title>
  <dc:subject/>
  <dc:creator>Ondřej Čala</dc:creator>
  <cp:keywords/>
  <dc:description/>
  <cp:lastModifiedBy>Holeková Michaela</cp:lastModifiedBy>
  <cp:revision>2</cp:revision>
  <dcterms:created xsi:type="dcterms:W3CDTF">2021-03-22T10:36:00Z</dcterms:created>
  <dcterms:modified xsi:type="dcterms:W3CDTF">2021-03-22T10:36:00Z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Order">
    <vt:r8>6698300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islo">
    <vt:lpwstr/>
  </property>
</Properties>
</file>