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24"/>
      </w:tblGrid>
      <w:tr w:rsidR="00802177">
        <w:trPr>
          <w:trHeight w:hRule="exact" w:val="907"/>
          <w:jc w:val="center"/>
        </w:trPr>
        <w:tc>
          <w:tcPr>
            <w:tcW w:w="2400" w:type="dxa"/>
            <w:shd w:val="clear" w:color="auto" w:fill="FFFFFF"/>
          </w:tcPr>
          <w:p w:rsidR="00802177" w:rsidRDefault="00802177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7224" w:type="dxa"/>
            <w:shd w:val="clear" w:color="auto" w:fill="FFFFFF"/>
            <w:vAlign w:val="bottom"/>
          </w:tcPr>
          <w:p w:rsidR="00497AFE" w:rsidRDefault="00757A21" w:rsidP="00497AFE">
            <w:pPr>
              <w:pStyle w:val="Other10"/>
              <w:spacing w:after="0" w:line="221" w:lineRule="auto"/>
              <w:ind w:firstLine="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MĚSTSKÝ ÚŘAD KROMĚŘÍŽ </w:t>
            </w:r>
          </w:p>
          <w:p w:rsidR="00802177" w:rsidRDefault="00497AFE" w:rsidP="00497AFE">
            <w:pPr>
              <w:pStyle w:val="Other10"/>
              <w:spacing w:after="0" w:line="221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="00757A21">
              <w:rPr>
                <w:b/>
                <w:bCs/>
                <w:sz w:val="22"/>
                <w:szCs w:val="22"/>
              </w:rPr>
              <w:t>STAVEBNÍ ÚŘAD</w:t>
            </w:r>
          </w:p>
          <w:p w:rsidR="00802177" w:rsidRDefault="00497AFE" w:rsidP="00497AFE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757A21">
              <w:rPr>
                <w:b/>
                <w:bCs/>
                <w:sz w:val="22"/>
                <w:szCs w:val="22"/>
              </w:rPr>
              <w:t>767 01 Kroměříž, Velké náměstí 115</w:t>
            </w:r>
          </w:p>
        </w:tc>
      </w:tr>
      <w:tr w:rsidR="00802177">
        <w:trPr>
          <w:trHeight w:hRule="exact" w:val="682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2177" w:rsidRDefault="00757A21">
            <w:pPr>
              <w:pStyle w:val="Other10"/>
              <w:spacing w:after="0"/>
              <w:ind w:firstLine="0"/>
            </w:pPr>
            <w:r>
              <w:t>č.j.</w:t>
            </w:r>
          </w:p>
          <w:p w:rsidR="00802177" w:rsidRDefault="00757A21">
            <w:pPr>
              <w:pStyle w:val="Other10"/>
              <w:spacing w:after="0"/>
              <w:ind w:firstLine="0"/>
            </w:pPr>
            <w:r>
              <w:t>Oprávněná úřední osoba:</w:t>
            </w:r>
          </w:p>
        </w:tc>
        <w:tc>
          <w:tcPr>
            <w:tcW w:w="7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2177" w:rsidRDefault="00757A21">
            <w:pPr>
              <w:pStyle w:val="Other10"/>
              <w:tabs>
                <w:tab w:val="left" w:pos="4868"/>
              </w:tabs>
              <w:spacing w:after="0"/>
              <w:ind w:firstLine="140"/>
            </w:pPr>
            <w:r>
              <w:t>02/334/082000/3450/33/2020/Lud</w:t>
            </w:r>
            <w:r>
              <w:tab/>
              <w:t>Kroměříž, dne 20.01.2021</w:t>
            </w:r>
          </w:p>
          <w:p w:rsidR="00802177" w:rsidRDefault="00675242">
            <w:pPr>
              <w:pStyle w:val="Other10"/>
              <w:spacing w:after="0"/>
              <w:ind w:firstLine="140"/>
            </w:pPr>
            <w:r>
              <w:t>xxx</w:t>
            </w:r>
            <w:r w:rsidR="00757A21">
              <w:t xml:space="preserve"> kancelář č. 404</w:t>
            </w:r>
          </w:p>
        </w:tc>
      </w:tr>
      <w:tr w:rsidR="00802177">
        <w:trPr>
          <w:trHeight w:hRule="exact" w:val="230"/>
          <w:jc w:val="center"/>
        </w:trPr>
        <w:tc>
          <w:tcPr>
            <w:tcW w:w="2400" w:type="dxa"/>
            <w:shd w:val="clear" w:color="auto" w:fill="FFFFFF"/>
          </w:tcPr>
          <w:p w:rsidR="00802177" w:rsidRDefault="00757A21">
            <w:pPr>
              <w:pStyle w:val="Other10"/>
              <w:spacing w:after="0"/>
              <w:ind w:firstLine="0"/>
            </w:pPr>
            <w:r>
              <w:t>Telefon:</w:t>
            </w:r>
          </w:p>
        </w:tc>
        <w:tc>
          <w:tcPr>
            <w:tcW w:w="7224" w:type="dxa"/>
            <w:shd w:val="clear" w:color="auto" w:fill="FFFFFF"/>
          </w:tcPr>
          <w:p w:rsidR="00802177" w:rsidRDefault="00675242">
            <w:pPr>
              <w:pStyle w:val="Other10"/>
              <w:spacing w:after="0"/>
              <w:ind w:firstLine="140"/>
            </w:pPr>
            <w:r>
              <w:t>xxx</w:t>
            </w:r>
          </w:p>
        </w:tc>
      </w:tr>
      <w:tr w:rsidR="00802177">
        <w:trPr>
          <w:trHeight w:hRule="exact" w:val="264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FFFFFF"/>
          </w:tcPr>
          <w:p w:rsidR="00802177" w:rsidRDefault="00757A21">
            <w:pPr>
              <w:pStyle w:val="Other10"/>
              <w:spacing w:after="0"/>
              <w:ind w:firstLine="0"/>
            </w:pPr>
            <w:r>
              <w:t>E-mail:</w:t>
            </w:r>
          </w:p>
        </w:tc>
        <w:tc>
          <w:tcPr>
            <w:tcW w:w="7224" w:type="dxa"/>
            <w:tcBorders>
              <w:bottom w:val="single" w:sz="4" w:space="0" w:color="auto"/>
            </w:tcBorders>
            <w:shd w:val="clear" w:color="auto" w:fill="FFFFFF"/>
          </w:tcPr>
          <w:p w:rsidR="00802177" w:rsidRDefault="00675242">
            <w:pPr>
              <w:pStyle w:val="Other10"/>
              <w:spacing w:after="0"/>
              <w:ind w:firstLine="140"/>
            </w:pPr>
            <w:r>
              <w:rPr>
                <w:lang w:val="en-US" w:eastAsia="en-US" w:bidi="en-US"/>
              </w:rPr>
              <w:t>xxx</w:t>
            </w:r>
          </w:p>
        </w:tc>
      </w:tr>
    </w:tbl>
    <w:p w:rsidR="00802177" w:rsidRDefault="00757A21">
      <w:pPr>
        <w:pStyle w:val="Bodytext10"/>
        <w:tabs>
          <w:tab w:val="left" w:pos="-778"/>
        </w:tabs>
        <w:spacing w:after="0"/>
        <w:ind w:hanging="1220"/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802177" w:rsidRDefault="00757A21">
      <w:pPr>
        <w:pStyle w:val="Bodytext10"/>
        <w:spacing w:after="0" w:line="180" w:lineRule="auto"/>
        <w:ind w:firstLine="220"/>
      </w:pPr>
      <w:r>
        <w:rPr>
          <w:b/>
          <w:bCs/>
        </w:rPr>
        <w:t>Město Kroměříž</w:t>
      </w:r>
    </w:p>
    <w:p w:rsidR="00802177" w:rsidRDefault="00757A21">
      <w:pPr>
        <w:pStyle w:val="Bodytext10"/>
        <w:spacing w:after="0"/>
        <w:ind w:firstLine="220"/>
      </w:pPr>
      <w:r>
        <w:rPr>
          <w:b/>
          <w:bCs/>
        </w:rPr>
        <w:t>Velké náměstí 115</w:t>
      </w:r>
    </w:p>
    <w:p w:rsidR="00802177" w:rsidRDefault="00757A21">
      <w:pPr>
        <w:pStyle w:val="Bodytext10"/>
        <w:spacing w:after="360"/>
        <w:ind w:firstLine="220"/>
      </w:pPr>
      <w:r>
        <w:rPr>
          <w:b/>
          <w:bCs/>
        </w:rPr>
        <w:t>767 01 Kroměříž</w:t>
      </w:r>
    </w:p>
    <w:p w:rsidR="00802177" w:rsidRDefault="00757A21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r>
        <w:t>ROZHODNUTÍ</w:t>
      </w:r>
      <w:bookmarkEnd w:id="1"/>
      <w:bookmarkEnd w:id="2"/>
      <w:bookmarkEnd w:id="3"/>
    </w:p>
    <w:p w:rsidR="00802177" w:rsidRDefault="00757A21">
      <w:pPr>
        <w:pStyle w:val="Bodytext10"/>
        <w:spacing w:after="460"/>
        <w:ind w:firstLine="0"/>
        <w:jc w:val="center"/>
      </w:pPr>
      <w:r>
        <w:rPr>
          <w:b/>
          <w:bCs/>
        </w:rPr>
        <w:t>STAVEBNÍ POVOLENÍ</w:t>
      </w:r>
    </w:p>
    <w:p w:rsidR="00802177" w:rsidRDefault="00757A21">
      <w:pPr>
        <w:pStyle w:val="Bodytext10"/>
        <w:spacing w:line="252" w:lineRule="auto"/>
        <w:ind w:firstLine="220"/>
      </w:pPr>
      <w:r>
        <w:rPr>
          <w:b/>
          <w:bCs/>
        </w:rPr>
        <w:t xml:space="preserve">Výroková </w:t>
      </w:r>
      <w:r w:rsidR="00714665">
        <w:rPr>
          <w:b/>
          <w:bCs/>
        </w:rPr>
        <w:t>č</w:t>
      </w:r>
      <w:r>
        <w:rPr>
          <w:b/>
          <w:bCs/>
        </w:rPr>
        <w:t>ást:</w:t>
      </w:r>
    </w:p>
    <w:p w:rsidR="00802177" w:rsidRDefault="00757A21" w:rsidP="00714665">
      <w:pPr>
        <w:pStyle w:val="Bodytext10"/>
        <w:spacing w:line="252" w:lineRule="auto"/>
        <w:ind w:left="220" w:firstLine="0"/>
        <w:jc w:val="both"/>
      </w:pPr>
      <w:r>
        <w:t>Městský úřad v Kroměříži, stavební úřad, jako stavební úřad příslušný podle § 13 odst. 1, písm. c) zákona č. 183/2006 Sb., o územním plánování a stavebním řádu (stavební zákon), ve znění pozdějších předpisů (dále jen "stavební zákon"), ve stavebním řízení přezkoumal podle § 108 až 114 stavebního zákona žádost o stavební povolení, kterou dne 02.11.2020 podalo</w:t>
      </w:r>
    </w:p>
    <w:p w:rsidR="00802177" w:rsidRDefault="00757A21">
      <w:pPr>
        <w:pStyle w:val="Bodytext10"/>
        <w:spacing w:after="0"/>
        <w:ind w:firstLine="700"/>
      </w:pPr>
      <w:r>
        <w:rPr>
          <w:b/>
          <w:bCs/>
        </w:rPr>
        <w:t>Město Kroměříž, IČO 00287351, Velké náměstí 115, 767 01 Kroměříž,</w:t>
      </w:r>
    </w:p>
    <w:p w:rsidR="00802177" w:rsidRDefault="00757A21">
      <w:pPr>
        <w:pStyle w:val="Bodytext10"/>
        <w:ind w:left="700" w:firstLine="0"/>
      </w:pPr>
      <w:r>
        <w:rPr>
          <w:b/>
          <w:bCs/>
        </w:rPr>
        <w:t xml:space="preserve">které zastupuje </w:t>
      </w:r>
      <w:r>
        <w:rPr>
          <w:b/>
          <w:bCs/>
          <w:lang w:val="en-US" w:eastAsia="en-US" w:bidi="en-US"/>
        </w:rPr>
        <w:t xml:space="preserve">FORMICA </w:t>
      </w:r>
      <w:r>
        <w:rPr>
          <w:b/>
          <w:bCs/>
        </w:rPr>
        <w:t>s.r.o., IČO 46982663, S</w:t>
      </w:r>
      <w:r w:rsidR="009566F1">
        <w:rPr>
          <w:b/>
          <w:bCs/>
        </w:rPr>
        <w:t>lovenská 2685,760 01 Zlín, xxx</w:t>
      </w:r>
    </w:p>
    <w:p w:rsidR="00802177" w:rsidRDefault="00757A21">
      <w:pPr>
        <w:pStyle w:val="Bodytext10"/>
        <w:spacing w:after="460"/>
        <w:ind w:firstLine="220"/>
      </w:pPr>
      <w:r>
        <w:t>(dále jen "stavebník"), a na základě tohoto přezkoumání:</w:t>
      </w:r>
    </w:p>
    <w:p w:rsidR="00802177" w:rsidRDefault="00757A21">
      <w:pPr>
        <w:pStyle w:val="Bodytext10"/>
        <w:numPr>
          <w:ilvl w:val="0"/>
          <w:numId w:val="1"/>
        </w:numPr>
        <w:tabs>
          <w:tab w:val="left" w:pos="693"/>
        </w:tabs>
        <w:ind w:left="700" w:hanging="420"/>
        <w:jc w:val="both"/>
      </w:pPr>
      <w:bookmarkStart w:id="4" w:name="bookmark3"/>
      <w:bookmarkEnd w:id="4"/>
      <w:r>
        <w:rPr>
          <w:b/>
          <w:bCs/>
        </w:rPr>
        <w:t xml:space="preserve">Vydává </w:t>
      </w:r>
      <w:r>
        <w:t>podle § 115 stavebního zákona a § 18c vyhlášky č. 503/2006 Sb., o podrobnější úpravě územního rozhodování, územního opatření a stavebního řádu, ve znění pozdějších předpisů</w:t>
      </w:r>
    </w:p>
    <w:p w:rsidR="00802177" w:rsidRDefault="00757A21">
      <w:pPr>
        <w:pStyle w:val="Bodytext10"/>
        <w:ind w:firstLine="0"/>
        <w:jc w:val="center"/>
      </w:pPr>
      <w:r>
        <w:rPr>
          <w:b/>
          <w:bCs/>
        </w:rPr>
        <w:t>stavební povolení</w:t>
      </w:r>
    </w:p>
    <w:p w:rsidR="00802177" w:rsidRDefault="00757A21">
      <w:pPr>
        <w:pStyle w:val="Bodytext10"/>
        <w:ind w:firstLine="220"/>
      </w:pPr>
      <w:r>
        <w:t>na stavbu:</w:t>
      </w:r>
    </w:p>
    <w:p w:rsidR="00802177" w:rsidRDefault="00757A21">
      <w:pPr>
        <w:pStyle w:val="Bodytext10"/>
        <w:spacing w:after="320" w:line="257" w:lineRule="auto"/>
        <w:ind w:firstLine="0"/>
        <w:jc w:val="center"/>
      </w:pPr>
      <w:r>
        <w:rPr>
          <w:b/>
          <w:bCs/>
        </w:rPr>
        <w:t>"Informační centrum Kroměříž - výměna vstupních dveří"</w:t>
      </w:r>
      <w:r>
        <w:rPr>
          <w:b/>
          <w:bCs/>
        </w:rPr>
        <w:br/>
        <w:t>Kroměříž</w:t>
      </w:r>
    </w:p>
    <w:p w:rsidR="00802177" w:rsidRDefault="00757A21">
      <w:pPr>
        <w:pStyle w:val="Bodytext10"/>
        <w:spacing w:after="460"/>
        <w:ind w:firstLine="220"/>
      </w:pPr>
      <w:r>
        <w:t xml:space="preserve">(dále jen "stavba") na pozemku </w:t>
      </w:r>
      <w:r>
        <w:rPr>
          <w:lang w:val="en-US" w:eastAsia="en-US" w:bidi="en-US"/>
        </w:rPr>
        <w:t xml:space="preserve">st. </w:t>
      </w:r>
      <w:r>
        <w:t>p. 216/1 v katastrálním území Kroměříž.</w:t>
      </w:r>
    </w:p>
    <w:p w:rsidR="00802177" w:rsidRDefault="00757A21">
      <w:pPr>
        <w:pStyle w:val="Bodytext10"/>
        <w:ind w:firstLine="220"/>
      </w:pPr>
      <w:r>
        <w:rPr>
          <w:u w:val="single"/>
        </w:rPr>
        <w:t>Stavba obsahuje:</w:t>
      </w:r>
    </w:p>
    <w:p w:rsidR="00802177" w:rsidRDefault="00757A21">
      <w:pPr>
        <w:pStyle w:val="Bodytext10"/>
        <w:ind w:left="940"/>
        <w:jc w:val="both"/>
      </w:pPr>
      <w:r>
        <w:t xml:space="preserve">změnu dokončené stavby, stavební úpravy části budovy' bez č.p. na pozemku </w:t>
      </w:r>
      <w:r>
        <w:rPr>
          <w:lang w:val="en-US" w:eastAsia="en-US" w:bidi="en-US"/>
        </w:rPr>
        <w:t xml:space="preserve">st. </w:t>
      </w:r>
      <w:r>
        <w:t>p. 216/1 v katastrálním území Kroměříž - výměnu prosklené stěny se vstupními dveřmi do informačního centra.</w:t>
      </w:r>
    </w:p>
    <w:p w:rsidR="00802177" w:rsidRDefault="00757A21">
      <w:pPr>
        <w:pStyle w:val="Bodytext10"/>
        <w:ind w:left="220" w:firstLine="60"/>
        <w:jc w:val="both"/>
        <w:sectPr w:rsidR="00802177">
          <w:pgSz w:w="11900" w:h="16840"/>
          <w:pgMar w:top="1134" w:right="1115" w:bottom="1134" w:left="1162" w:header="706" w:footer="706" w:gutter="0"/>
          <w:pgNumType w:start="1"/>
          <w:cols w:space="720"/>
          <w:noEndnote/>
          <w:docGrid w:linePitch="360"/>
        </w:sectPr>
      </w:pPr>
      <w:r>
        <w:t>Nová stěna se vstupními dveřmi bude osazena do stávajícího stavebního otvoru s rovným ostěním a klenutým nadpražím. Nové dveře budou replikou původních dveří. Vstupní dveře budou otevíravé směrem dovnitř. Dveře budou jednokřídlé s bočními pevnými křídly, z dřevěného masivu. Z vnitřní strany bude povrch upraven transparentní lazurou, barevnost ze strany do ulice bude přizpůsobena ostatním stávajícím výplním otvorů. Kování je navrženo ze slitiny imitující mosaz. Distanční rámeček izolačního dvojskla bude v barvě vnějšího odstínu dveří, zasklení bude upevněno pomocí dřevěných zasklívacích lišt osazených pouze z vnitřní strany. Dveře budou bez prahu, se systémovou prahovou lištou. Dveře budou bez požární odolnosti.</w:t>
      </w:r>
    </w:p>
    <w:p w:rsidR="00802177" w:rsidRDefault="00757A21">
      <w:pPr>
        <w:pStyle w:val="Bodytext10"/>
        <w:spacing w:after="460"/>
        <w:ind w:left="200" w:firstLine="40"/>
      </w:pPr>
      <w:r>
        <w:lastRenderedPageBreak/>
        <w:t xml:space="preserve">Dále budou provedeny související práce - úprava navazující betonové dlažby chodníku, oprava hydroizolace podlahy po odstranění stávajících dveří </w:t>
      </w:r>
      <w:r>
        <w:rPr>
          <w:i/>
          <w:iCs/>
        </w:rPr>
        <w:t>a</w:t>
      </w:r>
      <w:r>
        <w:t xml:space="preserve"> zapravení ostění po montáži nových dveří, z vnější i vnitřní strany.</w:t>
      </w:r>
    </w:p>
    <w:p w:rsidR="00802177" w:rsidRDefault="00757A21">
      <w:pPr>
        <w:pStyle w:val="Heading210"/>
        <w:keepNext/>
        <w:keepLines/>
        <w:spacing w:after="60"/>
        <w:ind w:firstLine="200"/>
      </w:pPr>
      <w:bookmarkStart w:id="5" w:name="bookmark4"/>
      <w:bookmarkStart w:id="6" w:name="bookmark5"/>
      <w:bookmarkStart w:id="7" w:name="bookmark6"/>
      <w:r>
        <w:t>II. Stanoví podmínky pro provedení stavby:</w:t>
      </w:r>
      <w:bookmarkEnd w:id="5"/>
      <w:bookmarkEnd w:id="6"/>
      <w:bookmarkEnd w:id="7"/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60"/>
        <w:ind w:left="480" w:hanging="240"/>
      </w:pPr>
      <w:bookmarkStart w:id="8" w:name="bookmark7"/>
      <w:bookmarkEnd w:id="8"/>
      <w:r>
        <w:t xml:space="preserve">Stavba bude provedena podle projektové dokumentace, kterou vypracovala společnost </w:t>
      </w:r>
      <w:r>
        <w:rPr>
          <w:lang w:val="en-US" w:eastAsia="en-US" w:bidi="en-US"/>
        </w:rPr>
        <w:t xml:space="preserve">FORMICA </w:t>
      </w:r>
      <w:r>
        <w:t xml:space="preserve">s.r.o., Slovenská č.p. 2685, 760 01 Zlín, </w:t>
      </w:r>
      <w:r w:rsidR="009566F1">
        <w:t>xxx</w:t>
      </w:r>
      <w:r>
        <w:t>, autorizovaný inženýr pro pozemní stavby, ČKA1T 1302245, případné změny nesmí být provedeny bez předchozího povolení stavebního úřadu.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60"/>
        <w:ind w:firstLine="200"/>
      </w:pPr>
      <w:bookmarkStart w:id="9" w:name="bookmark8"/>
      <w:bookmarkEnd w:id="9"/>
      <w:r>
        <w:t>Stavebník oznámí stavebnímu úřadu termín zahájení stavby.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60"/>
        <w:ind w:firstLine="200"/>
      </w:pPr>
      <w:bookmarkStart w:id="10" w:name="bookmark9"/>
      <w:bookmarkEnd w:id="10"/>
      <w:r>
        <w:t>Stavebník oznámí stavebnímu úřadu tyto fáze výstavby pro kontrolní prohlídky stavby:</w:t>
      </w:r>
    </w:p>
    <w:p w:rsidR="00802177" w:rsidRDefault="00757A21">
      <w:pPr>
        <w:pStyle w:val="Bodytext10"/>
        <w:spacing w:after="0"/>
        <w:ind w:firstLine="960"/>
      </w:pPr>
      <w:r>
        <w:t>1) Po kompletním dokončení stavby.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0"/>
        <w:ind w:left="480" w:hanging="240"/>
        <w:jc w:val="both"/>
      </w:pPr>
      <w:bookmarkStart w:id="11" w:name="bookmark10"/>
      <w:bookmarkEnd w:id="11"/>
      <w:r>
        <w:t>Stavba bude prováděna stavebním podnikatelem: právnickou osobou nebo fyzickou osobou oprávněnou k provádění stavebních nebo montážních prací jako předmětu své činnosti podle zvláštních předpisů. Doklad o oprávnění vybrané firmy bude stavebnímu úřadu předložen před zahájením prací.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0"/>
        <w:ind w:left="480" w:hanging="240"/>
        <w:jc w:val="both"/>
      </w:pPr>
      <w:bookmarkStart w:id="12" w:name="bookmark11"/>
      <w:bookmarkEnd w:id="12"/>
      <w:r>
        <w:t>Při provádění stavby je nutno dodržovat předpisy týkající se bezpečnosti práce a technických zařízení, zejména dbát o ochranu zdraví osob na staveništi, zejména zákon č. 309/2006 Sb. a Nařízení vlády č. 591/2006 Sb.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0"/>
        <w:ind w:left="480" w:hanging="240"/>
        <w:jc w:val="both"/>
      </w:pPr>
      <w:bookmarkStart w:id="13" w:name="bookmark12"/>
      <w:bookmarkEnd w:id="13"/>
      <w:r>
        <w:t>Budou respektovány hlukové limity dané Nařízením vlády č. 272/2011 Sb. o ochraně zdraví před nepříznivými účinky hluku a vibrací, zákon č. 89/2012 Sb., občanský zákoník, v platném znění a obecně závazné vyhlášky Města Kroměříže o ochraně nočního klidu a regulaci hlučných činnosti.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0"/>
        <w:ind w:firstLine="200"/>
      </w:pPr>
      <w:bookmarkStart w:id="14" w:name="bookmark13"/>
      <w:bookmarkEnd w:id="14"/>
      <w:r>
        <w:t>Stavba bude dokončena do dvou let od právní moci rozhodnutí.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0"/>
        <w:ind w:left="480" w:hanging="300"/>
        <w:jc w:val="both"/>
      </w:pPr>
      <w:bookmarkStart w:id="15" w:name="bookmark14"/>
      <w:bookmarkEnd w:id="15"/>
      <w:r>
        <w:t>Při stavbě budou dodržena ustanovení vyhlášky č. 268/2009 Sb., o technických požadavcích na stavby, ve znění pozdějších předpisů, která upravuje požadavky na provádění staveb a vyhl, č. 398/2009 Sb., o obecných technických požadavcích zabezpečujících bezbariérové užívání staveb, v platném znění, a příslušné technické normy.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36"/>
        </w:tabs>
        <w:spacing w:after="0"/>
        <w:ind w:left="480" w:hanging="300"/>
        <w:jc w:val="both"/>
      </w:pPr>
      <w:bookmarkStart w:id="16" w:name="bookmark15"/>
      <w:bookmarkEnd w:id="16"/>
      <w:r>
        <w:t xml:space="preserve">Bude dodrženo závazné stanovisko Hasičského záchranného sboru Zlínského kraje ze dne 16.12.2020 č.j. HSZL-5843-2/KM-2020 k požárně bezpečnostnímu řešení ze dne 09/2020, zpracované </w:t>
      </w:r>
      <w:r w:rsidR="009566F1">
        <w:t>xxx</w:t>
      </w:r>
      <w:r>
        <w:t>, ČKAIT 1302245.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41"/>
        </w:tabs>
        <w:spacing w:after="0"/>
        <w:ind w:left="480" w:hanging="300"/>
        <w:jc w:val="both"/>
      </w:pPr>
      <w:bookmarkStart w:id="17" w:name="bookmark16"/>
      <w:bookmarkEnd w:id="17"/>
      <w:r>
        <w:t>Před zahájením stavby bude na viditelném místě u vstupu na staveniště umístěn štítek ’’Stavba povolena”, který obdrží stavebník, štítek musí být chráněn před povětrnostními vlivy, aby údaje na něm uvedené zůstaly čitelné a ponechán na stavbě do vydání kolaudačního souhlasu.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41"/>
        </w:tabs>
        <w:spacing w:after="0"/>
        <w:ind w:left="480" w:hanging="300"/>
        <w:jc w:val="both"/>
      </w:pPr>
      <w:bookmarkStart w:id="18" w:name="bookmark17"/>
      <w:bookmarkEnd w:id="18"/>
      <w:r>
        <w:t>Stavebník je povinen mít na stavbě k dispozici dokumentaci a všechny doklady týkající se provádění stavby. Na stavbě bude řádně veden stavební deník s předepsanými údaji.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46"/>
        </w:tabs>
        <w:spacing w:after="0"/>
        <w:ind w:left="480" w:hanging="300"/>
        <w:jc w:val="both"/>
      </w:pPr>
      <w:bookmarkStart w:id="19" w:name="bookmark18"/>
      <w:bookmarkEnd w:id="19"/>
      <w:r>
        <w:t>V souladu s § 156 stavebního zákona budou pro stavbu použity jen takové výrobky, materiály a konstrukce, jejichž vlastnosti z hlediska způsobilosti stavby pro navržený účel zaručují, že stavba při správném provedení a běžné údržbě po dobu předpokládané existence splňuje požadavky na mechanickou odolnost a stabilitu, požární bezpečnost, hygienu, ochranu zdraví a životního prostředí, bezpečnost přidržování a užívání stavby, včetně bezbariérového užívání stavby ochranu proti hluku a na úsporu energie a ochranu tepla.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46"/>
        </w:tabs>
        <w:spacing w:after="0"/>
        <w:ind w:left="480" w:hanging="300"/>
        <w:jc w:val="both"/>
      </w:pPr>
      <w:bookmarkStart w:id="20" w:name="bookmark19"/>
      <w:bookmarkEnd w:id="20"/>
      <w:r>
        <w:t>Před zahájením stavby bude na viditelném místě u vstupu na staveniště umístěn štítek "Stavba povolena", který obdrží stavebník, jakmile toto rozhodnutí nabude právní moci. Štítek musí být chráněn před povětrnostními vlivy, aby údaje na něm uvedené zůstaly čitelné a ponechán na místě do kolaudace stavby.</w:t>
      </w:r>
    </w:p>
    <w:p w:rsidR="00802177" w:rsidRDefault="00757A21">
      <w:pPr>
        <w:pStyle w:val="Bodytext10"/>
        <w:numPr>
          <w:ilvl w:val="0"/>
          <w:numId w:val="2"/>
        </w:numPr>
        <w:tabs>
          <w:tab w:val="left" w:pos="546"/>
        </w:tabs>
        <w:spacing w:after="340"/>
        <w:ind w:left="460" w:hanging="280"/>
      </w:pPr>
      <w:bookmarkStart w:id="21" w:name="bookmark20"/>
      <w:bookmarkEnd w:id="21"/>
      <w:r>
        <w:t>Stavba může být užívána až po vydání kolaudačního souhlasu podle § 122 zákona č. 183/2006 Sb. (dále jen nový stavební zákon). K žádosti o vydání kolaudačního souhlasu předloží stavebník mimo jiné náležitosti dle § 122 stavebního zákona.</w:t>
      </w:r>
    </w:p>
    <w:p w:rsidR="00802177" w:rsidRDefault="00757A21">
      <w:pPr>
        <w:pStyle w:val="Bodytext10"/>
        <w:ind w:firstLine="0"/>
      </w:pPr>
      <w:r>
        <w:t>Účastníci řízení, na něž se vztahuje rozhodnutí správního orgánu:</w:t>
      </w:r>
    </w:p>
    <w:p w:rsidR="00802177" w:rsidRDefault="00757A21">
      <w:pPr>
        <w:pStyle w:val="Bodytext10"/>
        <w:spacing w:after="460"/>
        <w:ind w:firstLine="480"/>
      </w:pPr>
      <w:r>
        <w:t>Město Kroměříž, Velké náměstí 115, 767 01 Kroměříž</w:t>
      </w:r>
    </w:p>
    <w:p w:rsidR="00802177" w:rsidRDefault="00757A21">
      <w:pPr>
        <w:pStyle w:val="Heading210"/>
        <w:keepNext/>
        <w:keepLines/>
        <w:spacing w:after="100"/>
        <w:ind w:firstLine="0"/>
      </w:pPr>
      <w:bookmarkStart w:id="22" w:name="bookmark21"/>
      <w:bookmarkStart w:id="23" w:name="bookmark22"/>
      <w:bookmarkStart w:id="24" w:name="bookmark23"/>
      <w:r>
        <w:t>Odůvodnění:</w:t>
      </w:r>
      <w:bookmarkEnd w:id="22"/>
      <w:bookmarkEnd w:id="23"/>
      <w:bookmarkEnd w:id="24"/>
    </w:p>
    <w:p w:rsidR="009566F1" w:rsidRDefault="00757A21">
      <w:pPr>
        <w:pStyle w:val="Bodytext10"/>
        <w:ind w:firstLine="0"/>
      </w:pPr>
      <w:r>
        <w:t xml:space="preserve">Dne 02.11.2020 podal stavebník, zastoupený společností </w:t>
      </w:r>
      <w:r>
        <w:rPr>
          <w:lang w:val="en-US" w:eastAsia="en-US" w:bidi="en-US"/>
        </w:rPr>
        <w:t xml:space="preserve">FORMICA </w:t>
      </w:r>
      <w:r>
        <w:t xml:space="preserve">s.r.o., Ing. Petrem Hmčiříkern, ohlášení stavby, ve kterém stavební úřad rozhodl usnesením o provedení stavebního řízení a protože bylo pro posouzení záměru nezbytné, </w:t>
      </w:r>
    </w:p>
    <w:p w:rsidR="009566F1" w:rsidRDefault="009566F1">
      <w:pPr>
        <w:pStyle w:val="Bodytext10"/>
        <w:ind w:firstLine="0"/>
      </w:pPr>
    </w:p>
    <w:p w:rsidR="009566F1" w:rsidRDefault="009566F1">
      <w:pPr>
        <w:pStyle w:val="Bodytext10"/>
        <w:ind w:firstLine="0"/>
      </w:pPr>
    </w:p>
    <w:p w:rsidR="009566F1" w:rsidRDefault="009566F1">
      <w:pPr>
        <w:pStyle w:val="Bodytext10"/>
        <w:ind w:firstLine="0"/>
      </w:pPr>
    </w:p>
    <w:p w:rsidR="009566F1" w:rsidRDefault="009566F1">
      <w:pPr>
        <w:pStyle w:val="Bodytext10"/>
        <w:ind w:firstLine="0"/>
      </w:pPr>
    </w:p>
    <w:p w:rsidR="009566F1" w:rsidRDefault="009566F1">
      <w:pPr>
        <w:pStyle w:val="Bodytext10"/>
        <w:ind w:firstLine="0"/>
      </w:pPr>
    </w:p>
    <w:p w:rsidR="00B20426" w:rsidRDefault="00B20426">
      <w:pPr>
        <w:pStyle w:val="Bodytext10"/>
        <w:ind w:firstLine="0"/>
      </w:pPr>
      <w:r>
        <w:t xml:space="preserve">      </w:t>
      </w:r>
      <w:r w:rsidR="00757A21">
        <w:t xml:space="preserve">vyzval stavebníka k doplnění žádosti a stanovil termín pro doplnění. </w:t>
      </w:r>
    </w:p>
    <w:p w:rsidR="00802177" w:rsidRDefault="00B20426">
      <w:pPr>
        <w:pStyle w:val="Bodytext10"/>
        <w:ind w:firstLine="0"/>
      </w:pPr>
      <w:r>
        <w:t xml:space="preserve">      </w:t>
      </w:r>
      <w:r w:rsidR="00757A21">
        <w:t>Dnem podání ohlášení je zahájeno stavební řízení.</w:t>
      </w:r>
    </w:p>
    <w:p w:rsidR="00802177" w:rsidRDefault="00757A21">
      <w:pPr>
        <w:pStyle w:val="Bodytext10"/>
        <w:ind w:firstLine="340"/>
      </w:pPr>
      <w:r>
        <w:t>Žádost byla doplněna dne 21.12.2020.</w:t>
      </w:r>
    </w:p>
    <w:p w:rsidR="00802177" w:rsidRDefault="00757A21" w:rsidP="00B20426">
      <w:pPr>
        <w:pStyle w:val="Bodytext10"/>
        <w:spacing w:after="460"/>
        <w:ind w:left="340" w:firstLine="0"/>
        <w:jc w:val="both"/>
      </w:pPr>
      <w:r>
        <w:t>Stavební úřad oznámil zahájení stavebního řízení známým účastníkům řízení a dotčeným orgánům. Současně podle ustanovení § 112 odst. 2 stavebního zákona upustil od ohledání na místě a ústního jednání, protože mu poměry staveniště byly dobře známy a žádost poskytovala dostatečné podklady pro posouzení stavby, a stanovil, že ve lhůtě do 10 dnů od doručení tohoto oznámení mohou účastníci řízení uplatnit své námitky a dotčené orgány svá stanoviska.</w:t>
      </w:r>
    </w:p>
    <w:p w:rsidR="00802177" w:rsidRDefault="00757A21">
      <w:pPr>
        <w:pStyle w:val="Bodytext10"/>
        <w:ind w:firstLine="340"/>
      </w:pPr>
      <w:r>
        <w:t>Účastníky řízení jsou:</w:t>
      </w:r>
    </w:p>
    <w:p w:rsidR="00802177" w:rsidRDefault="00757A21">
      <w:pPr>
        <w:pStyle w:val="Bodytext10"/>
        <w:spacing w:after="340"/>
        <w:ind w:firstLine="340"/>
      </w:pPr>
      <w:r>
        <w:t xml:space="preserve">Město Kroměříž, zastoupené společností </w:t>
      </w:r>
      <w:r>
        <w:rPr>
          <w:lang w:val="en-US" w:eastAsia="en-US" w:bidi="en-US"/>
        </w:rPr>
        <w:t xml:space="preserve">FORMICA </w:t>
      </w:r>
      <w:r>
        <w:t>s.r.o.</w:t>
      </w:r>
    </w:p>
    <w:p w:rsidR="00802177" w:rsidRDefault="00757A21">
      <w:pPr>
        <w:pStyle w:val="Bodytext10"/>
        <w:ind w:firstLine="340"/>
      </w:pPr>
      <w:r>
        <w:t>Stavební úřad v provedeném stavebním řízení posoudil předloženou žádost:</w:t>
      </w:r>
    </w:p>
    <w:p w:rsidR="00802177" w:rsidRDefault="00757A21">
      <w:pPr>
        <w:pStyle w:val="Bodytext10"/>
        <w:spacing w:after="0" w:line="257" w:lineRule="auto"/>
        <w:ind w:left="340" w:firstLine="40"/>
        <w:jc w:val="both"/>
      </w:pPr>
      <w:r>
        <w:t>Podle § 111 stavebního zákona stavební úřad přezkoumal podanou žádost a připojené podklady z toho hlediska, zda stavbu lze podle nich provést, a ověřil zejména zda</w:t>
      </w:r>
    </w:p>
    <w:p w:rsidR="00802177" w:rsidRDefault="00757A21">
      <w:pPr>
        <w:pStyle w:val="Bodytext10"/>
        <w:numPr>
          <w:ilvl w:val="0"/>
          <w:numId w:val="3"/>
        </w:numPr>
        <w:tabs>
          <w:tab w:val="left" w:pos="940"/>
        </w:tabs>
        <w:spacing w:after="0"/>
        <w:ind w:left="880" w:hanging="260"/>
        <w:jc w:val="both"/>
      </w:pPr>
      <w:bookmarkStart w:id="25" w:name="bookmark24"/>
      <w:bookmarkEnd w:id="25"/>
      <w:r>
        <w:t>projektová dokumentace je zpracována v souladu s územním rozhodnutím nebo regulačním plánem nebo veřejnoprávní smlouvou územní rozhodnutí nahrazující anebo územním souhlasem, a v případě stavebních úprav podmiňujících změnu v užívání stavby její soulad s územně plánovací dokumentací,</w:t>
      </w:r>
    </w:p>
    <w:p w:rsidR="00802177" w:rsidRDefault="00757A21">
      <w:pPr>
        <w:pStyle w:val="Bodytext10"/>
        <w:numPr>
          <w:ilvl w:val="0"/>
          <w:numId w:val="3"/>
        </w:numPr>
        <w:tabs>
          <w:tab w:val="left" w:pos="950"/>
        </w:tabs>
        <w:spacing w:after="0"/>
        <w:ind w:left="880" w:hanging="260"/>
      </w:pPr>
      <w:bookmarkStart w:id="26" w:name="bookmark25"/>
      <w:bookmarkEnd w:id="26"/>
      <w:r>
        <w:t>p</w:t>
      </w:r>
      <w:r w:rsidR="00F94149">
        <w:t xml:space="preserve">rojektová dokumentace je úplná, </w:t>
      </w:r>
      <w:r>
        <w:t>přehledná a zda jsou v odpovídající míře řešeny obecné požadavky na výstavbu,</w:t>
      </w:r>
    </w:p>
    <w:p w:rsidR="00802177" w:rsidRDefault="00757A21">
      <w:pPr>
        <w:pStyle w:val="Bodytext10"/>
        <w:numPr>
          <w:ilvl w:val="0"/>
          <w:numId w:val="3"/>
        </w:numPr>
        <w:tabs>
          <w:tab w:val="left" w:pos="950"/>
        </w:tabs>
        <w:spacing w:after="0"/>
        <w:ind w:left="880" w:hanging="260"/>
      </w:pPr>
      <w:bookmarkStart w:id="27" w:name="bookmark26"/>
      <w:bookmarkEnd w:id="27"/>
      <w:r>
        <w:t>je zajištěn příjezd ke stavbě, včasné vybudování technického, popřípadě jiného vybavení potřebného k řádnému užívání stavby vyžadovaného zvláštním právním předpisem,</w:t>
      </w:r>
    </w:p>
    <w:p w:rsidR="00802177" w:rsidRDefault="00757A21">
      <w:pPr>
        <w:pStyle w:val="Bodytext10"/>
        <w:numPr>
          <w:ilvl w:val="0"/>
          <w:numId w:val="3"/>
        </w:numPr>
        <w:tabs>
          <w:tab w:val="left" w:pos="930"/>
        </w:tabs>
        <w:ind w:firstLine="600"/>
        <w:jc w:val="both"/>
      </w:pPr>
      <w:bookmarkStart w:id="28" w:name="bookmark27"/>
      <w:bookmarkEnd w:id="28"/>
      <w:r>
        <w:t>předložené podklady vyhovují požadavkům uplatněným dotčenými orgány.</w:t>
      </w:r>
    </w:p>
    <w:p w:rsidR="00802177" w:rsidRDefault="00757A21">
      <w:pPr>
        <w:pStyle w:val="Bodytext10"/>
        <w:spacing w:after="0"/>
        <w:ind w:firstLine="260"/>
      </w:pPr>
      <w:r>
        <w:t>Stavba nevyžaduje vydání územního rozhodnutí.</w:t>
      </w:r>
    </w:p>
    <w:p w:rsidR="00802177" w:rsidRDefault="00757A21">
      <w:pPr>
        <w:pStyle w:val="Bodytext10"/>
        <w:spacing w:after="0"/>
        <w:ind w:left="260"/>
        <w:jc w:val="both"/>
      </w:pPr>
      <w:r>
        <w:t>Předložená projektová dokumentace je zpracována v souladu s vyhláškou č. 499/2006 Sb. Rozsah a obsah jednotlivých částí je přizpůsoben druhu a významu stavby, jejímu umístění, stavebně technickému provedení, účelu využití, vlivu na životní prostředí a době trvání stavby. Projektová dokumentace je úplná, přehledná, zpracovaná autorizovanou osobou a splňuje obecné požadavky na výstavbu.</w:t>
      </w:r>
    </w:p>
    <w:p w:rsidR="00802177" w:rsidRDefault="00757A21">
      <w:pPr>
        <w:pStyle w:val="Bodytext10"/>
        <w:spacing w:after="0"/>
        <w:ind w:left="260"/>
        <w:jc w:val="both"/>
      </w:pPr>
      <w:r>
        <w:t>Příjezd ke stavbě je po stávající veřejné komunikaci v ulici Prusinovského, objekt je napojený na stávající inženýrské sítě a jiné technické vybavení není požadováno.</w:t>
      </w:r>
    </w:p>
    <w:p w:rsidR="00802177" w:rsidRDefault="00757A21">
      <w:pPr>
        <w:pStyle w:val="Bodytext10"/>
        <w:ind w:left="260"/>
        <w:jc w:val="both"/>
      </w:pPr>
      <w:r>
        <w:t>Předložená žádost a podklady vyhovují požadavkům uplatněným dotčenými orgány. Dotčené orgány v průběhu řízení neuplatnily žádné požadavky na doplnění podkladů či projektové dokumentace.</w:t>
      </w:r>
    </w:p>
    <w:p w:rsidR="00802177" w:rsidRDefault="00757A21">
      <w:pPr>
        <w:pStyle w:val="Bodytext10"/>
        <w:ind w:left="260"/>
        <w:jc w:val="both"/>
      </w:pPr>
      <w:r>
        <w:t>Stavební úřad předloženou žádost projednal s účastníky řízení a dotčenými orgány a zjistil, že jejím uskutečněním nebo užíváním stavby nejsou ohroženy zájmy chráněné stavebním zákonem, předpisy vydanými k jeho provedení a zvláštními předpisy. Stavební úřad v průběhu řízení neshledal důvody, které by bránily povolení stavby.</w:t>
      </w:r>
    </w:p>
    <w:p w:rsidR="00802177" w:rsidRDefault="00757A21">
      <w:pPr>
        <w:pStyle w:val="Bodytext10"/>
        <w:spacing w:after="0"/>
        <w:ind w:firstLine="260"/>
      </w:pPr>
      <w:r>
        <w:t>Stanoviska a vyjádření sdělili:</w:t>
      </w:r>
    </w:p>
    <w:p w:rsidR="00802177" w:rsidRDefault="00757A21">
      <w:pPr>
        <w:pStyle w:val="Bodytext10"/>
        <w:spacing w:after="0"/>
        <w:ind w:left="600"/>
        <w:jc w:val="both"/>
      </w:pPr>
      <w:r>
        <w:t>závazné stanovisko Hasičského záchranného sboru Zlínského kraje ze dne 16.12.2020 č.j. HSZL- 5843-2/KM-2020</w:t>
      </w:r>
    </w:p>
    <w:p w:rsidR="00802177" w:rsidRDefault="00757A21">
      <w:pPr>
        <w:pStyle w:val="Bodytext10"/>
        <w:spacing w:after="240"/>
        <w:ind w:left="600"/>
        <w:jc w:val="both"/>
      </w:pPr>
      <w:r>
        <w:t>závazné stanovisko MěÚ Kroměříž, stavebního úřadu, oddělení státní památkové péče ze dne 19.10.2020 sp. zn. 02/076095/2020/Ku</w:t>
      </w:r>
    </w:p>
    <w:p w:rsidR="00802177" w:rsidRDefault="00757A21">
      <w:pPr>
        <w:pStyle w:val="Bodytext10"/>
        <w:spacing w:after="0"/>
        <w:ind w:firstLine="260"/>
      </w:pPr>
      <w:r>
        <w:t>Ostatní doklady:</w:t>
      </w:r>
    </w:p>
    <w:p w:rsidR="00802177" w:rsidRDefault="00757A21">
      <w:pPr>
        <w:pStyle w:val="Bodytext10"/>
        <w:spacing w:after="340"/>
        <w:ind w:firstLine="600"/>
        <w:jc w:val="both"/>
      </w:pPr>
      <w:r>
        <w:t xml:space="preserve">plná moc Město Kroměříž - </w:t>
      </w:r>
      <w:r>
        <w:rPr>
          <w:lang w:val="en-US" w:eastAsia="en-US" w:bidi="en-US"/>
        </w:rPr>
        <w:t xml:space="preserve">FORMICA </w:t>
      </w:r>
      <w:r>
        <w:t>s.r.o. ze dne 5.10.2020</w:t>
      </w:r>
    </w:p>
    <w:p w:rsidR="00802177" w:rsidRDefault="00757A21">
      <w:pPr>
        <w:pStyle w:val="Bodytext10"/>
        <w:ind w:left="260"/>
      </w:pPr>
      <w:r>
        <w:t>Stavební úřad zajistil vzájemný soulad předložených závazných stanovisek dotčených orgánů vyžadovaných zvláštními předpisy a zahrnul je do podmínek rozhodnutí.</w:t>
      </w:r>
    </w:p>
    <w:p w:rsidR="00802177" w:rsidRDefault="00757A21">
      <w:pPr>
        <w:pStyle w:val="Bodytext10"/>
        <w:spacing w:line="221" w:lineRule="auto"/>
        <w:ind w:left="260"/>
      </w:pPr>
      <w:r>
        <w:t>Stavební úřad rozhodl, jak je uvedeno ve výroku rozhodnutí, za použití ustanovení právních předpisů ve výroku uvedených.</w:t>
      </w:r>
      <w:r>
        <w:br w:type="page"/>
      </w:r>
    </w:p>
    <w:p w:rsidR="00802177" w:rsidRDefault="00757A21">
      <w:pPr>
        <w:pStyle w:val="Bodytext10"/>
        <w:spacing w:after="460"/>
        <w:ind w:firstLine="380"/>
      </w:pPr>
      <w:r>
        <w:t>Námitky účastníků řízení nebyly uplatněny.</w:t>
      </w:r>
    </w:p>
    <w:p w:rsidR="00802177" w:rsidRDefault="00757A21">
      <w:pPr>
        <w:pStyle w:val="Heading210"/>
        <w:keepNext/>
        <w:keepLines/>
        <w:spacing w:after="100"/>
      </w:pPr>
      <w:bookmarkStart w:id="29" w:name="bookmark28"/>
      <w:bookmarkStart w:id="30" w:name="bookmark29"/>
      <w:bookmarkStart w:id="31" w:name="bookmark30"/>
      <w:r>
        <w:t>Poučení účastníků:</w:t>
      </w:r>
      <w:bookmarkEnd w:id="29"/>
      <w:bookmarkEnd w:id="30"/>
      <w:bookmarkEnd w:id="31"/>
    </w:p>
    <w:p w:rsidR="00802177" w:rsidRDefault="00757A21">
      <w:pPr>
        <w:pStyle w:val="Bodytext10"/>
        <w:ind w:left="380" w:firstLine="60"/>
      </w:pPr>
      <w:r>
        <w:t>Proti tomuto rozhodnutí se lze odvolat do 15 dnů ode dne jeho oznámení k odboru stavebního řádu a životního prostředí Krajského úřadu Zlínského kraje podáním u zdejšího správního orgánu.</w:t>
      </w:r>
    </w:p>
    <w:p w:rsidR="00802177" w:rsidRDefault="00757A21">
      <w:pPr>
        <w:pStyle w:val="Bodytext10"/>
        <w:ind w:left="380" w:firstLine="60"/>
        <w:jc w:val="both"/>
      </w:pPr>
      <w:r>
        <w:t>Odvolání se podává s potřebným počtem stejnopisů tak, aby jeden stejnopis zůstal správnímu orgánu a aby každý účastník dostal jeden stejnopis. Nepodá-li účastník potřebný počet stejnopisů, vyhotoví je správní orgán na náklady účastníka. Odvoláním lze napadnout výrokovou část rozhodnutí, jednotlivý výrok nebo jeho vedlejší ustanovení. Odvolání jen proti odůvodnění rozhodnutí je nepřípustné.</w:t>
      </w:r>
    </w:p>
    <w:p w:rsidR="00802177" w:rsidRDefault="00757A21">
      <w:pPr>
        <w:pStyle w:val="Bodytext10"/>
        <w:spacing w:line="252" w:lineRule="auto"/>
        <w:ind w:left="380" w:firstLine="60"/>
        <w:jc w:val="both"/>
      </w:pPr>
      <w:r>
        <w:t>Stavební úřad po dni nabytí právní moci stavebního povolení zašle stavebníkovi jedno vyhotovení ověřené projektové dokumentace spolu se štítkem obsahujícím identifikační údaje o povolené stavbě. Další vyhotovení ověřené projektové dokumentace zašle vlastníkovi stavby, pokud není stavebníkem.</w:t>
      </w:r>
    </w:p>
    <w:p w:rsidR="00802177" w:rsidRDefault="00757A21">
      <w:pPr>
        <w:pStyle w:val="Bodytext10"/>
        <w:spacing w:after="800"/>
        <w:ind w:left="380" w:firstLine="60"/>
        <w:jc w:val="both"/>
      </w:pPr>
      <w:r>
        <w:t>Stavba nesmí být zahájena, dokud stavební povolení nenabude právní moci. Stavební povolení pozbývá platnosti, jestliže stavba nebyla zahájena do 2 let ode dne, kdy nabylo právní moci.</w:t>
      </w:r>
    </w:p>
    <w:p w:rsidR="00802177" w:rsidRDefault="00757A21">
      <w:pPr>
        <w:pStyle w:val="Bodytext10"/>
        <w:spacing w:after="600"/>
        <w:ind w:firstLine="0"/>
        <w:jc w:val="center"/>
      </w:pPr>
      <w:r>
        <w:t>Ing. Hana Kubáčková</w:t>
      </w:r>
      <w:r>
        <w:br/>
        <w:t>vedoucí stavebního úřadu</w:t>
      </w:r>
      <w:r>
        <w:br/>
        <w:t>Městského úřadu Kroměříž</w:t>
      </w:r>
    </w:p>
    <w:p w:rsidR="00802177" w:rsidRDefault="00757A21">
      <w:pPr>
        <w:pStyle w:val="Heading210"/>
        <w:keepNext/>
        <w:keepLines/>
        <w:spacing w:after="40"/>
      </w:pPr>
      <w:bookmarkStart w:id="32" w:name="bookmark31"/>
      <w:bookmarkStart w:id="33" w:name="bookmark32"/>
      <w:bookmarkStart w:id="34" w:name="bookmark33"/>
      <w:r>
        <w:t>Poplatek:</w:t>
      </w:r>
      <w:bookmarkEnd w:id="32"/>
      <w:bookmarkEnd w:id="33"/>
      <w:bookmarkEnd w:id="34"/>
    </w:p>
    <w:p w:rsidR="00802177" w:rsidRDefault="00757A21">
      <w:pPr>
        <w:pStyle w:val="Bodytext10"/>
        <w:spacing w:after="540"/>
        <w:ind w:firstLine="380"/>
      </w:pPr>
      <w:r>
        <w:t>Správní poplatek podle zákona č. 634/2004 Sb., o správních poplatcích je osvobozen.</w:t>
      </w:r>
    </w:p>
    <w:p w:rsidR="00802177" w:rsidRDefault="00757A21">
      <w:pPr>
        <w:pStyle w:val="Heading210"/>
        <w:keepNext/>
        <w:keepLines/>
        <w:spacing w:after="40"/>
      </w:pPr>
      <w:bookmarkStart w:id="35" w:name="bookmark34"/>
      <w:bookmarkStart w:id="36" w:name="bookmark35"/>
      <w:bookmarkStart w:id="37" w:name="bookmark36"/>
      <w:r>
        <w:t>Obdrží:</w:t>
      </w:r>
      <w:bookmarkEnd w:id="35"/>
      <w:bookmarkEnd w:id="36"/>
      <w:bookmarkEnd w:id="37"/>
    </w:p>
    <w:p w:rsidR="00802177" w:rsidRDefault="00757A21">
      <w:pPr>
        <w:pStyle w:val="Bodytext10"/>
        <w:spacing w:after="0"/>
        <w:ind w:firstLine="380"/>
      </w:pPr>
      <w:r>
        <w:t>Účastníci (dodejky):</w:t>
      </w:r>
    </w:p>
    <w:p w:rsidR="00802177" w:rsidRDefault="00757A21">
      <w:pPr>
        <w:pStyle w:val="Bodytext10"/>
        <w:spacing w:after="0"/>
        <w:ind w:firstLine="380"/>
      </w:pPr>
      <w:r>
        <w:rPr>
          <w:lang w:val="en-US" w:eastAsia="en-US" w:bidi="en-US"/>
        </w:rPr>
        <w:t xml:space="preserve">FORMICA </w:t>
      </w:r>
      <w:r>
        <w:t>s.r.o., 1DDS: u8r5mc6</w:t>
      </w:r>
    </w:p>
    <w:p w:rsidR="00802177" w:rsidRDefault="00757A21">
      <w:pPr>
        <w:pStyle w:val="Bodytext10"/>
        <w:spacing w:after="240"/>
        <w:ind w:left="1060"/>
      </w:pPr>
      <w:r>
        <w:t>sídlo: Slovenská č.p. 2685, 760 01 Zlín 1 zastoupení pro: Město Kroměříž, Velké náměstí 115, 767 01 Kroměříž</w:t>
      </w:r>
    </w:p>
    <w:p w:rsidR="00802177" w:rsidRDefault="00757A21">
      <w:pPr>
        <w:pStyle w:val="Bodytext10"/>
        <w:spacing w:after="0"/>
        <w:ind w:firstLine="380"/>
      </w:pPr>
      <w:r>
        <w:t>Dotčené orgány:</w:t>
      </w:r>
    </w:p>
    <w:p w:rsidR="00802177" w:rsidRDefault="00757A21">
      <w:pPr>
        <w:pStyle w:val="Bodytext10"/>
        <w:spacing w:after="0"/>
        <w:ind w:firstLine="380"/>
      </w:pPr>
      <w:r>
        <w:t>Hasičský záchranný sbor Zlínského kraje, ÚO Kroměříž, IDDS: z3paa5u</w:t>
      </w:r>
    </w:p>
    <w:p w:rsidR="00802177" w:rsidRDefault="00757A21">
      <w:pPr>
        <w:pStyle w:val="Bodytext10"/>
        <w:spacing w:after="0"/>
        <w:ind w:left="1060" w:firstLine="0"/>
      </w:pPr>
      <w:r>
        <w:t>sídlo: Nerudova č.p. 450/9A, 767 01 Kroměříž 1</w:t>
      </w:r>
    </w:p>
    <w:p w:rsidR="00802177" w:rsidRDefault="00757A21">
      <w:pPr>
        <w:pStyle w:val="Bodytext10"/>
        <w:spacing w:after="0"/>
        <w:ind w:firstLine="380"/>
      </w:pPr>
      <w:r>
        <w:t xml:space="preserve">MěÚ Kroměříž, stavební úřad, oddělení </w:t>
      </w:r>
      <w:r w:rsidR="00683A82">
        <w:t>státní památkové péče, IDDS: bg2</w:t>
      </w:r>
      <w:r>
        <w:t>bfur</w:t>
      </w:r>
    </w:p>
    <w:p w:rsidR="00802177" w:rsidRDefault="00757A21">
      <w:pPr>
        <w:pStyle w:val="Bodytext10"/>
        <w:ind w:left="1060" w:firstLine="0"/>
      </w:pPr>
      <w:r>
        <w:t>sídlo: Velké náměstí č.p. 115/1, 767 01 Kroměříž 1</w:t>
      </w:r>
    </w:p>
    <w:sectPr w:rsidR="00802177">
      <w:headerReference w:type="default" r:id="rId7"/>
      <w:pgSz w:w="11900" w:h="16840"/>
      <w:pgMar w:top="1749" w:right="1139" w:bottom="1176" w:left="1136" w:header="0" w:footer="7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71" w:rsidRDefault="00250371">
      <w:r>
        <w:separator/>
      </w:r>
    </w:p>
  </w:endnote>
  <w:endnote w:type="continuationSeparator" w:id="0">
    <w:p w:rsidR="00250371" w:rsidRDefault="0025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71" w:rsidRDefault="00250371"/>
  </w:footnote>
  <w:footnote w:type="continuationSeparator" w:id="0">
    <w:p w:rsidR="00250371" w:rsidRDefault="002503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77" w:rsidRDefault="00757A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808990</wp:posOffset>
              </wp:positionV>
              <wp:extent cx="282829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29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2177" w:rsidRDefault="00757A21">
                          <w:pPr>
                            <w:pStyle w:val="Headerorfooter20"/>
                            <w:tabs>
                              <w:tab w:val="right" w:pos="445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Spis.zn. 02/334/082000/3450/33/2020/Lud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str. 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353467">
                            <w:rPr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76pt;margin-top:63.7pt;width:222.7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" filled="f" stroked="f">
              <v:textbox style="mso-fit-shape-to-text:t" inset="0,0,0,0">
                <w:txbxContent>
                  <w:p w:rsidR="00802177" w:rsidRDefault="00757A21">
                    <w:pPr>
                      <w:pStyle w:val="Headerorfooter20"/>
                      <w:tabs>
                        <w:tab w:val="right" w:pos="445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Spis.zn. 02/334/082000/3450/33/2020/Lud</w:t>
                    </w:r>
                    <w:r>
                      <w:rPr>
                        <w:sz w:val="17"/>
                        <w:szCs w:val="17"/>
                      </w:rPr>
                      <w:tab/>
                    </w:r>
                    <w:r>
                      <w:rPr>
                        <w:sz w:val="17"/>
                        <w:szCs w:val="17"/>
                        <w:lang w:val="en-US" w:eastAsia="en-US" w:bidi="en-US"/>
                      </w:rPr>
                      <w:t xml:space="preserve">str. </w:t>
                    </w:r>
                    <w:r>
                      <w:rPr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sz w:val="17"/>
                        <w:szCs w:val="17"/>
                      </w:rPr>
                      <w:fldChar w:fldCharType="separate"/>
                    </w:r>
                    <w:r w:rsidR="00353467">
                      <w:rPr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1DF7"/>
    <w:multiLevelType w:val="multilevel"/>
    <w:tmpl w:val="7BF045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166A80"/>
    <w:multiLevelType w:val="multilevel"/>
    <w:tmpl w:val="15DC13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2E2C5D"/>
    <w:multiLevelType w:val="multilevel"/>
    <w:tmpl w:val="391E8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77"/>
    <w:rsid w:val="00250371"/>
    <w:rsid w:val="00353467"/>
    <w:rsid w:val="00497AFE"/>
    <w:rsid w:val="00675242"/>
    <w:rsid w:val="00683A82"/>
    <w:rsid w:val="00714665"/>
    <w:rsid w:val="00757A21"/>
    <w:rsid w:val="00802177"/>
    <w:rsid w:val="009566F1"/>
    <w:rsid w:val="00B20426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6FFB7-FCD7-417D-82B2-CBE3874C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17"/>
      <w:szCs w:val="17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spacing w:after="90" w:line="257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120"/>
      <w:jc w:val="right"/>
    </w:pPr>
    <w:rPr>
      <w:rFonts w:ascii="Arial" w:eastAsia="Arial" w:hAnsi="Arial" w:cs="Arial"/>
      <w:w w:val="70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100"/>
      <w:ind w:firstLine="20"/>
    </w:pPr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/>
      <w:ind w:firstLine="20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100"/>
      <w:jc w:val="center"/>
      <w:outlineLvl w:val="0"/>
    </w:pPr>
    <w:rPr>
      <w:b/>
      <w:bCs/>
      <w:sz w:val="26"/>
      <w:szCs w:val="2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80"/>
      <w:ind w:firstLine="380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2021-03-23T08:53:00Z</dcterms:created>
  <dcterms:modified xsi:type="dcterms:W3CDTF">2021-03-23T08:53:00Z</dcterms:modified>
</cp:coreProperties>
</file>