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4"/>
      </w:tblGrid>
      <w:tr>
        <w:trPr>
          <w:trHeight w:val="340" w:hRule="atLeast"/>
        </w:trPr>
        <w:tc>
          <w:tcPr>
            <w:tcW w:w="10244" w:type="dxa"/>
          </w:tcPr>
          <w:p>
            <w:pPr>
              <w:pStyle w:val="TableParagraph"/>
              <w:spacing w:line="259" w:lineRule="exact"/>
              <w:ind w:left="209"/>
              <w:rPr>
                <w:b/>
                <w:sz w:val="23"/>
              </w:rPr>
            </w:pPr>
            <w:r>
              <w:rPr>
                <w:b/>
                <w:sz w:val="23"/>
              </w:rPr>
              <w:t>KRYCÍ LIST SOUPISU PRACÍ</w:t>
            </w:r>
          </w:p>
        </w:tc>
      </w:tr>
      <w:tr>
        <w:trPr>
          <w:trHeight w:val="276" w:hRule="atLeast"/>
        </w:trPr>
        <w:tc>
          <w:tcPr>
            <w:tcW w:w="10244" w:type="dxa"/>
          </w:tcPr>
          <w:p>
            <w:pPr>
              <w:pStyle w:val="TableParagraph"/>
              <w:spacing w:line="188" w:lineRule="exact" w:before="68"/>
              <w:ind w:left="200"/>
              <w:rPr>
                <w:sz w:val="17"/>
              </w:rPr>
            </w:pPr>
            <w:r>
              <w:rPr>
                <w:sz w:val="17"/>
              </w:rPr>
              <w:t>Stavba:</w:t>
            </w:r>
          </w:p>
        </w:tc>
      </w:tr>
      <w:tr>
        <w:trPr>
          <w:trHeight w:val="216" w:hRule="atLeast"/>
        </w:trPr>
        <w:tc>
          <w:tcPr>
            <w:tcW w:w="10244" w:type="dxa"/>
          </w:tcPr>
          <w:p>
            <w:pPr>
              <w:pStyle w:val="TableParagraph"/>
              <w:ind w:left="521"/>
              <w:rPr>
                <w:sz w:val="17"/>
              </w:rPr>
            </w:pPr>
            <w:r>
              <w:rPr>
                <w:sz w:val="17"/>
              </w:rPr>
              <w:t>Střední škola gastronomie a obchodu Zlín-výměna výplní otvorů</w:t>
            </w:r>
          </w:p>
        </w:tc>
      </w:tr>
      <w:tr>
        <w:trPr>
          <w:trHeight w:val="216" w:hRule="atLeast"/>
        </w:trPr>
        <w:tc>
          <w:tcPr>
            <w:tcW w:w="10244" w:type="dxa"/>
          </w:tcPr>
          <w:p>
            <w:pPr>
              <w:pStyle w:val="TableParagraph"/>
              <w:spacing w:line="188" w:lineRule="exact" w:before="8"/>
              <w:ind w:left="200"/>
              <w:rPr>
                <w:sz w:val="17"/>
              </w:rPr>
            </w:pPr>
            <w:r>
              <w:rPr>
                <w:sz w:val="17"/>
              </w:rPr>
              <w:t>Objekt:</w:t>
            </w:r>
          </w:p>
        </w:tc>
      </w:tr>
      <w:tr>
        <w:trPr>
          <w:trHeight w:val="216" w:hRule="atLeast"/>
        </w:trPr>
        <w:tc>
          <w:tcPr>
            <w:tcW w:w="10244" w:type="dxa"/>
          </w:tcPr>
          <w:p>
            <w:pPr>
              <w:pStyle w:val="TableParagraph"/>
              <w:spacing w:before="1"/>
              <w:ind w:left="521"/>
              <w:rPr>
                <w:sz w:val="17"/>
              </w:rPr>
            </w:pPr>
            <w:r>
              <w:rPr>
                <w:sz w:val="17"/>
              </w:rPr>
              <w:t>2020/18-3 - Střední škola gastronomie a obchodu Zlín-výměna výplní otvorů-II.etapa (1. a 2.np+objekt přístavby)</w:t>
            </w:r>
          </w:p>
        </w:tc>
      </w:tr>
      <w:tr>
        <w:trPr>
          <w:trHeight w:val="264" w:hRule="atLeast"/>
        </w:trPr>
        <w:tc>
          <w:tcPr>
            <w:tcW w:w="10244" w:type="dxa"/>
          </w:tcPr>
          <w:p>
            <w:pPr>
              <w:pStyle w:val="TableParagraph"/>
              <w:spacing w:before="8"/>
              <w:ind w:left="200"/>
              <w:rPr>
                <w:sz w:val="17"/>
              </w:rPr>
            </w:pPr>
            <w:r>
              <w:rPr>
                <w:sz w:val="17"/>
              </w:rPr>
              <w:t>Soupis:</w:t>
            </w:r>
          </w:p>
        </w:tc>
      </w:tr>
      <w:tr>
        <w:trPr>
          <w:trHeight w:val="265" w:hRule="atLeast"/>
        </w:trPr>
        <w:tc>
          <w:tcPr>
            <w:tcW w:w="10244" w:type="dxa"/>
          </w:tcPr>
          <w:p>
            <w:pPr>
              <w:pStyle w:val="TableParagraph"/>
              <w:spacing w:line="191" w:lineRule="exact" w:before="55"/>
              <w:ind w:left="5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2020/18-3-1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D.1.1-Architektonicko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stavební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řešení-výměna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výplní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otvorů-II.etapa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(1.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2.np+objekt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přístavby)</w:t>
            </w:r>
          </w:p>
        </w:tc>
      </w:tr>
    </w:tbl>
    <w:p>
      <w:pPr>
        <w:pStyle w:val="BodyText"/>
        <w:spacing w:before="9"/>
        <w:rPr>
          <w:rFonts w:ascii="Times New Roman"/>
          <w:sz w:val="16"/>
        </w:rPr>
      </w:pPr>
      <w:r>
        <w:rPr/>
        <w:pict>
          <v:group style="position:absolute;margin-left:44.293999pt;margin-top:521.606018pt;width:678.95pt;height:19.4pt;mso-position-horizontal-relative:page;mso-position-vertical-relative:page;z-index:-268381184" coordorigin="886,10432" coordsize="13579,388">
            <v:line style="position:absolute" from="887,10434" to="887,10818" stroked="true" strokeweight=".140pt" strokecolor="#000000">
              <v:stroke dashstyle="solid"/>
            </v:line>
            <v:line style="position:absolute" from="887,10432" to="887,10819" stroked="true" strokeweight=".12pt" strokecolor="#000000">
              <v:stroke dashstyle="solid"/>
            </v:line>
            <v:line style="position:absolute" from="890,10434" to="14464,10434" stroked="true" strokeweight=".140pt" strokecolor="#000000">
              <v:stroke dashstyle="solid"/>
            </v:line>
            <v:line style="position:absolute" from="888,10434" to="14465,10434" stroked="true" strokeweight=".12pt" strokecolor="#000000">
              <v:stroke dashstyle="solid"/>
            </v:line>
            <v:line style="position:absolute" from="890,10818" to="14464,10818" stroked="true" strokeweight=".140pt" strokecolor="#000000">
              <v:stroke dashstyle="solid"/>
            </v:line>
            <v:line style="position:absolute" from="888,10818" to="14465,10818" stroked="true" strokeweight=".12pt" strokecolor="#000000">
              <v:stroke dashstyle="solid"/>
            </v:line>
            <v:shape style="position:absolute;left:924;top:10516;width:1164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Cena s DPH</w:t>
                    </w:r>
                  </w:p>
                </w:txbxContent>
              </v:textbox>
              <w10:wrap type="none"/>
            </v:shape>
            <v:shape style="position:absolute;left:13242;top:10516;width:120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6 782 713,75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93"/>
        <w:ind w:left="2220"/>
      </w:pPr>
      <w:r>
        <w:rPr/>
        <w:pict>
          <v:shape style="position:absolute;margin-left:35.984001pt;margin-top:5.018606pt;width:42.6pt;height:18.5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2"/>
                  </w:tblGrid>
                  <w:tr>
                    <w:trPr>
                      <w:trHeight w:val="185" w:hRule="atLeast"/>
                    </w:trPr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KSO: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Místo: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460022pt;margin-top:5.018606pt;width:116.25pt;height:18.5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2"/>
                    <w:gridCol w:w="1262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CC-CZ: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31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2. 4. 2020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801 34</w:t>
      </w:r>
    </w:p>
    <w:p>
      <w:pPr>
        <w:pStyle w:val="BodyText"/>
        <w:spacing w:before="8" w:after="1"/>
        <w:rPr>
          <w:sz w:val="29"/>
        </w:r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2"/>
        <w:gridCol w:w="4787"/>
        <w:gridCol w:w="1446"/>
      </w:tblGrid>
      <w:tr>
        <w:trPr>
          <w:trHeight w:val="488" w:hRule="atLeast"/>
        </w:trPr>
        <w:tc>
          <w:tcPr>
            <w:tcW w:w="6752" w:type="dxa"/>
          </w:tcPr>
          <w:p>
            <w:pPr>
              <w:pStyle w:val="TableParagraph"/>
              <w:spacing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Zadavatel:</w:t>
            </w:r>
          </w:p>
          <w:p>
            <w:pPr>
              <w:pStyle w:val="TableParagraph"/>
              <w:spacing w:before="32"/>
              <w:ind w:left="371"/>
              <w:rPr>
                <w:sz w:val="17"/>
              </w:rPr>
            </w:pPr>
            <w:r>
              <w:rPr>
                <w:sz w:val="17"/>
              </w:rPr>
              <w:t>SŠ gastronomie a obchodu Zlín</w:t>
            </w:r>
          </w:p>
        </w:tc>
        <w:tc>
          <w:tcPr>
            <w:tcW w:w="4787" w:type="dxa"/>
          </w:tcPr>
          <w:p>
            <w:pPr>
              <w:pStyle w:val="TableParagraph"/>
              <w:spacing w:line="280" w:lineRule="auto"/>
              <w:ind w:left="4027" w:right="417"/>
              <w:rPr>
                <w:sz w:val="17"/>
              </w:rPr>
            </w:pPr>
            <w:r>
              <w:rPr>
                <w:sz w:val="17"/>
              </w:rPr>
              <w:t>IČ: </w:t>
            </w:r>
            <w:r>
              <w:rPr>
                <w:w w:val="95"/>
                <w:sz w:val="17"/>
              </w:rPr>
              <w:t>DIČ:</w:t>
            </w: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6752" w:type="dxa"/>
          </w:tcPr>
          <w:p>
            <w:pPr>
              <w:pStyle w:val="TableParagraph"/>
              <w:spacing w:line="190" w:lineRule="exact" w:before="66"/>
              <w:ind w:left="50"/>
              <w:rPr>
                <w:sz w:val="17"/>
              </w:rPr>
            </w:pPr>
            <w:r>
              <w:rPr>
                <w:sz w:val="17"/>
              </w:rPr>
              <w:t>Uchazeč:</w:t>
            </w:r>
          </w:p>
        </w:tc>
        <w:tc>
          <w:tcPr>
            <w:tcW w:w="4787" w:type="dxa"/>
          </w:tcPr>
          <w:p>
            <w:pPr>
              <w:pStyle w:val="TableParagraph"/>
              <w:spacing w:line="190" w:lineRule="exact" w:before="66"/>
              <w:ind w:left="4027"/>
              <w:rPr>
                <w:sz w:val="17"/>
              </w:rPr>
            </w:pPr>
            <w:r>
              <w:rPr>
                <w:sz w:val="17"/>
              </w:rPr>
              <w:t>IČ:</w:t>
            </w:r>
          </w:p>
        </w:tc>
        <w:tc>
          <w:tcPr>
            <w:tcW w:w="1446" w:type="dxa"/>
          </w:tcPr>
          <w:p>
            <w:pPr>
              <w:pStyle w:val="TableParagraph"/>
              <w:spacing w:line="190" w:lineRule="exact" w:before="66"/>
              <w:ind w:left="421"/>
              <w:rPr>
                <w:sz w:val="17"/>
              </w:rPr>
            </w:pPr>
            <w:r>
              <w:rPr>
                <w:sz w:val="17"/>
              </w:rPr>
              <w:t>05963877</w:t>
            </w:r>
          </w:p>
        </w:tc>
      </w:tr>
      <w:tr>
        <w:trPr>
          <w:trHeight w:val="285" w:hRule="atLeast"/>
        </w:trPr>
        <w:tc>
          <w:tcPr>
            <w:tcW w:w="6752" w:type="dxa"/>
          </w:tcPr>
          <w:p>
            <w:pPr>
              <w:pStyle w:val="TableParagraph"/>
              <w:spacing w:before="8"/>
              <w:ind w:left="371"/>
              <w:rPr>
                <w:sz w:val="17"/>
              </w:rPr>
            </w:pPr>
            <w:r>
              <w:rPr>
                <w:sz w:val="17"/>
              </w:rPr>
              <w:t>REPAVIA STAV s.r.o.</w:t>
            </w:r>
          </w:p>
        </w:tc>
        <w:tc>
          <w:tcPr>
            <w:tcW w:w="4787" w:type="dxa"/>
          </w:tcPr>
          <w:p>
            <w:pPr>
              <w:pStyle w:val="TableParagraph"/>
              <w:spacing w:before="17"/>
              <w:ind w:left="4027"/>
              <w:rPr>
                <w:sz w:val="17"/>
              </w:rPr>
            </w:pPr>
            <w:r>
              <w:rPr>
                <w:sz w:val="17"/>
              </w:rPr>
              <w:t>DIČ:</w:t>
            </w:r>
          </w:p>
        </w:tc>
        <w:tc>
          <w:tcPr>
            <w:tcW w:w="1446" w:type="dxa"/>
          </w:tcPr>
          <w:p>
            <w:pPr>
              <w:pStyle w:val="TableParagraph"/>
              <w:spacing w:before="17"/>
              <w:ind w:left="421"/>
              <w:rPr>
                <w:sz w:val="17"/>
              </w:rPr>
            </w:pPr>
            <w:r>
              <w:rPr>
                <w:sz w:val="17"/>
              </w:rPr>
              <w:t>CZ05963877</w:t>
            </w:r>
          </w:p>
        </w:tc>
      </w:tr>
      <w:tr>
        <w:trPr>
          <w:trHeight w:val="280" w:hRule="atLeast"/>
        </w:trPr>
        <w:tc>
          <w:tcPr>
            <w:tcW w:w="6752" w:type="dxa"/>
          </w:tcPr>
          <w:p>
            <w:pPr>
              <w:pStyle w:val="TableParagraph"/>
              <w:spacing w:line="195" w:lineRule="exact" w:before="65"/>
              <w:ind w:left="50"/>
              <w:rPr>
                <w:sz w:val="17"/>
              </w:rPr>
            </w:pPr>
            <w:r>
              <w:rPr>
                <w:sz w:val="17"/>
              </w:rPr>
              <w:t>Projektant:</w:t>
            </w:r>
          </w:p>
        </w:tc>
        <w:tc>
          <w:tcPr>
            <w:tcW w:w="4787" w:type="dxa"/>
          </w:tcPr>
          <w:p>
            <w:pPr>
              <w:pStyle w:val="TableParagraph"/>
              <w:spacing w:line="195" w:lineRule="exact" w:before="65"/>
              <w:ind w:left="4027"/>
              <w:rPr>
                <w:sz w:val="17"/>
              </w:rPr>
            </w:pPr>
            <w:r>
              <w:rPr>
                <w:sz w:val="17"/>
              </w:rPr>
              <w:t>IČ:</w:t>
            </w:r>
          </w:p>
        </w:tc>
        <w:tc>
          <w:tcPr>
            <w:tcW w:w="1446" w:type="dxa"/>
          </w:tcPr>
          <w:p>
            <w:pPr>
              <w:pStyle w:val="TableParagraph"/>
              <w:spacing w:line="195" w:lineRule="exact" w:before="65"/>
              <w:ind w:left="421"/>
              <w:rPr>
                <w:sz w:val="17"/>
              </w:rPr>
            </w:pPr>
            <w:r>
              <w:rPr>
                <w:sz w:val="17"/>
              </w:rPr>
              <w:t>25507893</w:t>
            </w:r>
          </w:p>
        </w:tc>
      </w:tr>
      <w:tr>
        <w:trPr>
          <w:trHeight w:val="280" w:hRule="atLeast"/>
        </w:trPr>
        <w:tc>
          <w:tcPr>
            <w:tcW w:w="6752" w:type="dxa"/>
          </w:tcPr>
          <w:p>
            <w:pPr>
              <w:pStyle w:val="TableParagraph"/>
              <w:spacing w:before="12"/>
              <w:ind w:left="371"/>
              <w:rPr>
                <w:sz w:val="17"/>
              </w:rPr>
            </w:pPr>
            <w:r>
              <w:rPr>
                <w:sz w:val="17"/>
              </w:rPr>
              <w:t>KB projekt, s.r.o.</w:t>
            </w:r>
          </w:p>
        </w:tc>
        <w:tc>
          <w:tcPr>
            <w:tcW w:w="4787" w:type="dxa"/>
          </w:tcPr>
          <w:p>
            <w:pPr>
              <w:pStyle w:val="TableParagraph"/>
              <w:spacing w:before="12"/>
              <w:ind w:left="4027"/>
              <w:rPr>
                <w:sz w:val="17"/>
              </w:rPr>
            </w:pPr>
            <w:r>
              <w:rPr>
                <w:sz w:val="17"/>
              </w:rPr>
              <w:t>DIČ:</w:t>
            </w:r>
          </w:p>
        </w:tc>
        <w:tc>
          <w:tcPr>
            <w:tcW w:w="1446" w:type="dxa"/>
          </w:tcPr>
          <w:p>
            <w:pPr>
              <w:pStyle w:val="TableParagraph"/>
              <w:spacing w:before="12"/>
              <w:ind w:left="421"/>
              <w:rPr>
                <w:sz w:val="17"/>
              </w:rPr>
            </w:pPr>
            <w:r>
              <w:rPr>
                <w:sz w:val="17"/>
              </w:rPr>
              <w:t>CZ25507893</w:t>
            </w:r>
          </w:p>
        </w:tc>
      </w:tr>
      <w:tr>
        <w:trPr>
          <w:trHeight w:val="280" w:hRule="atLeast"/>
        </w:trPr>
        <w:tc>
          <w:tcPr>
            <w:tcW w:w="6752" w:type="dxa"/>
          </w:tcPr>
          <w:p>
            <w:pPr>
              <w:pStyle w:val="TableParagraph"/>
              <w:spacing w:line="195" w:lineRule="exact" w:before="65"/>
              <w:ind w:left="50"/>
              <w:rPr>
                <w:sz w:val="17"/>
              </w:rPr>
            </w:pPr>
            <w:r>
              <w:rPr>
                <w:sz w:val="17"/>
              </w:rPr>
              <w:t>Zpracovatel:</w:t>
            </w:r>
          </w:p>
        </w:tc>
        <w:tc>
          <w:tcPr>
            <w:tcW w:w="4787" w:type="dxa"/>
          </w:tcPr>
          <w:p>
            <w:pPr>
              <w:pStyle w:val="TableParagraph"/>
              <w:spacing w:line="195" w:lineRule="exact" w:before="65"/>
              <w:ind w:left="4027"/>
              <w:rPr>
                <w:sz w:val="17"/>
              </w:rPr>
            </w:pPr>
            <w:r>
              <w:rPr>
                <w:sz w:val="17"/>
              </w:rPr>
              <w:t>IČ:</w:t>
            </w: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6752" w:type="dxa"/>
          </w:tcPr>
          <w:p>
            <w:pPr>
              <w:pStyle w:val="TableParagraph"/>
              <w:spacing w:line="175" w:lineRule="exact" w:before="12"/>
              <w:ind w:left="371"/>
              <w:rPr>
                <w:sz w:val="17"/>
              </w:rPr>
            </w:pPr>
            <w:r>
              <w:rPr>
                <w:sz w:val="17"/>
              </w:rPr>
              <w:t>Ing.A.Hejmalová</w:t>
            </w:r>
          </w:p>
        </w:tc>
        <w:tc>
          <w:tcPr>
            <w:tcW w:w="4787" w:type="dxa"/>
          </w:tcPr>
          <w:p>
            <w:pPr>
              <w:pStyle w:val="TableParagraph"/>
              <w:spacing w:line="175" w:lineRule="exact" w:before="12"/>
              <w:ind w:left="4027"/>
              <w:rPr>
                <w:sz w:val="17"/>
              </w:rPr>
            </w:pPr>
            <w:r>
              <w:rPr>
                <w:sz w:val="17"/>
              </w:rPr>
              <w:t>DIČ:</w:t>
            </w: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38"/>
        <w:ind w:left="619"/>
      </w:pPr>
      <w:r>
        <w:rPr/>
        <w:t>Poznámka: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56" w:lineRule="auto"/>
        <w:ind w:left="941" w:right="4656"/>
      </w:pPr>
      <w:r>
        <w:rPr/>
        <w:t>Nedílnou</w:t>
      </w:r>
      <w:r>
        <w:rPr>
          <w:spacing w:val="-12"/>
        </w:rPr>
        <w:t> </w:t>
      </w:r>
      <w:r>
        <w:rPr/>
        <w:t>součástí</w:t>
      </w:r>
      <w:r>
        <w:rPr>
          <w:spacing w:val="-12"/>
        </w:rPr>
        <w:t> </w:t>
      </w:r>
      <w:r>
        <w:rPr/>
        <w:t>výkazu</w:t>
      </w:r>
      <w:r>
        <w:rPr>
          <w:spacing w:val="-11"/>
        </w:rPr>
        <w:t> </w:t>
      </w:r>
      <w:r>
        <w:rPr/>
        <w:t>výměr</w:t>
      </w:r>
      <w:r>
        <w:rPr>
          <w:spacing w:val="-12"/>
        </w:rPr>
        <w:t> </w:t>
      </w:r>
      <w:r>
        <w:rPr/>
        <w:t>je</w:t>
      </w:r>
      <w:r>
        <w:rPr>
          <w:spacing w:val="-11"/>
        </w:rPr>
        <w:t> </w:t>
      </w:r>
      <w:r>
        <w:rPr/>
        <w:t>projektová</w:t>
      </w:r>
      <w:r>
        <w:rPr>
          <w:spacing w:val="-11"/>
        </w:rPr>
        <w:t> </w:t>
      </w:r>
      <w:r>
        <w:rPr/>
        <w:t>dokumentace</w:t>
      </w:r>
      <w:r>
        <w:rPr>
          <w:spacing w:val="-12"/>
        </w:rPr>
        <w:t> </w:t>
      </w:r>
      <w:r>
        <w:rPr/>
        <w:t>zpracovaná</w:t>
      </w:r>
      <w:r>
        <w:rPr>
          <w:spacing w:val="-11"/>
        </w:rPr>
        <w:t> </w:t>
      </w:r>
      <w:r>
        <w:rPr/>
        <w:t>firmou</w:t>
      </w:r>
      <w:r>
        <w:rPr>
          <w:spacing w:val="-11"/>
        </w:rPr>
        <w:t> </w:t>
      </w:r>
      <w:r>
        <w:rPr/>
        <w:t>KB</w:t>
      </w:r>
      <w:r>
        <w:rPr>
          <w:spacing w:val="-11"/>
        </w:rPr>
        <w:t> </w:t>
      </w:r>
      <w:r>
        <w:rPr/>
        <w:t>projekt</w:t>
      </w:r>
      <w:r>
        <w:rPr>
          <w:spacing w:val="-12"/>
        </w:rPr>
        <w:t> </w:t>
      </w:r>
      <w:r>
        <w:rPr/>
        <w:t>s.r.o.</w:t>
      </w:r>
      <w:r>
        <w:rPr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dubnu</w:t>
      </w:r>
      <w:r>
        <w:rPr>
          <w:spacing w:val="-11"/>
        </w:rPr>
        <w:t> </w:t>
      </w:r>
      <w:r>
        <w:rPr/>
        <w:t>2020.</w:t>
      </w:r>
      <w:r>
        <w:rPr>
          <w:spacing w:val="-12"/>
        </w:rPr>
        <w:t> </w:t>
      </w:r>
      <w:r>
        <w:rPr/>
        <w:t>Pro</w:t>
      </w:r>
      <w:r>
        <w:rPr>
          <w:spacing w:val="-11"/>
        </w:rPr>
        <w:t> </w:t>
      </w:r>
      <w:r>
        <w:rPr/>
        <w:t>sestavení</w:t>
      </w:r>
      <w:r>
        <w:rPr>
          <w:spacing w:val="-12"/>
        </w:rPr>
        <w:t> </w:t>
      </w:r>
      <w:r>
        <w:rPr/>
        <w:t>SOUPISU PRACÍ v podrobnostech vymezených vyhláškou č. 169/2016 Sb. byla použita cenová soustava URS, která obsahuje veškeré údaje nezbytné pro soupis prací. UCHAZEČ O VEŘEJNOU ZAKÁZKU JE POVINEN PŘI OCEŇOVÁNÍ SOUTĚŽNÍHO SOUPISU STAVEBNÍCH PRACÍ, DODÁVEK A SLUŽEB S VÝKAZEM VÝMĚR PROVÉST KONTROLU FUNKCE ARITMETICKÝCH VZORCŮ JEDNOTLIVÝCH SOUPISŮ VE VAZBĚ NA JEDNOTLIVÉ ODDÍLY, REKAPITULACE A KRYCÍ LIST.</w:t>
      </w:r>
      <w:r>
        <w:rPr>
          <w:spacing w:val="-4"/>
        </w:rPr>
        <w:t> </w:t>
      </w:r>
      <w:r>
        <w:rPr/>
        <w:t>Technické a materiálové</w:t>
      </w:r>
    </w:p>
    <w:p>
      <w:pPr>
        <w:pStyle w:val="BodyText"/>
        <w:spacing w:line="256" w:lineRule="auto"/>
        <w:ind w:left="941" w:right="4656"/>
      </w:pPr>
      <w:r>
        <w:rPr/>
        <w:t>specifikace</w:t>
      </w:r>
      <w:r>
        <w:rPr>
          <w:spacing w:val="-13"/>
        </w:rPr>
        <w:t> </w:t>
      </w:r>
      <w:r>
        <w:rPr/>
        <w:t>jednotlivých</w:t>
      </w:r>
      <w:r>
        <w:rPr>
          <w:spacing w:val="-12"/>
        </w:rPr>
        <w:t> </w:t>
      </w:r>
      <w:r>
        <w:rPr/>
        <w:t>navržených</w:t>
      </w:r>
      <w:r>
        <w:rPr>
          <w:spacing w:val="-12"/>
        </w:rPr>
        <w:t> </w:t>
      </w:r>
      <w:r>
        <w:rPr/>
        <w:t>materiálů,</w:t>
      </w:r>
      <w:r>
        <w:rPr>
          <w:spacing w:val="-13"/>
        </w:rPr>
        <w:t> </w:t>
      </w:r>
      <w:r>
        <w:rPr/>
        <w:t>prvků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výrobků</w:t>
      </w:r>
      <w:r>
        <w:rPr>
          <w:spacing w:val="-12"/>
        </w:rPr>
        <w:t> </w:t>
      </w:r>
      <w:r>
        <w:rPr/>
        <w:t>jsou</w:t>
      </w:r>
      <w:r>
        <w:rPr>
          <w:spacing w:val="-12"/>
        </w:rPr>
        <w:t> </w:t>
      </w:r>
      <w:r>
        <w:rPr/>
        <w:t>uvedeny</w:t>
      </w:r>
      <w:r>
        <w:rPr>
          <w:spacing w:val="-16"/>
        </w:rPr>
        <w:t> </w:t>
      </w:r>
      <w:r>
        <w:rPr/>
        <w:t>v</w:t>
      </w:r>
      <w:r>
        <w:rPr>
          <w:spacing w:val="-12"/>
        </w:rPr>
        <w:t> </w:t>
      </w:r>
      <w:r>
        <w:rPr/>
        <w:t>samostatných</w:t>
      </w:r>
      <w:r>
        <w:rPr>
          <w:spacing w:val="-13"/>
        </w:rPr>
        <w:t> </w:t>
      </w:r>
      <w:r>
        <w:rPr/>
        <w:t>částech</w:t>
      </w:r>
      <w:r>
        <w:rPr>
          <w:spacing w:val="-12"/>
        </w:rPr>
        <w:t> </w:t>
      </w:r>
      <w:r>
        <w:rPr/>
        <w:t>této</w:t>
      </w:r>
      <w:r>
        <w:rPr>
          <w:spacing w:val="-12"/>
        </w:rPr>
        <w:t> </w:t>
      </w:r>
      <w:r>
        <w:rPr/>
        <w:t>projektové</w:t>
      </w:r>
      <w:r>
        <w:rPr>
          <w:spacing w:val="-12"/>
        </w:rPr>
        <w:t> </w:t>
      </w:r>
      <w:r>
        <w:rPr/>
        <w:t>dokumentace</w:t>
      </w:r>
      <w:r>
        <w:rPr>
          <w:spacing w:val="-12"/>
        </w:rPr>
        <w:t> </w:t>
      </w:r>
      <w:r>
        <w:rPr/>
        <w:t>jako</w:t>
      </w:r>
      <w:r>
        <w:rPr>
          <w:spacing w:val="-13"/>
        </w:rPr>
        <w:t> </w:t>
      </w:r>
      <w:r>
        <w:rPr/>
        <w:t>je VÝKRESOVÁ ČÁST, VÝPIS PRVKŮ PSV, SKLADBY KONSTRUKCÍ A TECHNICKÁ</w:t>
      </w:r>
      <w:r>
        <w:rPr>
          <w:spacing w:val="-30"/>
        </w:rPr>
        <w:t> </w:t>
      </w:r>
      <w:r>
        <w:rPr/>
        <w:t>ZPRÁVA.</w:t>
      </w:r>
    </w:p>
    <w:p>
      <w:pPr>
        <w:pStyle w:val="BodyText"/>
        <w:spacing w:line="256" w:lineRule="auto"/>
        <w:ind w:left="941" w:right="4656"/>
      </w:pPr>
      <w:r>
        <w:rPr/>
        <w:t>Na základě těchto podkladů bude provedeno ocenění výše uvedených prací, dodávek a služeb. U veškerých dodávek budou v ceně zahrnuty náklady na doplňkový kotevní a spojovací materiál, zhotovení případné výrobní dokumentace nebo pořízení fyzických vzorků materiálů a vzorníků barev. Kde není výslovně uvedeno, bude pracovní postup a technologie provádění stanovena oprávněnou osobou zhotovitele.</w:t>
      </w:r>
      <w:r>
        <w:rPr>
          <w:spacing w:val="-11"/>
        </w:rPr>
        <w:t> </w:t>
      </w:r>
      <w:r>
        <w:rPr/>
        <w:t>Dále</w:t>
      </w:r>
      <w:r>
        <w:rPr>
          <w:spacing w:val="-10"/>
        </w:rPr>
        <w:t> </w:t>
      </w:r>
      <w:r>
        <w:rPr/>
        <w:t>je</w:t>
      </w:r>
      <w:r>
        <w:rPr>
          <w:spacing w:val="-10"/>
        </w:rPr>
        <w:t> </w:t>
      </w:r>
      <w:r>
        <w:rPr/>
        <w:t>potřeba</w:t>
      </w:r>
      <w:r>
        <w:rPr>
          <w:spacing w:val="-10"/>
        </w:rPr>
        <w:t> </w:t>
      </w:r>
      <w:r>
        <w:rPr/>
        <w:t>při</w:t>
      </w:r>
      <w:r>
        <w:rPr>
          <w:spacing w:val="-9"/>
        </w:rPr>
        <w:t> </w:t>
      </w:r>
      <w:r>
        <w:rPr/>
        <w:t>stanovení</w:t>
      </w:r>
      <w:r>
        <w:rPr>
          <w:spacing w:val="-10"/>
        </w:rPr>
        <w:t> </w:t>
      </w:r>
      <w:r>
        <w:rPr/>
        <w:t>ceny</w:t>
      </w:r>
      <w:r>
        <w:rPr>
          <w:spacing w:val="-14"/>
        </w:rPr>
        <w:t> </w:t>
      </w:r>
      <w:r>
        <w:rPr/>
        <w:t>dle</w:t>
      </w:r>
      <w:r>
        <w:rPr>
          <w:spacing w:val="-10"/>
        </w:rPr>
        <w:t> </w:t>
      </w:r>
      <w:r>
        <w:rPr/>
        <w:t>vykázané</w:t>
      </w:r>
      <w:r>
        <w:rPr>
          <w:spacing w:val="-10"/>
        </w:rPr>
        <w:t> </w:t>
      </w:r>
      <w:r>
        <w:rPr/>
        <w:t>výměry</w:t>
      </w:r>
      <w:r>
        <w:rPr>
          <w:spacing w:val="-14"/>
        </w:rPr>
        <w:t> </w:t>
      </w:r>
      <w:r>
        <w:rPr/>
        <w:t>započítat</w:t>
      </w:r>
      <w:r>
        <w:rPr>
          <w:spacing w:val="-10"/>
        </w:rPr>
        <w:t> </w:t>
      </w:r>
      <w:r>
        <w:rPr/>
        <w:t>všechny</w:t>
      </w:r>
      <w:r>
        <w:rPr>
          <w:spacing w:val="-14"/>
        </w:rPr>
        <w:t> </w:t>
      </w:r>
      <w:r>
        <w:rPr/>
        <w:t>předpokládané</w:t>
      </w:r>
      <w:r>
        <w:rPr>
          <w:spacing w:val="-10"/>
        </w:rPr>
        <w:t> </w:t>
      </w:r>
      <w:r>
        <w:rPr/>
        <w:t>doplňkové</w:t>
      </w:r>
      <w:r>
        <w:rPr>
          <w:spacing w:val="-10"/>
        </w:rPr>
        <w:t> </w:t>
      </w:r>
      <w:r>
        <w:rPr/>
        <w:t>prvky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činnosti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touto položkou související tak, aby cena byla kompletní a prvek funkční. TYTO PŘÍLOHY JSOU NEDÍLNOU SOUČÁSTÍ SOUTĚŽNÍHO SOUPISU</w:t>
      </w:r>
      <w:r>
        <w:rPr>
          <w:spacing w:val="-10"/>
        </w:rPr>
        <w:t> </w:t>
      </w:r>
      <w:r>
        <w:rPr/>
        <w:t>STAVEBNÍCH</w:t>
      </w:r>
      <w:r>
        <w:rPr>
          <w:spacing w:val="-10"/>
        </w:rPr>
        <w:t> </w:t>
      </w:r>
      <w:r>
        <w:rPr/>
        <w:t>PRACÍ,</w:t>
      </w:r>
      <w:r>
        <w:rPr>
          <w:spacing w:val="-11"/>
        </w:rPr>
        <w:t> </w:t>
      </w:r>
      <w:r>
        <w:rPr/>
        <w:t>DODÁVEK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SLUŽEB</w:t>
      </w:r>
      <w:r>
        <w:rPr>
          <w:spacing w:val="-10"/>
        </w:rPr>
        <w:t> </w:t>
      </w:r>
      <w:r>
        <w:rPr/>
        <w:t>S</w:t>
      </w:r>
      <w:r>
        <w:rPr>
          <w:spacing w:val="-11"/>
        </w:rPr>
        <w:t> </w:t>
      </w:r>
      <w:r>
        <w:rPr/>
        <w:t>VÝKAZEM</w:t>
      </w:r>
      <w:r>
        <w:rPr>
          <w:spacing w:val="-13"/>
        </w:rPr>
        <w:t> </w:t>
      </w:r>
      <w:r>
        <w:rPr/>
        <w:t>VÝMĚR.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všech</w:t>
      </w:r>
      <w:r>
        <w:rPr>
          <w:spacing w:val="-10"/>
        </w:rPr>
        <w:t> </w:t>
      </w:r>
      <w:r>
        <w:rPr/>
        <w:t>položkách</w:t>
      </w:r>
      <w:r>
        <w:rPr>
          <w:spacing w:val="-11"/>
        </w:rPr>
        <w:t> </w:t>
      </w:r>
      <w:r>
        <w:rPr/>
        <w:t>jsou</w:t>
      </w:r>
      <w:r>
        <w:rPr>
          <w:spacing w:val="-11"/>
        </w:rPr>
        <w:t> </w:t>
      </w:r>
      <w:r>
        <w:rPr/>
        <w:t>započítány</w:t>
      </w:r>
      <w:r>
        <w:rPr>
          <w:spacing w:val="-14"/>
        </w:rPr>
        <w:t> </w:t>
      </w:r>
      <w:r>
        <w:rPr/>
        <w:t>náklady</w:t>
      </w:r>
      <w:r>
        <w:rPr>
          <w:spacing w:val="-15"/>
        </w:rPr>
        <w:t> </w:t>
      </w:r>
      <w:r>
        <w:rPr/>
        <w:t>na</w:t>
      </w:r>
      <w:r>
        <w:rPr>
          <w:spacing w:val="-10"/>
        </w:rPr>
        <w:t> </w:t>
      </w:r>
      <w:r>
        <w:rPr/>
        <w:t>dopravu. Pokud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položky</w:t>
      </w:r>
      <w:r>
        <w:rPr>
          <w:spacing w:val="-14"/>
        </w:rPr>
        <w:t> </w:t>
      </w:r>
      <w:r>
        <w:rPr/>
        <w:t>soupisu</w:t>
      </w:r>
      <w:r>
        <w:rPr>
          <w:spacing w:val="-9"/>
        </w:rPr>
        <w:t> </w:t>
      </w:r>
      <w:r>
        <w:rPr/>
        <w:t>prací</w:t>
      </w:r>
      <w:r>
        <w:rPr>
          <w:spacing w:val="-11"/>
        </w:rPr>
        <w:t> </w:t>
      </w:r>
      <w:r>
        <w:rPr/>
        <w:t>uvedena</w:t>
      </w:r>
      <w:r>
        <w:rPr>
          <w:spacing w:val="-9"/>
        </w:rPr>
        <w:t> </w:t>
      </w:r>
      <w:r>
        <w:rPr/>
        <w:t>žádná</w:t>
      </w:r>
      <w:r>
        <w:rPr>
          <w:spacing w:val="-10"/>
        </w:rPr>
        <w:t> </w:t>
      </w:r>
      <w:r>
        <w:rPr/>
        <w:t>cenová</w:t>
      </w:r>
      <w:r>
        <w:rPr>
          <w:spacing w:val="-9"/>
        </w:rPr>
        <w:t> </w:t>
      </w:r>
      <w:r>
        <w:rPr/>
        <w:t>soustava,</w:t>
      </w:r>
      <w:r>
        <w:rPr>
          <w:spacing w:val="-10"/>
        </w:rPr>
        <w:t> </w:t>
      </w:r>
      <w:r>
        <w:rPr/>
        <w:t>položka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zatříděna</w:t>
      </w:r>
      <w:r>
        <w:rPr>
          <w:spacing w:val="-10"/>
        </w:rPr>
        <w:t> </w:t>
      </w:r>
      <w:r>
        <w:rPr/>
        <w:t>v</w:t>
      </w:r>
      <w:r>
        <w:rPr>
          <w:spacing w:val="-9"/>
        </w:rPr>
        <w:t> </w:t>
      </w:r>
      <w:r>
        <w:rPr/>
        <w:t>žádné</w:t>
      </w:r>
      <w:r>
        <w:rPr>
          <w:spacing w:val="-10"/>
        </w:rPr>
        <w:t> </w:t>
      </w:r>
      <w:r>
        <w:rPr/>
        <w:t>cenové</w:t>
      </w:r>
      <w:r>
        <w:rPr>
          <w:spacing w:val="-10"/>
        </w:rPr>
        <w:t> </w:t>
      </w:r>
      <w:r>
        <w:rPr/>
        <w:t>soustavě</w:t>
      </w:r>
      <w:r>
        <w:rPr>
          <w:spacing w:val="-9"/>
        </w:rPr>
        <w:t> </w:t>
      </w:r>
      <w:r>
        <w:rPr/>
        <w:t>(ÚRS</w:t>
      </w:r>
      <w:r>
        <w:rPr>
          <w:spacing w:val="-10"/>
        </w:rPr>
        <w:t> </w:t>
      </w:r>
      <w:r>
        <w:rPr/>
        <w:t>nebo</w:t>
      </w:r>
      <w:r>
        <w:rPr>
          <w:spacing w:val="-9"/>
        </w:rPr>
        <w:t> </w:t>
      </w:r>
      <w:r>
        <w:rPr/>
        <w:t>RTS).</w:t>
      </w:r>
    </w:p>
    <w:p>
      <w:pPr>
        <w:pStyle w:val="BodyText"/>
        <w:spacing w:before="8"/>
        <w:rPr>
          <w:sz w:val="20"/>
        </w:rPr>
      </w:pPr>
      <w:r>
        <w:rPr/>
        <w:pict>
          <v:group style="position:absolute;margin-left:44.304001pt;margin-top:13.87937pt;width:678.95pt;height:.15pt;mso-position-horizontal-relative:page;mso-position-vertical-relative:paragraph;z-index:-251658240;mso-wrap-distance-left:0;mso-wrap-distance-right:0" coordorigin="886,278" coordsize="13579,3">
            <v:line style="position:absolute" from="887,279" to="14464,279" stroked="true" strokeweight=".140pt" strokecolor="#000000">
              <v:stroke dashstyle="solid"/>
            </v:line>
            <v:line style="position:absolute" from="886,279" to="14465,279" stroked="true" strokeweight=".12pt" strokecolor="#000000">
              <v:stroke dashstyle="solid"/>
            </v:line>
            <w10:wrap type="topAndBottom"/>
          </v:group>
        </w:pict>
      </w:r>
    </w:p>
    <w:p>
      <w:pPr>
        <w:tabs>
          <w:tab w:pos="12942" w:val="left" w:leader="none"/>
        </w:tabs>
        <w:spacing w:before="152"/>
        <w:ind w:left="619" w:right="0" w:firstLine="0"/>
        <w:jc w:val="left"/>
        <w:rPr>
          <w:b/>
          <w:sz w:val="20"/>
        </w:rPr>
      </w:pPr>
      <w:r>
        <w:rPr>
          <w:b/>
          <w:position w:val="1"/>
          <w:sz w:val="17"/>
        </w:rPr>
        <w:t>Cena</w:t>
      </w:r>
      <w:r>
        <w:rPr>
          <w:b/>
          <w:spacing w:val="-6"/>
          <w:position w:val="1"/>
          <w:sz w:val="17"/>
        </w:rPr>
        <w:t> </w:t>
      </w:r>
      <w:r>
        <w:rPr>
          <w:b/>
          <w:position w:val="1"/>
          <w:sz w:val="17"/>
        </w:rPr>
        <w:t>bez</w:t>
      </w:r>
      <w:r>
        <w:rPr>
          <w:b/>
          <w:spacing w:val="-5"/>
          <w:position w:val="1"/>
          <w:sz w:val="17"/>
        </w:rPr>
        <w:t> </w:t>
      </w:r>
      <w:r>
        <w:rPr>
          <w:b/>
          <w:position w:val="1"/>
          <w:sz w:val="17"/>
        </w:rPr>
        <w:t>DPH</w:t>
        <w:tab/>
      </w:r>
      <w:r>
        <w:rPr>
          <w:b/>
          <w:sz w:val="20"/>
        </w:rPr>
        <w:t>5 605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548,55</w: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9"/>
      </w:tblGrid>
      <w:tr>
        <w:trPr>
          <w:trHeight w:val="322" w:hRule="atLeast"/>
        </w:trPr>
        <w:tc>
          <w:tcPr>
            <w:tcW w:w="13579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2815" w:val="left" w:leader="none"/>
                <w:tab w:pos="4584" w:val="left" w:leader="none"/>
              </w:tabs>
              <w:spacing w:line="192" w:lineRule="exact" w:before="110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Základ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daně</w:t>
              <w:tab/>
              <w:t>Sazba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daně</w:t>
              <w:tab/>
              <w:t>Výše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daně</w:t>
            </w:r>
          </w:p>
        </w:tc>
      </w:tr>
      <w:tr>
        <w:trPr>
          <w:trHeight w:val="220" w:hRule="atLeast"/>
        </w:trPr>
        <w:tc>
          <w:tcPr>
            <w:tcW w:w="13579" w:type="dxa"/>
          </w:tcPr>
          <w:p>
            <w:pPr>
              <w:pStyle w:val="TableParagraph"/>
              <w:tabs>
                <w:tab w:pos="8081" w:val="left" w:leader="none"/>
                <w:tab w:pos="11279" w:val="left" w:leader="none"/>
                <w:tab w:pos="12534" w:val="left" w:leader="none"/>
              </w:tabs>
              <w:spacing w:line="192" w:lineRule="exact" w:before="9"/>
              <w:ind w:right="35"/>
              <w:jc w:val="right"/>
              <w:rPr>
                <w:sz w:val="17"/>
              </w:rPr>
            </w:pPr>
            <w:r>
              <w:rPr>
                <w:position w:val="1"/>
                <w:sz w:val="13"/>
              </w:rPr>
              <w:t>DPH</w:t>
            </w:r>
            <w:r>
              <w:rPr>
                <w:spacing w:val="7"/>
                <w:position w:val="1"/>
                <w:sz w:val="13"/>
              </w:rPr>
              <w:t> </w:t>
            </w:r>
            <w:r>
              <w:rPr>
                <w:sz w:val="17"/>
              </w:rPr>
              <w:t>základní</w:t>
              <w:tab/>
              <w:t>5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605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548,55</w:t>
              <w:tab/>
              <w:t>21,00%</w:t>
              <w:tab/>
              <w:t>1 177</w:t>
            </w:r>
            <w:r>
              <w:rPr>
                <w:spacing w:val="-22"/>
                <w:sz w:val="17"/>
              </w:rPr>
              <w:t> </w:t>
            </w:r>
            <w:r>
              <w:rPr>
                <w:sz w:val="17"/>
              </w:rPr>
              <w:t>165,20</w:t>
            </w:r>
          </w:p>
        </w:tc>
      </w:tr>
      <w:tr>
        <w:trPr>
          <w:trHeight w:val="204" w:hRule="atLeast"/>
        </w:trPr>
        <w:tc>
          <w:tcPr>
            <w:tcW w:w="13579" w:type="dxa"/>
          </w:tcPr>
          <w:p>
            <w:pPr>
              <w:pStyle w:val="TableParagraph"/>
              <w:tabs>
                <w:tab w:pos="8408" w:val="left" w:leader="none"/>
                <w:tab w:pos="10952" w:val="left" w:leader="none"/>
                <w:tab w:pos="12861" w:val="left" w:leader="none"/>
              </w:tabs>
              <w:spacing w:line="175" w:lineRule="exact" w:before="9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snížená</w:t>
              <w:tab/>
              <w:t>0,00</w:t>
              <w:tab/>
              <w:t>15,00%</w:t>
              <w:tab/>
            </w:r>
            <w:r>
              <w:rPr>
                <w:spacing w:val="-1"/>
                <w:w w:val="95"/>
                <w:sz w:val="17"/>
              </w:rPr>
              <w:t>0,00</w:t>
            </w:r>
          </w:p>
        </w:tc>
      </w:tr>
    </w:tbl>
    <w:p>
      <w:pPr>
        <w:pStyle w:val="BodyText"/>
        <w:rPr>
          <w:b/>
          <w:sz w:val="18"/>
        </w:rPr>
      </w:pPr>
    </w:p>
    <w:tbl>
      <w:tblPr>
        <w:tblW w:w="0" w:type="auto"/>
        <w:jc w:val="left"/>
        <w:tblInd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94"/>
      </w:tblGrid>
      <w:tr>
        <w:trPr>
          <w:trHeight w:val="225" w:hRule="atLeast"/>
        </w:trPr>
        <w:tc>
          <w:tcPr>
            <w:tcW w:w="492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v</w:t>
            </w:r>
          </w:p>
        </w:tc>
        <w:tc>
          <w:tcPr>
            <w:tcW w:w="794" w:type="dxa"/>
          </w:tcPr>
          <w:p>
            <w:pPr>
              <w:pStyle w:val="TableParagraph"/>
              <w:spacing w:line="205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CZK</w:t>
            </w:r>
          </w:p>
        </w:tc>
      </w:tr>
    </w:tbl>
    <w:p>
      <w:pPr>
        <w:spacing w:after="0" w:line="205" w:lineRule="exact"/>
        <w:rPr>
          <w:sz w:val="20"/>
        </w:rPr>
        <w:sectPr>
          <w:footerReference w:type="default" r:id="rId5"/>
          <w:type w:val="continuous"/>
          <w:pgSz w:w="16840" w:h="11910" w:orient="landscape"/>
          <w:pgMar w:footer="149" w:top="640" w:bottom="340" w:left="300" w:right="600"/>
          <w:pgNumType w:start="1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54"/>
      </w:tblGrid>
      <w:tr>
        <w:trPr>
          <w:trHeight w:val="340" w:hRule="atLeast"/>
        </w:trPr>
        <w:tc>
          <w:tcPr>
            <w:tcW w:w="10554" w:type="dxa"/>
          </w:tcPr>
          <w:p>
            <w:pPr>
              <w:pStyle w:val="TableParagraph"/>
              <w:spacing w:line="259" w:lineRule="exact"/>
              <w:ind w:left="209"/>
              <w:rPr>
                <w:b/>
                <w:sz w:val="23"/>
              </w:rPr>
            </w:pPr>
            <w:r>
              <w:rPr>
                <w:b/>
                <w:sz w:val="23"/>
              </w:rPr>
              <w:t>REKAPITULACE ČLENĚNÍ SOUPISU PRACÍ</w:t>
            </w:r>
          </w:p>
        </w:tc>
      </w:tr>
      <w:tr>
        <w:trPr>
          <w:trHeight w:val="276" w:hRule="atLeast"/>
        </w:trPr>
        <w:tc>
          <w:tcPr>
            <w:tcW w:w="10554" w:type="dxa"/>
          </w:tcPr>
          <w:p>
            <w:pPr>
              <w:pStyle w:val="TableParagraph"/>
              <w:spacing w:line="188" w:lineRule="exact" w:before="68"/>
              <w:ind w:left="200"/>
              <w:rPr>
                <w:sz w:val="17"/>
              </w:rPr>
            </w:pPr>
            <w:r>
              <w:rPr>
                <w:sz w:val="17"/>
              </w:rPr>
              <w:t>Stavba:</w:t>
            </w:r>
          </w:p>
        </w:tc>
      </w:tr>
      <w:tr>
        <w:trPr>
          <w:trHeight w:val="216" w:hRule="atLeast"/>
        </w:trPr>
        <w:tc>
          <w:tcPr>
            <w:tcW w:w="10554" w:type="dxa"/>
          </w:tcPr>
          <w:p>
            <w:pPr>
              <w:pStyle w:val="TableParagraph"/>
              <w:ind w:left="831"/>
              <w:rPr>
                <w:sz w:val="17"/>
              </w:rPr>
            </w:pPr>
            <w:r>
              <w:rPr>
                <w:sz w:val="17"/>
              </w:rPr>
              <w:t>Střední škola gastronomie a obchodu Zlín-výměna výplní otvorů</w:t>
            </w:r>
          </w:p>
        </w:tc>
      </w:tr>
      <w:tr>
        <w:trPr>
          <w:trHeight w:val="216" w:hRule="atLeast"/>
        </w:trPr>
        <w:tc>
          <w:tcPr>
            <w:tcW w:w="10554" w:type="dxa"/>
          </w:tcPr>
          <w:p>
            <w:pPr>
              <w:pStyle w:val="TableParagraph"/>
              <w:spacing w:line="188" w:lineRule="exact" w:before="8"/>
              <w:ind w:left="200"/>
              <w:rPr>
                <w:sz w:val="17"/>
              </w:rPr>
            </w:pPr>
            <w:r>
              <w:rPr>
                <w:sz w:val="17"/>
              </w:rPr>
              <w:t>Objekt:</w:t>
            </w:r>
          </w:p>
        </w:tc>
      </w:tr>
      <w:tr>
        <w:trPr>
          <w:trHeight w:val="216" w:hRule="atLeast"/>
        </w:trPr>
        <w:tc>
          <w:tcPr>
            <w:tcW w:w="10554" w:type="dxa"/>
          </w:tcPr>
          <w:p>
            <w:pPr>
              <w:pStyle w:val="TableParagraph"/>
              <w:spacing w:before="1"/>
              <w:ind w:left="831"/>
              <w:rPr>
                <w:sz w:val="17"/>
              </w:rPr>
            </w:pPr>
            <w:r>
              <w:rPr>
                <w:sz w:val="17"/>
              </w:rPr>
              <w:t>2020/18-3 - Střední škola gastronomie a obchodu Zlín-výměna výplní otvorů-II.etapa (1. a 2.np+objekt přístavby)</w:t>
            </w:r>
          </w:p>
        </w:tc>
      </w:tr>
      <w:tr>
        <w:trPr>
          <w:trHeight w:val="264" w:hRule="atLeast"/>
        </w:trPr>
        <w:tc>
          <w:tcPr>
            <w:tcW w:w="10554" w:type="dxa"/>
          </w:tcPr>
          <w:p>
            <w:pPr>
              <w:pStyle w:val="TableParagraph"/>
              <w:spacing w:before="8"/>
              <w:ind w:left="200"/>
              <w:rPr>
                <w:sz w:val="17"/>
              </w:rPr>
            </w:pPr>
            <w:r>
              <w:rPr>
                <w:sz w:val="17"/>
              </w:rPr>
              <w:t>Soupis:</w:t>
            </w:r>
          </w:p>
        </w:tc>
      </w:tr>
      <w:tr>
        <w:trPr>
          <w:trHeight w:val="265" w:hRule="atLeast"/>
        </w:trPr>
        <w:tc>
          <w:tcPr>
            <w:tcW w:w="10554" w:type="dxa"/>
          </w:tcPr>
          <w:p>
            <w:pPr>
              <w:pStyle w:val="TableParagraph"/>
              <w:spacing w:line="191" w:lineRule="exact" w:before="55"/>
              <w:ind w:left="8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2020/18-3-1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D.1.1-Architektonicko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stavební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řešení-výměna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výplní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otvorů-II.etapa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(1.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2.np+objekt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přístavby)</w:t>
            </w:r>
          </w:p>
        </w:tc>
      </w:tr>
    </w:tbl>
    <w:p>
      <w:pPr>
        <w:pStyle w:val="BodyText"/>
        <w:spacing w:before="5"/>
        <w:rPr>
          <w:b/>
          <w:sz w:val="16"/>
        </w:rPr>
      </w:pPr>
      <w:r>
        <w:rPr/>
        <w:pict>
          <v:shape style="position:absolute;margin-left:20.504pt;margin-top:11.431602pt;width:59.3pt;height:36.550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5"/>
                  </w:tblGrid>
                  <w:tr>
                    <w:trPr>
                      <w:trHeight w:val="249" w:hRule="atLeast"/>
                    </w:trPr>
                    <w:tc>
                      <w:tcPr>
                        <w:tcW w:w="118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Místo: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1185" w:type="dxa"/>
                      </w:tcPr>
                      <w:p>
                        <w:pPr>
                          <w:pStyle w:val="TableParagraph"/>
                          <w:spacing w:before="5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Zadavatel: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185" w:type="dxa"/>
                      </w:tcPr>
                      <w:p>
                        <w:pPr>
                          <w:pStyle w:val="TableParagraph"/>
                          <w:spacing w:line="175" w:lineRule="exact" w:before="1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Uchazeč: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16.019997pt;margin-top:27.031601pt;width:137.65pt;height:20.9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52"/>
                  </w:tblGrid>
                  <w:tr>
                    <w:trPr>
                      <w:trHeight w:val="209" w:hRule="atLeast"/>
                    </w:trPr>
                    <w:tc>
                      <w:tcPr>
                        <w:tcW w:w="275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SŠ gastronomie a obchodu Zlín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2752" w:type="dxa"/>
                      </w:tcPr>
                      <w:p>
                        <w:pPr>
                          <w:pStyle w:val="TableParagraph"/>
                          <w:spacing w:line="175" w:lineRule="exact" w:before="1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REPAVIA STAV s.r.o.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72.460022pt;margin-top:11.431602pt;width:140.75pt;height:36.6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53"/>
                    <w:gridCol w:w="1562"/>
                  </w:tblGrid>
                  <w:tr>
                    <w:trPr>
                      <w:trHeight w:val="249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2. 4. 2020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5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95" w:lineRule="exact" w:before="5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KB projekt, s.r.o.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line="177" w:lineRule="exact" w:before="12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Zpracovatel: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75" w:lineRule="exact" w:before="15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Ing.A.Hejmalová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6"/>
        <w:rPr>
          <w:b/>
        </w:rPr>
      </w:pPr>
    </w:p>
    <w:p>
      <w:pPr>
        <w:tabs>
          <w:tab w:pos="12815" w:val="left" w:leader="none"/>
        </w:tabs>
        <w:spacing w:before="97"/>
        <w:ind w:left="307" w:right="0" w:firstLine="0"/>
        <w:jc w:val="left"/>
        <w:rPr>
          <w:sz w:val="15"/>
        </w:rPr>
      </w:pPr>
      <w:r>
        <w:rPr>
          <w:sz w:val="15"/>
        </w:rPr>
        <w:t>Kód dílu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2"/>
          <w:sz w:val="15"/>
        </w:rPr>
        <w:t> </w:t>
      </w:r>
      <w:r>
        <w:rPr>
          <w:sz w:val="15"/>
        </w:rPr>
        <w:t>Popis</w:t>
        <w:tab/>
        <w:t>Cena celkem</w:t>
      </w:r>
      <w:r>
        <w:rPr>
          <w:spacing w:val="3"/>
          <w:sz w:val="15"/>
        </w:rPr>
        <w:t> </w:t>
      </w:r>
      <w:r>
        <w:rPr>
          <w:sz w:val="15"/>
        </w:rPr>
        <w:t>[CZK]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50"/>
      </w:tblGrid>
      <w:tr>
        <w:trPr>
          <w:trHeight w:val="291" w:hRule="atLeast"/>
        </w:trPr>
        <w:tc>
          <w:tcPr>
            <w:tcW w:w="14050" w:type="dxa"/>
          </w:tcPr>
          <w:p>
            <w:pPr>
              <w:pStyle w:val="TableParagraph"/>
              <w:tabs>
                <w:tab w:pos="12627" w:val="left" w:leader="none"/>
              </w:tabs>
              <w:spacing w:line="225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stavby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celkem</w:t>
              <w:tab/>
              <w:t>5 605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548,55</w:t>
            </w:r>
          </w:p>
        </w:tc>
      </w:tr>
      <w:tr>
        <w:trPr>
          <w:trHeight w:val="367" w:hRule="atLeast"/>
        </w:trPr>
        <w:tc>
          <w:tcPr>
            <w:tcW w:w="14050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12486" w:val="left" w:leader="none"/>
              </w:tabs>
              <w:spacing w:before="61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HSV - Práce 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dodávky HSV</w:t>
              <w:tab/>
              <w:t>704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918,99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486" w:val="left" w:leader="none"/>
              </w:tabs>
              <w:spacing w:before="45"/>
              <w:ind w:right="35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Úpravy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povrchů,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podlahy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osazování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výplní</w:t>
              <w:tab/>
              <w:t>441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896,86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486" w:val="left" w:leader="none"/>
              </w:tabs>
              <w:spacing w:before="45"/>
              <w:ind w:right="35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Ostatní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konstrukce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práce,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bourání</w:t>
              <w:tab/>
              <w:t>195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269,50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580" w:val="left" w:leader="none"/>
              </w:tabs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997 -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Přesun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sutě</w:t>
              <w:tab/>
              <w:t>48</w:t>
            </w:r>
            <w:r>
              <w:rPr>
                <w:spacing w:val="-17"/>
                <w:sz w:val="17"/>
              </w:rPr>
              <w:t> </w:t>
            </w:r>
            <w:r>
              <w:rPr>
                <w:sz w:val="17"/>
              </w:rPr>
              <w:t>384,93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580" w:val="left" w:leader="none"/>
              </w:tabs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998 -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Přesun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hmot</w:t>
              <w:tab/>
              <w:t>19</w:t>
            </w:r>
            <w:r>
              <w:rPr>
                <w:spacing w:val="-17"/>
                <w:sz w:val="17"/>
              </w:rPr>
              <w:t> </w:t>
            </w:r>
            <w:r>
              <w:rPr>
                <w:sz w:val="17"/>
              </w:rPr>
              <w:t>367,70</w:t>
            </w:r>
          </w:p>
        </w:tc>
      </w:tr>
      <w:tr>
        <w:trPr>
          <w:trHeight w:val="374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318" w:val="left" w:leader="none"/>
              </w:tabs>
              <w:spacing w:before="68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PSV - Práce 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dodávky PSV</w:t>
              <w:tab/>
              <w:t>4 900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629,56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580" w:val="left" w:leader="none"/>
              </w:tabs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764 -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Konstrukce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klempířské</w:t>
              <w:tab/>
              <w:t>83</w:t>
            </w:r>
            <w:r>
              <w:rPr>
                <w:spacing w:val="-17"/>
                <w:sz w:val="17"/>
              </w:rPr>
              <w:t> </w:t>
            </w:r>
            <w:r>
              <w:rPr>
                <w:sz w:val="17"/>
              </w:rPr>
              <w:t>441,26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347" w:val="left" w:leader="none"/>
              </w:tabs>
              <w:spacing w:before="45"/>
              <w:ind w:right="35"/>
              <w:jc w:val="right"/>
              <w:rPr>
                <w:sz w:val="17"/>
              </w:rPr>
            </w:pPr>
            <w:r>
              <w:rPr>
                <w:sz w:val="17"/>
              </w:rPr>
              <w:t>766 -</w:t>
            </w:r>
            <w:r>
              <w:rPr>
                <w:spacing w:val="-20"/>
                <w:sz w:val="17"/>
              </w:rPr>
              <w:t> </w:t>
            </w:r>
            <w:r>
              <w:rPr>
                <w:sz w:val="17"/>
              </w:rPr>
              <w:t>Konstrukce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truhlářské</w:t>
              <w:tab/>
              <w:t>2 678</w:t>
            </w:r>
            <w:r>
              <w:rPr>
                <w:spacing w:val="-23"/>
                <w:sz w:val="17"/>
              </w:rPr>
              <w:t> </w:t>
            </w:r>
            <w:r>
              <w:rPr>
                <w:sz w:val="17"/>
              </w:rPr>
              <w:t>189,34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347" w:val="left" w:leader="none"/>
              </w:tabs>
              <w:spacing w:before="45"/>
              <w:ind w:right="35"/>
              <w:jc w:val="right"/>
              <w:rPr>
                <w:sz w:val="17"/>
              </w:rPr>
            </w:pPr>
            <w:r>
              <w:rPr>
                <w:sz w:val="17"/>
              </w:rPr>
              <w:t>767 -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Konstrukce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zámečnické</w:t>
              <w:tab/>
              <w:t>1 828</w:t>
            </w:r>
            <w:r>
              <w:rPr>
                <w:spacing w:val="-23"/>
                <w:sz w:val="17"/>
              </w:rPr>
              <w:t> </w:t>
            </w:r>
            <w:r>
              <w:rPr>
                <w:sz w:val="17"/>
              </w:rPr>
              <w:t>033,94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580" w:val="left" w:leader="none"/>
              </w:tabs>
              <w:spacing w:before="45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781 - Dokončovací práce</w:t>
            </w:r>
            <w:r>
              <w:rPr>
                <w:spacing w:val="-3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obklady</w:t>
              <w:tab/>
              <w:t>48</w:t>
            </w:r>
            <w:r>
              <w:rPr>
                <w:spacing w:val="-17"/>
                <w:sz w:val="17"/>
              </w:rPr>
              <w:t> </w:t>
            </w:r>
            <w:r>
              <w:rPr>
                <w:sz w:val="17"/>
              </w:rPr>
              <w:t>786,66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486" w:val="left" w:leader="none"/>
              </w:tabs>
              <w:spacing w:before="45"/>
              <w:ind w:right="35"/>
              <w:jc w:val="right"/>
              <w:rPr>
                <w:sz w:val="17"/>
              </w:rPr>
            </w:pPr>
            <w:r>
              <w:rPr>
                <w:sz w:val="17"/>
              </w:rPr>
              <w:t>784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Dokončovací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práce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malby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tapety</w:t>
              <w:tab/>
              <w:t>108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192,98</w:t>
            </w:r>
          </w:p>
        </w:tc>
      </w:tr>
      <w:tr>
        <w:trPr>
          <w:trHeight w:val="297" w:hRule="atLeast"/>
        </w:trPr>
        <w:tc>
          <w:tcPr>
            <w:tcW w:w="14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2486" w:val="left" w:leader="none"/>
              </w:tabs>
              <w:spacing w:before="45"/>
              <w:ind w:right="35"/>
              <w:jc w:val="right"/>
              <w:rPr>
                <w:sz w:val="17"/>
              </w:rPr>
            </w:pPr>
            <w:r>
              <w:rPr>
                <w:sz w:val="17"/>
              </w:rPr>
              <w:t>786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Dokončovací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práce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čalounické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úpravy</w:t>
              <w:tab/>
              <w:t>153</w:t>
            </w:r>
            <w:r>
              <w:rPr>
                <w:spacing w:val="-20"/>
                <w:sz w:val="17"/>
              </w:rPr>
              <w:t> </w:t>
            </w:r>
            <w:r>
              <w:rPr>
                <w:sz w:val="17"/>
              </w:rPr>
              <w:t>985,38</w:t>
            </w:r>
          </w:p>
        </w:tc>
      </w:tr>
    </w:tbl>
    <w:p>
      <w:pPr>
        <w:spacing w:after="0"/>
        <w:jc w:val="right"/>
        <w:rPr>
          <w:sz w:val="17"/>
        </w:rPr>
        <w:sectPr>
          <w:pgSz w:w="16840" w:h="11910" w:orient="landscape"/>
          <w:pgMar w:header="0" w:footer="149" w:top="640" w:bottom="420" w:left="300" w:right="60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54"/>
      </w:tblGrid>
      <w:tr>
        <w:trPr>
          <w:trHeight w:val="340" w:hRule="atLeast"/>
        </w:trPr>
        <w:tc>
          <w:tcPr>
            <w:tcW w:w="10554" w:type="dxa"/>
          </w:tcPr>
          <w:p>
            <w:pPr>
              <w:pStyle w:val="TableParagraph"/>
              <w:spacing w:line="259" w:lineRule="exact"/>
              <w:ind w:left="209"/>
              <w:rPr>
                <w:b/>
                <w:sz w:val="23"/>
              </w:rPr>
            </w:pPr>
            <w:r>
              <w:rPr>
                <w:b/>
                <w:sz w:val="23"/>
              </w:rPr>
              <w:t>SOUPIS PRACÍ</w:t>
            </w:r>
          </w:p>
        </w:tc>
      </w:tr>
      <w:tr>
        <w:trPr>
          <w:trHeight w:val="276" w:hRule="atLeast"/>
        </w:trPr>
        <w:tc>
          <w:tcPr>
            <w:tcW w:w="10554" w:type="dxa"/>
          </w:tcPr>
          <w:p>
            <w:pPr>
              <w:pStyle w:val="TableParagraph"/>
              <w:spacing w:line="188" w:lineRule="exact" w:before="68"/>
              <w:ind w:left="200"/>
              <w:rPr>
                <w:sz w:val="17"/>
              </w:rPr>
            </w:pPr>
            <w:r>
              <w:rPr>
                <w:sz w:val="17"/>
              </w:rPr>
              <w:t>Stavba:</w:t>
            </w:r>
          </w:p>
        </w:tc>
      </w:tr>
      <w:tr>
        <w:trPr>
          <w:trHeight w:val="216" w:hRule="atLeast"/>
        </w:trPr>
        <w:tc>
          <w:tcPr>
            <w:tcW w:w="10554" w:type="dxa"/>
          </w:tcPr>
          <w:p>
            <w:pPr>
              <w:pStyle w:val="TableParagraph"/>
              <w:ind w:left="831"/>
              <w:rPr>
                <w:sz w:val="17"/>
              </w:rPr>
            </w:pPr>
            <w:r>
              <w:rPr>
                <w:sz w:val="17"/>
              </w:rPr>
              <w:t>Střední škola gastronomie a obchodu Zlín-výměna výplní otvorů</w:t>
            </w:r>
          </w:p>
        </w:tc>
      </w:tr>
      <w:tr>
        <w:trPr>
          <w:trHeight w:val="216" w:hRule="atLeast"/>
        </w:trPr>
        <w:tc>
          <w:tcPr>
            <w:tcW w:w="10554" w:type="dxa"/>
          </w:tcPr>
          <w:p>
            <w:pPr>
              <w:pStyle w:val="TableParagraph"/>
              <w:spacing w:line="188" w:lineRule="exact" w:before="8"/>
              <w:ind w:left="200"/>
              <w:rPr>
                <w:sz w:val="17"/>
              </w:rPr>
            </w:pPr>
            <w:r>
              <w:rPr>
                <w:sz w:val="17"/>
              </w:rPr>
              <w:t>Objekt:</w:t>
            </w:r>
          </w:p>
        </w:tc>
      </w:tr>
      <w:tr>
        <w:trPr>
          <w:trHeight w:val="216" w:hRule="atLeast"/>
        </w:trPr>
        <w:tc>
          <w:tcPr>
            <w:tcW w:w="10554" w:type="dxa"/>
          </w:tcPr>
          <w:p>
            <w:pPr>
              <w:pStyle w:val="TableParagraph"/>
              <w:spacing w:before="1"/>
              <w:ind w:left="831"/>
              <w:rPr>
                <w:sz w:val="17"/>
              </w:rPr>
            </w:pPr>
            <w:r>
              <w:rPr>
                <w:sz w:val="17"/>
              </w:rPr>
              <w:t>2020/18-3 - Střední škola gastronomie a obchodu Zlín-výměna výplní otvorů-II.etapa (1. a 2.np+objekt přístavby)</w:t>
            </w:r>
          </w:p>
        </w:tc>
      </w:tr>
      <w:tr>
        <w:trPr>
          <w:trHeight w:val="264" w:hRule="atLeast"/>
        </w:trPr>
        <w:tc>
          <w:tcPr>
            <w:tcW w:w="10554" w:type="dxa"/>
          </w:tcPr>
          <w:p>
            <w:pPr>
              <w:pStyle w:val="TableParagraph"/>
              <w:spacing w:before="8"/>
              <w:ind w:left="200"/>
              <w:rPr>
                <w:sz w:val="17"/>
              </w:rPr>
            </w:pPr>
            <w:r>
              <w:rPr>
                <w:sz w:val="17"/>
              </w:rPr>
              <w:t>Soupis:</w:t>
            </w:r>
          </w:p>
        </w:tc>
      </w:tr>
      <w:tr>
        <w:trPr>
          <w:trHeight w:val="265" w:hRule="atLeast"/>
        </w:trPr>
        <w:tc>
          <w:tcPr>
            <w:tcW w:w="10554" w:type="dxa"/>
          </w:tcPr>
          <w:p>
            <w:pPr>
              <w:pStyle w:val="TableParagraph"/>
              <w:spacing w:line="191" w:lineRule="exact" w:before="55"/>
              <w:ind w:left="8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2020/18-3-1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D.1.1-Architektonicko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stavební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řešení-výměna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výplní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otvorů-II.etapa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(1.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2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2.np+objekt</w:t>
            </w:r>
            <w:r>
              <w:rPr>
                <w:b/>
                <w:spacing w:val="-2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přístavby)</w:t>
            </w:r>
          </w:p>
        </w:tc>
      </w:tr>
    </w:tbl>
    <w:p>
      <w:pPr>
        <w:pStyle w:val="BodyText"/>
        <w:spacing w:before="5"/>
        <w:rPr>
          <w:sz w:val="16"/>
        </w:rPr>
      </w:pPr>
      <w:r>
        <w:rPr/>
        <w:pict>
          <v:shape style="position:absolute;margin-left:20.504pt;margin-top:11.431602pt;width:59.3pt;height:36.550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5"/>
                  </w:tblGrid>
                  <w:tr>
                    <w:trPr>
                      <w:trHeight w:val="249" w:hRule="atLeast"/>
                    </w:trPr>
                    <w:tc>
                      <w:tcPr>
                        <w:tcW w:w="118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Místo: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1185" w:type="dxa"/>
                      </w:tcPr>
                      <w:p>
                        <w:pPr>
                          <w:pStyle w:val="TableParagraph"/>
                          <w:spacing w:before="5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Zadavatel: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185" w:type="dxa"/>
                      </w:tcPr>
                      <w:p>
                        <w:pPr>
                          <w:pStyle w:val="TableParagraph"/>
                          <w:spacing w:line="175" w:lineRule="exact" w:before="1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Uchazeč: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16.019997pt;margin-top:27.031601pt;width:137.65pt;height:20.9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52"/>
                  </w:tblGrid>
                  <w:tr>
                    <w:trPr>
                      <w:trHeight w:val="209" w:hRule="atLeast"/>
                    </w:trPr>
                    <w:tc>
                      <w:tcPr>
                        <w:tcW w:w="275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SŠ gastronomie a obchodu Zlín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2752" w:type="dxa"/>
                      </w:tcPr>
                      <w:p>
                        <w:pPr>
                          <w:pStyle w:val="TableParagraph"/>
                          <w:spacing w:line="175" w:lineRule="exact" w:before="1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REPAVIA STAV s.r.o.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72.460022pt;margin-top:11.431602pt;width:140.75pt;height:36.6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53"/>
                    <w:gridCol w:w="1562"/>
                  </w:tblGrid>
                  <w:tr>
                    <w:trPr>
                      <w:trHeight w:val="249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2. 4. 2020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5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95" w:lineRule="exact" w:before="5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KB projekt, s.r.o.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line="177" w:lineRule="exact" w:before="12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Zpracovatel: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175" w:lineRule="exact" w:before="15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Ing.A.Hejmalová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28.813999pt;margin-top:56.9459pt;width:777.75pt;height:22.5pt;mso-position-horizontal-relative:page;mso-position-vertical-relative:paragraph;z-index:-251646976;mso-wrap-distance-left:0;mso-wrap-distance-right:0" coordorigin="576,1139" coordsize="15555,450">
            <v:line style="position:absolute" from="578,1140" to="578,1587" stroked="true" strokeweight=".140pt" strokecolor="#000000">
              <v:stroke dashstyle="solid"/>
            </v:line>
            <v:line style="position:absolute" from="578,1139" to="578,1589" stroked="true" strokeweight=".12pt" strokecolor="#000000">
              <v:stroke dashstyle="solid"/>
            </v:line>
            <v:line style="position:absolute" from="16129,1143" to="16129,1587" stroked="true" strokeweight=".140pt" strokecolor="#000000">
              <v:stroke dashstyle="solid"/>
            </v:line>
            <v:line style="position:absolute" from="16129,1142" to="16129,1589" stroked="true" strokeweight=".12pt" strokecolor="#000000">
              <v:stroke dashstyle="solid"/>
            </v:line>
            <v:line style="position:absolute" from="580,1140" to="16129,1140" stroked="true" strokeweight=".140pt" strokecolor="#000000">
              <v:stroke dashstyle="solid"/>
            </v:line>
            <v:line style="position:absolute" from="579,1140" to="16130,1140" stroked="true" strokeweight=".12pt" strokecolor="#000000">
              <v:stroke dashstyle="solid"/>
            </v:line>
            <v:line style="position:absolute" from="580,1587" to="16129,1587" stroked="true" strokeweight=".140pt" strokecolor="#000000">
              <v:stroke dashstyle="solid"/>
            </v:line>
            <v:line style="position:absolute" from="579,1587" to="16130,1587" stroked="true" strokeweight=".12001pt" strokecolor="#000000">
              <v:stroke dashstyle="solid"/>
            </v:line>
            <v:shape style="position:absolute;left:629;top:1280;width:564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PČ Typ</w:t>
                    </w:r>
                  </w:p>
                </w:txbxContent>
              </v:textbox>
              <w10:wrap type="none"/>
            </v:shape>
            <v:shape style="position:absolute;left:1714;top:1280;width:289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Kód</w:t>
                    </w:r>
                  </w:p>
                </w:txbxContent>
              </v:textbox>
              <w10:wrap type="none"/>
            </v:shape>
            <v:shape style="position:absolute;left:6061;top:1280;width:398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Popis</w:t>
                    </w:r>
                  </w:p>
                </w:txbxContent>
              </v:textbox>
              <w10:wrap type="none"/>
            </v:shape>
            <v:shape style="position:absolute;left:10190;top:1280;width:4118;height:169" type="#_x0000_t202" filled="false" stroked="false">
              <v:textbox inset="0,0,0,0">
                <w:txbxContent>
                  <w:p>
                    <w:pPr>
                      <w:tabs>
                        <w:tab w:pos="599" w:val="left" w:leader="none"/>
                        <w:tab w:pos="1579" w:val="left" w:leader="none"/>
                        <w:tab w:pos="2783" w:val="left" w:leader="none"/>
                      </w:tabs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MJ</w:t>
                      <w:tab/>
                      <w:t>Množství</w:t>
                      <w:tab/>
                      <w:t>J.cena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[CZK]</w:t>
                      <w:tab/>
                      <w:t>Cena celkem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[CZK]</w:t>
                    </w:r>
                  </w:p>
                </w:txbxContent>
              </v:textbox>
              <w10:wrap type="none"/>
            </v:shape>
            <v:shape style="position:absolute;left:14707;top:1280;width:1198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Cenová soustava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0"/>
        </w:rPr>
      </w:pPr>
    </w:p>
    <w:p>
      <w:pPr>
        <w:tabs>
          <w:tab w:pos="12942" w:val="left" w:leader="none"/>
        </w:tabs>
        <w:spacing w:before="26"/>
        <w:ind w:left="314" w:right="0" w:firstLine="0"/>
        <w:jc w:val="left"/>
        <w:rPr>
          <w:b/>
          <w:sz w:val="20"/>
        </w:rPr>
      </w:pPr>
      <w:r>
        <w:rPr>
          <w:b/>
          <w:sz w:val="20"/>
        </w:rPr>
        <w:t>Náklady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soupisu celkem</w:t>
        <w:tab/>
      </w:r>
      <w:r>
        <w:rPr>
          <w:b/>
          <w:position w:val="-4"/>
          <w:sz w:val="20"/>
        </w:rPr>
        <w:t>5 605</w:t>
      </w:r>
      <w:r>
        <w:rPr>
          <w:b/>
          <w:spacing w:val="1"/>
          <w:position w:val="-4"/>
          <w:sz w:val="20"/>
        </w:rPr>
        <w:t> </w:t>
      </w:r>
      <w:r>
        <w:rPr>
          <w:b/>
          <w:position w:val="-4"/>
          <w:sz w:val="20"/>
        </w:rPr>
        <w:t>548,55</w:t>
      </w:r>
    </w:p>
    <w:p>
      <w:pPr>
        <w:pStyle w:val="BodyText"/>
        <w:spacing w:before="4"/>
        <w:rPr>
          <w:b/>
          <w:sz w:val="15"/>
        </w:r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222" w:hRule="atLeast"/>
        </w:trPr>
        <w:tc>
          <w:tcPr>
            <w:tcW w:w="310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TableParagraph"/>
              <w:tabs>
                <w:tab w:pos="359" w:val="left" w:leader="none"/>
              </w:tabs>
              <w:spacing w:line="203" w:lineRule="exact"/>
              <w:ind w:left="28"/>
              <w:rPr>
                <w:sz w:val="20"/>
              </w:rPr>
            </w:pPr>
            <w:r>
              <w:rPr>
                <w:sz w:val="13"/>
              </w:rPr>
              <w:t>D</w:t>
              <w:tab/>
            </w:r>
            <w:r>
              <w:rPr>
                <w:sz w:val="20"/>
              </w:rPr>
              <w:t>HSV</w:t>
            </w:r>
          </w:p>
        </w:tc>
        <w:tc>
          <w:tcPr>
            <w:tcW w:w="7524" w:type="dxa"/>
          </w:tcPr>
          <w:p>
            <w:pPr>
              <w:pStyle w:val="TableParagraph"/>
              <w:spacing w:line="203" w:lineRule="exact"/>
              <w:ind w:left="36"/>
              <w:rPr>
                <w:sz w:val="20"/>
              </w:rPr>
            </w:pPr>
            <w:r>
              <w:rPr>
                <w:sz w:val="20"/>
              </w:rPr>
              <w:t>Práce a dodávky HSV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spacing w:line="203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704 918,99</w:t>
            </w:r>
          </w:p>
        </w:tc>
        <w:tc>
          <w:tcPr>
            <w:tcW w:w="1667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31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354" w:val="left" w:leader="none"/>
              </w:tabs>
              <w:spacing w:line="169" w:lineRule="exact"/>
              <w:ind w:left="28"/>
              <w:rPr>
                <w:sz w:val="17"/>
              </w:rPr>
            </w:pPr>
            <w:r>
              <w:rPr>
                <w:sz w:val="13"/>
              </w:rPr>
              <w:t>D</w:t>
              <w:tab/>
            </w:r>
            <w:r>
              <w:rPr>
                <w:sz w:val="17"/>
              </w:rPr>
              <w:t>6</w:t>
            </w: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9" w:lineRule="exact"/>
              <w:ind w:left="32"/>
              <w:rPr>
                <w:sz w:val="17"/>
              </w:rPr>
            </w:pPr>
            <w:r>
              <w:rPr>
                <w:sz w:val="17"/>
              </w:rPr>
              <w:t>Úpravy povrchů, podlahy a osazování výplní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9" w:lineRule="exact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441 896,86</w:t>
            </w:r>
          </w:p>
        </w:tc>
        <w:tc>
          <w:tcPr>
            <w:tcW w:w="1667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98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z w:val="15"/>
              </w:rPr>
              <w:t>611131121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Podkladní a spojovací vrstva vnitřních omítaných ploch penetrace akrylát-silikonová nanášená ručně stropů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51,019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60,00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3 061,14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25" w:lineRule="exact" w:before="2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37" w:lineRule="exact" w:before="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horní špalety"51,019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37" w:lineRule="exact" w:before="8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51,019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5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98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z w:val="15"/>
              </w:rPr>
              <w:t>611135001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2" w:lineRule="exact"/>
              <w:ind w:left="27"/>
              <w:rPr>
                <w:sz w:val="15"/>
              </w:rPr>
            </w:pPr>
            <w:r>
              <w:rPr>
                <w:sz w:val="15"/>
              </w:rPr>
              <w:t>Vyrovnání nerovností podkladu vnitřních omítaných ploch maltou, tloušťky do 10 mm vápenocementovou</w:t>
            </w:r>
          </w:p>
          <w:p>
            <w:pPr>
              <w:pStyle w:val="TableParagraph"/>
              <w:spacing w:line="153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stropů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51,019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12 754,75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38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2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1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18" w:lineRule="exact" w:before="13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V cenách nejsou započteny náklady na případné vkládání výztuže do vyrovnávací vrstvy; tyto se ocení cenami souboru cen 61.-14-10..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18" w:lineRule="exact" w:before="13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Potažení vnitřních ploch pletivem v části A04, katalogu 801-1 Budovy a haly - zděné a monolitické.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08" w:lineRule="exact" w:before="13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2. Ceny -5011 nelze použít, je-li předepsáno vkládání výztužné tkaniny; náklady se ocení cenami 61. 14-1001 v části A04, katalogu 801-1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TableParagraph"/>
              <w:spacing w:line="51" w:lineRule="exact" w:before="10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7524" w:type="dxa"/>
          </w:tcPr>
          <w:p>
            <w:pPr>
              <w:pStyle w:val="TableParagraph"/>
              <w:spacing w:before="23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Budovy a haly - zděné a monolitické.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18" w:lineRule="exact" w:before="3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3. Ceny lze použít i pro ocenění vyrovnání nerovností podkladu ploch určených k omítání u novostaveb.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18" w:lineRule="exact" w:before="13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4. Vyrovnáním se rozumí: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18" w:lineRule="exact" w:before="13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a) vrstva omítky pro vyrovnání nerovností podkladu (výtluků apod.),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2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before="13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b) vrstva omítky pro vyrovnání křivě postavené zdi, v tomto případě se uvádí průměrná tloušťka vrstvy omítky.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9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7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"horní špalety otvorů"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výplně otvorů"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"201"0,25*1,48*50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18,500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"202"0,25*1,48*13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4,810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"203"0,25*1,48*2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0,740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"104"0,25*4,35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1,088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"105"0,25*1,45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0,363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"206"0,25*4,55*1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1,138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"210"0,25*0,55*2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0,275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"211"0,3*1,2*15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5,400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"212"0,3*0,9*2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0,540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"113"0,3*16,8*2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10,080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"214"0,3*1,2*5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1,800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"215"0,3*1,2*6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2,160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"116"0,3*5,4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1,620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"117"0,3*5,4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1,620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"218"0,3*2,95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0,885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5" w:lineRule="exact" w:before="2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37" w:lineRule="exact" w:before="1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37" w:lineRule="exact" w:before="10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51,019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98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z w:val="15"/>
              </w:rPr>
              <w:t>611142001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2" w:lineRule="exact"/>
              <w:ind w:left="27"/>
              <w:rPr>
                <w:sz w:val="15"/>
              </w:rPr>
            </w:pPr>
            <w:r>
              <w:rPr>
                <w:sz w:val="15"/>
              </w:rPr>
              <w:t>Potažení vnitřních ploch pletivem v ploše nebo pruzích, na plném podkladu sklovláknitým vtlačením do tmelu</w:t>
            </w:r>
          </w:p>
          <w:p>
            <w:pPr>
              <w:pStyle w:val="TableParagraph"/>
              <w:spacing w:line="153" w:lineRule="exact" w:before="15"/>
              <w:ind w:left="27"/>
              <w:rPr>
                <w:sz w:val="15"/>
              </w:rPr>
            </w:pPr>
            <w:r>
              <w:rPr>
                <w:sz w:val="15"/>
              </w:rPr>
              <w:t>stropů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61,223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210,00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12 856,83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46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18" w:lineRule="exact" w:before="8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08" w:lineRule="exact" w:before="13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08" w:lineRule="exact" w:before="13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V cenách -2001 jsou započteny i náklady na tmel.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pgSz w:w="16840" w:h="11910" w:orient="landscape"/>
          <w:pgMar w:header="0" w:footer="149" w:top="640" w:bottom="42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right="503"/>
              <w:jc w:val="right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4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horní špalety"51,019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51,019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51,019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51,019*0,2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10,204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61,223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488"/>
              <w:jc w:val="right"/>
              <w:rPr>
                <w:sz w:val="15"/>
              </w:rPr>
            </w:pPr>
            <w:r>
              <w:rPr>
                <w:sz w:val="15"/>
              </w:rPr>
              <w:t>612131121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Podkladní a spojovací vrstva vnitřních omítaných ploch penetrace akrylát-silikonová nanášená ručně stěn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119,560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5 978,00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boční špalety"119,56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119,560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488"/>
              <w:jc w:val="right"/>
              <w:rPr>
                <w:sz w:val="15"/>
              </w:rPr>
            </w:pPr>
            <w:r>
              <w:rPr>
                <w:sz w:val="15"/>
              </w:rPr>
              <w:t>612135001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7"/>
              <w:rPr>
                <w:sz w:val="15"/>
              </w:rPr>
            </w:pPr>
            <w:r>
              <w:rPr>
                <w:sz w:val="15"/>
              </w:rPr>
              <w:t>Vyrovnání nerovností podkladu vnitřních omítaných ploch maltou, tloušťky do 10 mm vápenocementovou stěn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119,560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26 303,20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413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17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7" w:val="left" w:leader="none"/>
              </w:tabs>
              <w:spacing w:line="288" w:lineRule="auto" w:before="24" w:after="0"/>
              <w:ind w:left="24" w:right="33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nejsou započteny náklady na případné vkládání výztuže do vyrovnávací vrstvy; tyto se ocení cenami souboru cen 61.-14-10.. </w:t>
            </w:r>
            <w:r>
              <w:rPr>
                <w:i/>
                <w:w w:val="105"/>
                <w:sz w:val="11"/>
              </w:rPr>
              <w:t>Potažení vnitřních ploch pletivem v části A04, katalogu 801-1 Budovy a haly - zděné a</w:t>
            </w:r>
            <w:r>
              <w:rPr>
                <w:i/>
                <w:spacing w:val="1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monolitické.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7" w:val="left" w:leader="none"/>
              </w:tabs>
              <w:spacing w:line="288" w:lineRule="auto" w:before="0" w:after="0"/>
              <w:ind w:left="24" w:right="361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-5011 nelze použít, je-li předepsáno vkládání výztužné tkaniny; náklady se ocení cenami 61. 14-1001 v části A04, katalogu 801-1 </w:t>
            </w:r>
            <w:r>
              <w:rPr>
                <w:i/>
                <w:w w:val="105"/>
                <w:sz w:val="11"/>
              </w:rPr>
              <w:t>Budovy a haly - zděné a</w:t>
            </w:r>
            <w:r>
              <w:rPr>
                <w:i/>
                <w:spacing w:val="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monolitické.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lze použít i pro ocenění vyrovnání nerovností podkladu ploch určených k omítání u</w:t>
            </w:r>
            <w:r>
              <w:rPr>
                <w:i/>
                <w:spacing w:val="2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novostaveb.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Vyrovnáním se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rozumí: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40" w:lineRule="auto" w:before="25" w:after="0"/>
              <w:ind w:left="161" w:right="0" w:hanging="138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vrstva omítky pro vyrovnání nerovností podkladu (výtluků</w:t>
            </w:r>
            <w:r>
              <w:rPr>
                <w:i/>
                <w:spacing w:val="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apod.),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40" w:lineRule="auto" w:before="24" w:after="0"/>
              <w:ind w:left="161" w:right="0" w:hanging="138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vrstva omítky pro vyrovnání křivě postavené zdi, v tomto případě se uvádí průměrná tloušťka vrstvy</w:t>
            </w:r>
            <w:r>
              <w:rPr>
                <w:i/>
                <w:spacing w:val="2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omítky.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"boční špalety otvorů"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výplně otvorů"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"201"0,25*2*2,6*50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65,000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"202"0,25*2*2,0*13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13,000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"203"0,25*2*3,5*2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3,500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"104"0,25*2*3,5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1,750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"105"0,25*2*3,5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1,750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"206"0,25*2*2,4*1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1,200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"210"0,25*2*0,6*2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"211"0,3*2*0,6*15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5,400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"212"0,3*2*2,1*2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2,520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"113"0,3*2*4,2*2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5,040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"214"0,3*2*2,1*5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6,300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"215"0,3*2*2,1*6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7,560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"116"0,3*2*3,25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1,950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"117"0,3*2*3,25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1,950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"218"0,3*2*3,4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119,560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488"/>
              <w:jc w:val="right"/>
              <w:rPr>
                <w:sz w:val="15"/>
              </w:rPr>
            </w:pPr>
            <w:r>
              <w:rPr>
                <w:sz w:val="15"/>
              </w:rPr>
              <w:t>612142001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Potažení vnitřních ploch pletivem v ploše nebo pruzích, na plném podkladu sklovláknitým vtlačením do tmelu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stěn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143,472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180,00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25 824,96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V cenách -2001 jsou započteny i náklady na tmel.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boční špalety"119,56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78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119,560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119,560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119,56*0,2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23,912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143,472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488"/>
              <w:jc w:val="right"/>
              <w:rPr>
                <w:sz w:val="15"/>
              </w:rPr>
            </w:pPr>
            <w:r>
              <w:rPr>
                <w:sz w:val="15"/>
              </w:rPr>
              <w:t>612325302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Vápenocementová omítka ostění nebo nadpraží štuková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170,579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600,00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102 347,40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51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Ceny lze použít jen pro ocenění samostatně upravovaného ostění a nadpraží ( např. při dodatečné výměně oken nebo zárubní ) v šířce do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300 mm okolo upravovaného otvoru.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horní špalety"51,019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76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51,019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boční špalety"119,56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119,560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170,579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488"/>
              <w:jc w:val="right"/>
              <w:rPr>
                <w:sz w:val="15"/>
              </w:rPr>
            </w:pPr>
            <w:r>
              <w:rPr>
                <w:sz w:val="15"/>
              </w:rPr>
              <w:t>619991001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Zakrytí vnitřních ploch před znečištěním včetně pozdějšího odkrytí podlah fólií přilepenou lepící páskou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628,188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9 422,82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51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U ceny </w:t>
            </w:r>
            <w:r>
              <w:rPr>
                <w:i/>
                <w:spacing w:val="-3"/>
                <w:w w:val="105"/>
                <w:sz w:val="11"/>
              </w:rPr>
              <w:t>-1011 </w:t>
            </w:r>
            <w:r>
              <w:rPr>
                <w:i/>
                <w:w w:val="105"/>
                <w:sz w:val="11"/>
              </w:rPr>
              <w:t>se množství měrných jednotek určuje v m2 rozvinuté plochy jednotlivých konstrukcí a</w:t>
            </w:r>
            <w:r>
              <w:rPr>
                <w:i/>
                <w:spacing w:val="3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prvků.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Zakrytí výplní otvorů se oceňuje příslušnými cenami souboru cen 629 99-10.. Zakrytí vnějších ploch před</w:t>
            </w:r>
            <w:r>
              <w:rPr>
                <w:i/>
                <w:spacing w:val="2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znečištěním.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3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"vyčištění v pásu měněných oken (obvodové stěny)"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"hlavní budova"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"1.np"1,5*(30,25+28,5+4,8+1,45)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97,500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25" w:lineRule="exact"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3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"2.np"1,5*(42,55*2+4,65*3)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3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148,575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right="503"/>
              <w:jc w:val="right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"přístupové plochy"30*2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60,000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"vedlejší budova (s tělocvičnou)"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"1.np"1,5*(24,6*2+23,825+12)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127,538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"2.np"1,5*(23,825*2+5,4)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79,575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"přístupové plochy"20*2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553,188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"ostatní potřebné plochy"75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75,000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628,188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488"/>
              <w:jc w:val="right"/>
              <w:rPr>
                <w:sz w:val="15"/>
              </w:rPr>
            </w:pPr>
            <w:r>
              <w:rPr>
                <w:sz w:val="15"/>
              </w:rPr>
              <w:t>619991011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Zakrytí vnitřních ploch před znečištěním včetně pozdějšího odkrytí konstrukcí a prvků obalením fólií a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přelepením páskou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929,250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35,00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32 523,75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51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U ceny </w:t>
            </w:r>
            <w:r>
              <w:rPr>
                <w:i/>
                <w:spacing w:val="-3"/>
                <w:w w:val="105"/>
                <w:sz w:val="11"/>
              </w:rPr>
              <w:t>-1011 </w:t>
            </w:r>
            <w:r>
              <w:rPr>
                <w:i/>
                <w:w w:val="105"/>
                <w:sz w:val="11"/>
              </w:rPr>
              <w:t>se množství měrných jednotek určuje v m2 rozvinuté plochy jednotlivých konstrukcí a</w:t>
            </w:r>
            <w:r>
              <w:rPr>
                <w:i/>
                <w:spacing w:val="3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prvků.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Zakrytí výplní otvorů se oceňuje příslušnými cenami souboru cen 629 99-10.. Zakrytí vnějších ploch před</w:t>
            </w:r>
            <w:r>
              <w:rPr>
                <w:i/>
                <w:spacing w:val="2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znečištěním.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"výplně otvorů"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"201"1,48*2,6*50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192,400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"202"1,48*2,0*13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38,480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"203"1,48*3,5*2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10,360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"104"4,35*3,5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15,225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"105"1,45*3,5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5,075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"206"4,55*2,4*1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10,920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"210"0,55*0,6*2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0,660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"211"1,2*0,6*15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10,800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"212"0,9*2,1*2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3,780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"113"16,8*4,2*2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141,120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"214"1,2*2,1*5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12,600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"215"1,2*2,1*6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15,120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"116"5,4*3,25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17,550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"117"5,4*3,25*2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35,100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"218"2,95*3,4*2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20,060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529,250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"ostatní potřebné plochy (radiátory, stáv.zařízení, apod.)"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"hlavní budova"150*2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"vedlejší budova"50*2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929,250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488"/>
              <w:jc w:val="right"/>
              <w:rPr>
                <w:sz w:val="15"/>
              </w:rPr>
            </w:pPr>
            <w:r>
              <w:rPr>
                <w:sz w:val="15"/>
              </w:rPr>
              <w:t>619995001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Začištění omítek (s dodáním hmot) kolem oken, dveří, podlah, obkladů apod.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831,540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140,00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116 415,60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51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line="288" w:lineRule="auto" w:before="25"/>
              <w:ind w:left="24" w:right="578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Cenu -5001 lze použít pouze v případě provádění opravy nebo osazování nových oken, dveří, obkladů, podlah apod.; nelze ji použít  </w:t>
            </w:r>
            <w:r>
              <w:rPr>
                <w:i/>
                <w:w w:val="105"/>
                <w:sz w:val="11"/>
              </w:rPr>
              <w:t>v případech provádění opravy omítek nebo nové omítky v celé</w:t>
            </w:r>
            <w:r>
              <w:rPr>
                <w:i/>
                <w:spacing w:val="1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ploše.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"napojení špalet na stáv.omítky"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výplně otvorů"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"201"(1,48*2+2,6*2)*50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408,000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"202"(1,48*2+2,0*2)*13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90,480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"203"(1,48+3,5*2)*2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16,960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"104"4,35+3,5*2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11,350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"105"1,45+3,5*2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8,450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"206"(4,55*2+2,4*2)*1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13,900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"210"(0,55*2+0,6*2)*2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"211"(1,2*2+0,6*2)*15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"212"(0,9*2+2,1*2)*2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12,000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"113"(16,8*2+4,2*2)*2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"214"(1,2*2+2,1*2)*5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33,000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"215"(1,2*2+2,1*2)*6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39,600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"116"5,4+3,25*2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11,900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"117"(5,4+3,25*2)*2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23,800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"218"(2,95+3,4*2)*2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19,500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831,540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488"/>
              <w:jc w:val="right"/>
              <w:rPr>
                <w:sz w:val="15"/>
              </w:rPr>
            </w:pPr>
            <w:r>
              <w:rPr>
                <w:sz w:val="15"/>
              </w:rPr>
              <w:t>619996117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Ochrana stavebních konstrukcí a samostatných prvků včetně pozdějšího odstranění obedněním z OSB desek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podlahy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80,000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23 200,00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Množství měrných jednotek se určuje v m2 rozvinuté plochy.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"manipulační prostor-exponované plochy"25*2+15*2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8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80,000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28"/>
              <w:rPr>
                <w:sz w:val="15"/>
              </w:rPr>
            </w:pPr>
            <w:r>
              <w:rPr>
                <w:sz w:val="15"/>
              </w:rPr>
              <w:t>619996145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Ochrana stavebních konstrukcí a samostatných prvků včetně pozdějšího odstranění obalením geotextilií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samostatných konstrukcí a prvků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180,000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9 000,00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Množství měrných jednotek se určuje v m2 rozvinuté plochy.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obednění"80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78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"ostatní potřebné plochy"100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180,000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622143003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omítkových profilů plastových, pozinkovaných nebo dřevěných upevněných vtlačením do podkladní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vrstvy nebo přibitím rohových s tkaninou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606,050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30,00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18 181,50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818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jsou započteny náklady na montáž profilů včetně úchytného</w:t>
            </w:r>
            <w:r>
              <w:rPr>
                <w:i/>
                <w:spacing w:val="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materiálu.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nejsou započteny náklady na dodávku profilů, tyto se oceňují ve specifikaci, ztratné lze stanovit ve výši</w:t>
            </w:r>
            <w:r>
              <w:rPr>
                <w:i/>
                <w:spacing w:val="3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5%.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ceně -3004 nejsou započteny náklady na ochrannou fólii</w:t>
            </w:r>
            <w:r>
              <w:rPr>
                <w:i/>
                <w:spacing w:val="1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 okna a dveře; tyto se oceňují cenou 629 99-1012 podle příslušné plochy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otvoru.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5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výplně otvorů"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"201"(1,48+2,6*2)*50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334,000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"202"(1,48+2,0*2)*13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71,240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"203"(1,48+3,5*2)*2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16,960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"206"(4,55+2,4*2)*1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9,350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"210"(0,55+0,6*2)*2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3,500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"211"(1,2+0,6*2)*15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36,000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"212"(0,9+2,1*2)*2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10,200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"113"(16,8+4,2*2)*2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50,400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"214"(1,2+2,1*2)*5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27,000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"215"(1,2+2,1*2)*6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32,400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591,050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606,050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14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63127464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profil rohový Al 15x15mm s výztužnou tkaninou š 100mm pro ETICS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2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636,353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17,50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11 136,18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606,05*1,05 'Přepočtené koeficientem množství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636,353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631312141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Doplnění dosavadních mazanin prostým betonem s dodáním hmot, bez potěru, plochy jednotlivě rýh v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dosavadních mazaninách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m3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4 000,00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176,00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"2.np-vybouraná sklobet.příčka-zapravení"0,1*0,15*2,95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0,044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631351101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Bednění v podlahách rýh a hran zřízení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33,098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260,00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8 605,48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"vyrovnání podkladu oken"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"201"0,1*2*1,48*50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14,800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"202"0,1*2*1,48*13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3,848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"206"0,1*2*4,55*1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0,910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"210"0,1*2*0,55*2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0,220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"211"0,1*2*1,2*15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"212"0,1*2*0,9*2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0,360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"213"0,1*2*16,8*2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6,720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"214"0,1*2*1,2*5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1,200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"215"0,1*2*1,2*6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1,440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33,098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631351102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Bednění v podlahách rýh a hran odstranění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33,098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65,00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2 151,37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zřízení"33,098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33,098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632450122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Potěr cementový vyrovnávací ze suchých směsí v pásu o průměrné (střední) tl. přes 20 do 30 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64,582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340,00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21 957,88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</w:tbl>
    <w:p>
      <w:pPr>
        <w:spacing w:after="0" w:line="157" w:lineRule="exact"/>
        <w:rPr>
          <w:sz w:val="15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36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417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17" w:lineRule="exact"/>
              <w:ind w:left="24"/>
              <w:jc w:val="both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7" w:val="left" w:leader="none"/>
              </w:tabs>
              <w:spacing w:line="288" w:lineRule="auto" w:before="24" w:after="0"/>
              <w:ind w:left="24" w:right="287" w:firstLine="0"/>
              <w:jc w:val="both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–0121 až –0124 jsou určeny pro vyrovnávací potěr v pásu vodorovný nebo ve spádu do 15° na zdivu jako podklad pod izolaci, pod </w:t>
            </w:r>
            <w:r>
              <w:rPr>
                <w:i/>
                <w:w w:val="105"/>
                <w:sz w:val="11"/>
              </w:rPr>
              <w:t>parapety z prefabrikovaných dílců, pod oplechování, jako podklad pro uložení ocelových profilů, překladů, stropních nosníků,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apod.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7" w:val="left" w:leader="none"/>
              </w:tabs>
              <w:spacing w:line="288" w:lineRule="auto" w:before="0" w:after="0"/>
              <w:ind w:left="24" w:right="528" w:firstLine="0"/>
              <w:jc w:val="both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–0131 až –0134 jsou určeny pro vyrovnávací potěr v ploše na stropech z prefabrikovaných dílců jako podklad pod izolaci, pod </w:t>
            </w:r>
            <w:r>
              <w:rPr>
                <w:i/>
                <w:w w:val="105"/>
                <w:sz w:val="11"/>
              </w:rPr>
              <w:t>podlahové konstrukce apod., na mazaninách jen jako podklad pod izolaci proti vodě, jako ochrana izolace shora tvořící lože při kladení plošných prefa panelů (např. v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kanálech).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–0131 až –0134 lze použít i pro podlévání provizorně podklínovaných patek usazených strojů a technologických zařízení, s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náležitým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zatemováním hutné malty.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jsou započteny i náklady na základní stržení povrchu potěru s urovnáním vibrační lištou nebo dřevěným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hladítkem.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"vyrovnání podkladu oken"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"201"0,35*1,48*50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25,900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"202"0,35*1,48*13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6,734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"206"0,35*4,55*1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1,593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"210"0,35*0,55*2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0,385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"211"0,45*1,2*15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8,100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"212"0,45*0,9*2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0,810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"113"0,45*16,8*2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15,120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"214"0,45*1,2*5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2,700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"215"0,45*1,2*6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3,240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64,582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 w:before="29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6" w:lineRule="exact"/>
              <w:ind w:left="33"/>
              <w:rPr>
                <w:sz w:val="17"/>
              </w:rPr>
            </w:pPr>
            <w:r>
              <w:rPr>
                <w:w w:val="98"/>
                <w:sz w:val="17"/>
              </w:rPr>
              <w:t>9</w:t>
            </w: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6" w:lineRule="exact"/>
              <w:ind w:left="32"/>
              <w:rPr>
                <w:sz w:val="17"/>
              </w:rPr>
            </w:pPr>
            <w:r>
              <w:rPr>
                <w:sz w:val="17"/>
              </w:rPr>
              <w:t>Ostatní konstrukce a práce, bourání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6" w:lineRule="exact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195 269,50</w:t>
            </w: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949101111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Lešení pomocné pracovní pro objekty pozemních staveb pro zatížení do 150 kg/m2, o výšce lešeňové podlahy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do 1,9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184,415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7 376,60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667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ceně jsou započteny i náklady na montáž, opotřebení a demontáž</w:t>
            </w:r>
            <w:r>
              <w:rPr>
                <w:i/>
                <w:spacing w:val="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lešení.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ceně nejsou započteny náklady na manipulaci s lešením; tyto jsou již zahrnuty v cenách příslušných stavebních prací.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Množství měrných jednotek se určuje m2 podlahové plochy, na které se práce</w:t>
            </w:r>
            <w:r>
              <w:rPr>
                <w:i/>
                <w:spacing w:val="1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provádí.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 místě oken"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"201"1*1,48*50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"202"1*1,48*13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19,240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"206"1*4,55*1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4,550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"210"1*0,55*2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1,100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"211"1*1,2*15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18,000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"212"1*0,9*2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1,800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"214"1*1,2*5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"215"1*1,2*6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7,200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"203"1*1,48*2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2,960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"104"1*4,365*1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4,365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"105"1*1,45*1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1,450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"116"1*5,4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5,400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"117"1*5,4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5,400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"218"1*2,95*1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2,950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154,415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"ostatní potřebné plochy lešení"30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184,415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949101112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Lešení pomocné pracovní pro objekty pozemních staveb pro zatížení do 150 kg/m2, o výšce lešeňové podlahy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přes 1,9 do 3,5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34,000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1 870,00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667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ceně jsou započteny i náklady na montáž, opotřebení a demontáž</w:t>
            </w:r>
            <w:r>
              <w:rPr>
                <w:i/>
                <w:spacing w:val="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lešení.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ceně nejsou započteny náklady na manipulaci s lešením; tyto jsou již zahrnuty v cenách příslušných stavebních prací.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Množství měrných jednotek se určuje m2 podlahové plochy, na které se práce</w:t>
            </w:r>
            <w:r>
              <w:rPr>
                <w:i/>
                <w:spacing w:val="1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provádí.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"tělocvična"1,0*(17*2)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6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34,000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95-01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Zednická výpomoc (sekání,drážky,apod.) vč.jejich zpětného zapravení,odvozu,likvidace a poplatku za suť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hod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50,000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12 500,00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28"/>
              <w:rPr>
                <w:sz w:val="15"/>
              </w:rPr>
            </w:pPr>
            <w:r>
              <w:rPr>
                <w:sz w:val="15"/>
              </w:rPr>
              <w:t>95-02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Náklady na stěhování stávajícího zařízení a nábytku vč.uložení a zpětného umístění (v rozsahu požadavků</w:t>
            </w:r>
          </w:p>
          <w:p>
            <w:pPr>
              <w:pStyle w:val="TableParagraph"/>
              <w:spacing w:line="159" w:lineRule="exact" w:before="15"/>
              <w:ind w:left="27"/>
              <w:rPr>
                <w:sz w:val="15"/>
              </w:rPr>
            </w:pPr>
            <w:r>
              <w:rPr>
                <w:sz w:val="15"/>
              </w:rPr>
              <w:t>investora)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hod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100,000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22 000,00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0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line="116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rozsah prací upřesněn investor ve smlouvě o dílo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95-03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Oprava podlahy v místě vybourání sklobetonové příčky s dveřmi š-150mm dl.2950mm (chodba 2.np)-D+M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2 990,00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2 990,00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2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8"/>
              <w:rPr>
                <w:sz w:val="15"/>
              </w:rPr>
            </w:pPr>
            <w:r>
              <w:rPr>
                <w:sz w:val="15"/>
              </w:rPr>
              <w:t>95-05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Náklady na provizorní oddělení prostor objektu od stavebních úprav vč.dveří (SDK alt.dřevoštěpková stěna s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utěsnými spoji,vč.potažení folií)-dodávka,montáž a demontáž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680,00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20 400,00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7" w:lineRule="exact" w:before="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"oddělení potřebných ploch"30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7" w:lineRule="exact" w:before="2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30,000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8"/>
              <w:rPr>
                <w:sz w:val="15"/>
              </w:rPr>
            </w:pPr>
            <w:r>
              <w:rPr>
                <w:sz w:val="15"/>
              </w:rPr>
              <w:t>952901111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Vyčištění budov nebo objektů před předáním do užívání budov bytové nebo občanské výstavby, světlé výšky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podlaží do 4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628,188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95,00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59 677,86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2494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7" w:val="left" w:leader="none"/>
              </w:tabs>
              <w:spacing w:line="288" w:lineRule="auto" w:before="25" w:after="0"/>
              <w:ind w:left="24" w:right="163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Cenu -1111 lze použít i pro vyčištění půdy a rovné střechy budov, pokud definitivní úprava umožňuje, aby se ploché střechy používalo jako </w:t>
            </w:r>
            <w:r>
              <w:rPr>
                <w:i/>
                <w:w w:val="105"/>
                <w:sz w:val="11"/>
              </w:rPr>
              <w:t>terasy, nebo tehdy, když je nutno čistit konstrukce na těchto střechách (světlíky, dveře apod.). Do výměry se započítávají jednou třetinou plochy.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Střešní plochy hal se světlíky nebo okny se oceňují jako podlaží cenou</w:t>
            </w:r>
            <w:r>
              <w:rPr>
                <w:i/>
                <w:spacing w:val="20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-1221.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7" w:val="left" w:leader="none"/>
              </w:tabs>
              <w:spacing w:line="288" w:lineRule="auto" w:before="24" w:after="0"/>
              <w:ind w:left="24" w:right="204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Množství měrných jednotek se určuje v m2 půdorysné plochy každého podlaží, dané vnějším obrysem podlaží budovy. Plochy balkonů se </w:t>
            </w:r>
            <w:r>
              <w:rPr>
                <w:i/>
                <w:w w:val="105"/>
                <w:sz w:val="11"/>
              </w:rPr>
              <w:t>přičítají.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7" w:val="left" w:leader="none"/>
              </w:tabs>
              <w:spacing w:line="288" w:lineRule="auto" w:before="0" w:after="0"/>
              <w:ind w:left="24" w:right="9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ceně -1111 a -1114 jsou započteny náklady na zametení a umytí podlah, dlažeb, obkladů, schodů v místnostech, chodbách a schodištích, </w:t>
            </w:r>
            <w:r>
              <w:rPr>
                <w:i/>
                <w:w w:val="105"/>
                <w:sz w:val="11"/>
              </w:rPr>
              <w:t>vyčištění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umytí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oken,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dveří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spacing w:val="-3"/>
                <w:w w:val="105"/>
                <w:sz w:val="11"/>
              </w:rPr>
              <w:t>rámy,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zárubněmi,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umytí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vyčištění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jiných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zasklených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natíraných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ploch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zařizovacích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předmětů.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7" w:val="left" w:leader="none"/>
              </w:tabs>
              <w:spacing w:line="288" w:lineRule="auto" w:before="0" w:after="0"/>
              <w:ind w:left="24" w:right="78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ceně -1221 jsou započteny náklady na zametení podlahy, umytí dlažeb nebo keramických podlah v přilehlých místnostech, chodbách a </w:t>
            </w:r>
            <w:r>
              <w:rPr>
                <w:i/>
                <w:w w:val="105"/>
                <w:sz w:val="11"/>
              </w:rPr>
              <w:t>schodištích, umytí obkladů, schodů, vyčištění a umytí oken a dveří s rámy a zárubněmi, umytí a vyčištění jiných zasklených a natíraných ploch   a zařizovacích předmětů.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ceně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spacing w:val="-3"/>
                <w:w w:val="105"/>
                <w:sz w:val="11"/>
              </w:rPr>
              <w:t>-1311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jsou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započteny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náklady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na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zametení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čištění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dlažeb,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umytí,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vyčištění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okenních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dveřních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rámů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zařizovacích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předmětů.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7" w:val="left" w:leader="none"/>
              </w:tabs>
              <w:spacing w:line="240" w:lineRule="auto" w:before="23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ceně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spacing w:val="-3"/>
                <w:w w:val="105"/>
                <w:sz w:val="11"/>
              </w:rPr>
              <w:t>-1411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jsou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započteny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náklady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na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vynesení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zbytků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stavebního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rumu,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kropení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2x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zametení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podlah,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oprášení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stěn</w:t>
            </w:r>
            <w:r>
              <w:rPr>
                <w:i/>
                <w:spacing w:val="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výplní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otvorů.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line="147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"vyčištění v pásu měněných oken (obvodové stěny)"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"hlavní budova"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"1.np"1,5*(30,25+28,5+4,8+1,45)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97,500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"2.np"1,5*(42,55*2+4,65*3)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148,575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"přístupové plochy"30*2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"vedlejší budova (s tělocvičnou)"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"1.np"1,5*(24,6*2+23,825+12)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127,538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"2.np"1,5*(23,825*2+5,4)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79,575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"přístupové plochy"20*2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553,188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"ostatní potřebné plochy"75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75,000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628,188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962081141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Bourání zdiva příček nebo vybourání otvorů ze skleněných tvárnic, tl. do 150 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7,174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165,00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1 183,71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"2.np-vnitřní sklobet.stěna s dvoukř.dveřmi"2,95*3,4-(1,45*1,97)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2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7,174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8"/>
              <w:rPr>
                <w:sz w:val="15"/>
              </w:rPr>
            </w:pPr>
            <w:r>
              <w:rPr>
                <w:sz w:val="15"/>
              </w:rPr>
              <w:t>968062374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Vybourání dřevěných rámů oken s křídly, dveřních zárubní, vrat, stěn, ostění nebo obkladů rámů oken s křídly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zdvojených, plochy do 1 m2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11,460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2 177,40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V cenách -2244 až -2747 jsou započteny i náklady na vyvěšení křídel.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7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"stáv.dř.okna"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0,55*0,6*2+1,2*0,6*15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11,460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968062375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Vybourání dřevěných rámů oken s křídly, dveřních zárubní, vrat, stěn, ostění nebo obkladů rámů oken s křídly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zdvojených, plochy do 2 m2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3,780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130,00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491,40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V cenách -2244 až -2747 jsou započteny i náklady na vyvěšení křídel.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7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"stáv.dř.okna"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0,9*2,1*2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3,780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8"/>
              <w:rPr>
                <w:sz w:val="15"/>
              </w:rPr>
            </w:pPr>
            <w:r>
              <w:rPr>
                <w:sz w:val="15"/>
              </w:rPr>
              <w:t>968062376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Vybourání dřevěných rámů oken s křídly, dveřních zárubní, vrat, stěn, ostění nebo obkladů rámů oken s křídly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zdvojených, plochy do 4 m2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269,520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26 952,00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V cenách -2244 až -2747 jsou započteny i náklady na vyvěšení křídel.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7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"stáv.dř.okna"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1,48*2,6*50+1,48*2*13+4,55*2,4*1+1,2*2,1*(5+6)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269,520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8"/>
              <w:rPr>
                <w:sz w:val="15"/>
              </w:rPr>
            </w:pPr>
            <w:r>
              <w:rPr>
                <w:sz w:val="15"/>
              </w:rPr>
              <w:t>968072456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Vybourání kovových rámů oken s křídly, dveřních zárubní, vrat, stěn, ostění nebo obkladů dveřních zárubní,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plochy přes 2 m2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2,857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571,40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51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-2244 až -2559 jsou započteny i náklady na vyvěšení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křídel.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Cenou -2641 se oceňuje i vybourání nosné ocelové konstrukce pro sádrokartonové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příčky.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"2.np-dvoukř.dveře v sklobet.příčce"1,45*1,97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7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2,857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968072641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Vybourání kovových rámů oken s křídly, dveřních zárubní, vrat, stěn, ostění nebo obkladů stěn jakýchkoliv,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kromě výkladních jakékoliv plochy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196,520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17 686,80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51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-2244 až -2559 jsou započteny i náklady na vyvěšení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křídel.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Cenou -2641 se oceňuje i vybourání nosné ocelové konstrukce pro sádrokartonové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příčky.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"AL vstupní sestavy+tělocvična"4,35*3,5+1,45*3,5+16,8*4,2*2+5,4*3,25*2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6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196,520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968082018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Vybourání plastových rámů oken s křídly, dveřních zárubní, vrat rámu oken s křídly, plochy přes 4 m2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10,360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140,00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1 450,40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668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</w:t>
            </w:r>
            <w:r>
              <w:rPr>
                <w:i/>
                <w:spacing w:val="1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cen: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7" w:val="left" w:leader="none"/>
              </w:tabs>
              <w:spacing w:line="288" w:lineRule="auto" w:before="24" w:after="0"/>
              <w:ind w:left="24" w:right="119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neplatí pro oceňování vybourání kovových rámů s plastovým povrchem; tyto práce lze oceňovat např. cenami souboru cen 968 07-2 . </w:t>
            </w:r>
            <w:r>
              <w:rPr>
                <w:i/>
                <w:w w:val="105"/>
                <w:sz w:val="11"/>
              </w:rPr>
              <w:t>Vybourání kovových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rámů.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- 2015 až -2018 jsou započteny i náklady na vyvěšení</w:t>
            </w:r>
            <w:r>
              <w:rPr>
                <w:i/>
                <w:spacing w:val="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křídel.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"stáv.plast.vstup.dveře"1,48*3,5*2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7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10,360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978011191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Otlučení vápenných nebo vápenocementových omítek vnitřních ploch stropů, v rozsahu přes 50 do 100 %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51,019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4 591,71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Položky lze použít i pro ocenění otlučení sádrových, hliněných apod. vnitřních omítek.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horní špalety"51,019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8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51,019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978013191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Otlučení vápenných nebo vápenocementových omítek vnitřních ploch stěn s vyškrabáním spar, s očištěním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zdiva, v rozsahu přes 50 do 100 %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119,560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70,00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8 369,20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Položky lze použít i pro ocenění otlučení sádrových, hliněných apod. vnitřních omítek.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boční špalety"119,56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8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119,560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978059611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Odsekání obkladů stěn včetně otlučení podkladní omítky až na zdivo z obkládaček vnějších, z jakýchkoliv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materiálů, plochy do 1 m2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30,188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165,00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4 981,02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Odsekání soklíků se oceňuje cenami souboru cen 965 08.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"stáv.cih.pásky-boční špalety (cca 50% plochy)"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"západ"(0,1*(2,6*35+0,6*4+2,0*9))*0,5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5,570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"východ"(0,1*(2,6*32+2,0*8+3,5))*0,5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5,135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"sever"(0,1*(3,5*4+2,4*2))*0,5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0,940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"jih"0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"tělocvična jih-boční+některé horní"(0,15*(4,2*2+1,2*15+0,6*30+2,1*22+3,25*2))*0,5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7,283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"tělocvična sever"(0,15*(4,2*2+2,1*4))*0,5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1,260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20,188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30,188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 w:before="29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6" w:lineRule="exact"/>
              <w:ind w:left="33"/>
              <w:rPr>
                <w:sz w:val="17"/>
              </w:rPr>
            </w:pPr>
            <w:r>
              <w:rPr>
                <w:sz w:val="17"/>
              </w:rPr>
              <w:t>997</w:t>
            </w: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6" w:lineRule="exact"/>
              <w:ind w:left="32"/>
              <w:rPr>
                <w:sz w:val="17"/>
              </w:rPr>
            </w:pPr>
            <w:r>
              <w:rPr>
                <w:sz w:val="17"/>
              </w:rPr>
              <w:t>Přesun sutě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6" w:lineRule="exact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48 384,93</w:t>
            </w: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997013211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Vnitrostaveništní doprava suti a vybouraných hmot vodorovně do 50 m svisle ručně pro budovy a haly výšky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do 6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30,119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670,00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20 179,73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26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17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V cenách -3111 až -3217 jsou započteny i náklady na: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62" w:val="left" w:leader="none"/>
              </w:tabs>
              <w:spacing w:line="240" w:lineRule="auto" w:before="25" w:after="0"/>
              <w:ind w:left="161" w:right="0" w:hanging="138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vodorovnou dopravu na uvedenou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vzdálenost,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62" w:val="left" w:leader="none"/>
              </w:tabs>
              <w:spacing w:line="240" w:lineRule="auto" w:before="25" w:after="0"/>
              <w:ind w:left="161" w:right="0" w:hanging="138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svislou dopravu pro uvedenou výšku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budovy,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naložení na vodorovný dopravní prostředek pro odvoz na skládku nebo</w:t>
            </w:r>
            <w:r>
              <w:rPr>
                <w:i/>
                <w:spacing w:val="10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meziskládku,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62" w:val="left" w:leader="none"/>
              </w:tabs>
              <w:spacing w:line="240" w:lineRule="auto" w:before="24" w:after="0"/>
              <w:ind w:left="161" w:right="0" w:hanging="138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náklady na rozhrnutí a urovnání suti na dopravním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prostředku.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7" w:val="left" w:leader="none"/>
              </w:tabs>
              <w:spacing w:line="285" w:lineRule="auto" w:before="25" w:after="0"/>
              <w:ind w:left="24" w:right="93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Jestliže se pro svislý přesun použije shoz nebo zařízení investora (např. výtah v budově), užijí se pro ocenění vodorovné dopravy suti ceny - </w:t>
            </w:r>
            <w:r>
              <w:rPr>
                <w:i/>
                <w:spacing w:val="-5"/>
                <w:w w:val="105"/>
                <w:sz w:val="11"/>
              </w:rPr>
              <w:t>3111, </w:t>
            </w:r>
            <w:r>
              <w:rPr>
                <w:i/>
                <w:w w:val="105"/>
                <w:sz w:val="11"/>
              </w:rPr>
              <w:t>3151 a </w:t>
            </w:r>
            <w:r>
              <w:rPr>
                <w:i/>
                <w:spacing w:val="-3"/>
                <w:w w:val="105"/>
                <w:sz w:val="11"/>
              </w:rPr>
              <w:t>-3211 </w:t>
            </w:r>
            <w:r>
              <w:rPr>
                <w:i/>
                <w:w w:val="105"/>
                <w:sz w:val="11"/>
              </w:rPr>
              <w:t>pro budovy a haly výšky do 6</w:t>
            </w:r>
            <w:r>
              <w:rPr>
                <w:i/>
                <w:spacing w:val="2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7" w:val="left" w:leader="none"/>
              </w:tabs>
              <w:spacing w:line="240" w:lineRule="auto" w:before="1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Montáž, demontáž a pronájem shozu se ocení cenami souboru cen 997 01-33 Shoz</w:t>
            </w:r>
            <w:r>
              <w:rPr>
                <w:i/>
                <w:spacing w:val="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suti.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-3151 až -3162 lze použít v případě, kdy dochází ke ztížení dopravy suti např. tím, že není možné instalovat</w:t>
            </w:r>
            <w:r>
              <w:rPr>
                <w:i/>
                <w:spacing w:val="2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jeřáb.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8"/>
              <w:rPr>
                <w:sz w:val="15"/>
              </w:rPr>
            </w:pPr>
            <w:r>
              <w:rPr>
                <w:sz w:val="15"/>
              </w:rPr>
              <w:t>997013311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7"/>
              <w:rPr>
                <w:sz w:val="15"/>
              </w:rPr>
            </w:pPr>
            <w:r>
              <w:rPr>
                <w:sz w:val="15"/>
              </w:rPr>
              <w:t>Doprava suti shozem montáž a demontáž shozu výšky do 10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6,000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410,00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2 460,00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</w:tbl>
    <w:p>
      <w:pPr>
        <w:spacing w:after="0" w:line="158" w:lineRule="exact"/>
        <w:rPr>
          <w:sz w:val="15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818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Shozy vyšší než 75 m se oceňují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individuálně.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Výškou se rozumí vzdálenost od vyústění shozu do úrovně plnícího</w:t>
            </w:r>
            <w:r>
              <w:rPr>
                <w:i/>
                <w:spacing w:val="1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trychtýře.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7" w:val="left" w:leader="none"/>
              </w:tabs>
              <w:spacing w:line="288" w:lineRule="auto" w:before="25" w:after="0"/>
              <w:ind w:left="24" w:right="13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Náklady na vodorovnou dopravu suti se oceňují cenami 977 01-3111, -3151 a -3211 pro budovy a haly výšky do 6 m souboru cen 977 01-3 </w:t>
            </w:r>
            <w:r>
              <w:rPr>
                <w:i/>
                <w:w w:val="105"/>
                <w:sz w:val="11"/>
              </w:rPr>
              <w:t>Vnitrostaveništní doprava suti a vybouraných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hmot.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5"/>
              <w:ind w:left="27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5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997013322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Doprava suti shozem montáž a demontáž shozu výšky Příplatek za první a každý další den použití shozu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k ceně -3312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216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1 650,00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815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Shozy vyšší než 75 m se oceňují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individuálně.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Výškou se rozumí vzdálenost od vyústění shozu do úrovně plnícího</w:t>
            </w:r>
            <w:r>
              <w:rPr>
                <w:i/>
                <w:spacing w:val="1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trychtýře.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57" w:val="left" w:leader="none"/>
              </w:tabs>
              <w:spacing w:line="288" w:lineRule="auto" w:before="25" w:after="0"/>
              <w:ind w:left="24" w:right="13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Náklady na vodorovnou dopravu suti se oceňují cenami 977 01-3111, -3151 a -3211 pro budovy a haly výšky do 6 m souboru cen 977 01-3 </w:t>
            </w:r>
            <w:r>
              <w:rPr>
                <w:i/>
                <w:w w:val="105"/>
                <w:sz w:val="11"/>
              </w:rPr>
              <w:t>Vnitrostaveništní doprava suti a vybouraných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hmot.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before="77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line="122" w:lineRule="exact"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uchazeč ve své cenové nabídce vyhodnotí dobu použití a konečnou cenu zapracuje ve své nabídce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6*5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2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8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8"/>
              <w:rPr>
                <w:sz w:val="15"/>
              </w:rPr>
            </w:pPr>
            <w:r>
              <w:rPr>
                <w:sz w:val="15"/>
              </w:rPr>
              <w:t>997013501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7"/>
              <w:rPr>
                <w:sz w:val="15"/>
              </w:rPr>
            </w:pPr>
            <w:r>
              <w:rPr>
                <w:sz w:val="15"/>
              </w:rPr>
              <w:t>Odvoz suti a vybouraných hmot na skládku nebo meziskládku se složením, na vzdálenost do 1 km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257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30,119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210,00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6 324,99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034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9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Délka odvozu suti je vzdálenost od místa naložení suti na dopravní prostředek až</w:t>
            </w:r>
            <w:r>
              <w:rPr>
                <w:i/>
                <w:spacing w:val="1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po místo složení na určené skládce nebo meziskládce.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ceně -3501 jsou započteny i náklady na složení suti na skládku nebo</w:t>
            </w:r>
            <w:r>
              <w:rPr>
                <w:i/>
                <w:spacing w:val="1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meziskládku.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jsou určeny pro odvoz suti na skládku nebo meziskládku jakýmkoliv způsobem silniční dopravy (i prostřednictvím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kontejnerů).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Odvoz suti z meziskládky se oceňuje cenou 997</w:t>
            </w:r>
            <w:r>
              <w:rPr>
                <w:i/>
                <w:spacing w:val="-1"/>
                <w:w w:val="105"/>
                <w:sz w:val="11"/>
              </w:rPr>
              <w:t> </w:t>
            </w:r>
            <w:r>
              <w:rPr>
                <w:i/>
                <w:spacing w:val="-3"/>
                <w:w w:val="105"/>
                <w:sz w:val="11"/>
              </w:rPr>
              <w:t>01-3511.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997013509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Odvoz suti a vybouraných hmot na skládku nebo meziskládku se složením, na vzdálenost Příplatek k ceně za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každý další i započatý 1 km přes 1 km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257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271,071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2 710,71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926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9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Délka odvozu suti je vzdálenost od místa naložení suti na dopravní prostředek až</w:t>
            </w:r>
            <w:r>
              <w:rPr>
                <w:i/>
                <w:spacing w:val="1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po místo složení na určené skládce nebo meziskládce.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ceně -3501 jsou započteny i náklady na složení suti na skládku nebo</w:t>
            </w:r>
            <w:r>
              <w:rPr>
                <w:i/>
                <w:spacing w:val="1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meziskládku.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jsou určeny pro odvoz suti na skládku nebo meziskládku jakýmkoliv způsobem silniční dopravy (i prostřednictvím</w:t>
            </w:r>
            <w:r>
              <w:rPr>
                <w:i/>
                <w:spacing w:val="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kontejnerů).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Odvoz suti z meziskládky se oceňuje cenou 997</w:t>
            </w:r>
            <w:r>
              <w:rPr>
                <w:i/>
                <w:spacing w:val="-1"/>
                <w:w w:val="105"/>
                <w:sz w:val="11"/>
              </w:rPr>
              <w:t> </w:t>
            </w:r>
            <w:r>
              <w:rPr>
                <w:i/>
                <w:spacing w:val="-3"/>
                <w:w w:val="105"/>
                <w:sz w:val="11"/>
              </w:rPr>
              <w:t>01-3511.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line="122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uchazeč ve své cenové nabídce vyhodnotí vzdálenost skládky a konečnou cenu zapracuje ve své nabídce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30,119*9 'Přepočtené koeficientem množství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2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271,071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997013871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Poplatek za uložení stavebního odpadu na recyklační skládce (skládkovné) směsného stavebního a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demoličního zatříděného do Katalogu odpadů pod kódem 17 09 04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257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30,119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15 059,50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513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uvedené v souboru cen je doporučeno upravit podle aktuálních cen místně příslušné skládky</w:t>
            </w:r>
            <w:r>
              <w:rPr>
                <w:i/>
                <w:spacing w:val="2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odpadů.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Uložení odpadů neuvedených v souboru cen se oceňuje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individuálně.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8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 w:before="101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64"/>
              <w:ind w:left="33"/>
              <w:rPr>
                <w:sz w:val="17"/>
              </w:rPr>
            </w:pPr>
            <w:r>
              <w:rPr>
                <w:sz w:val="17"/>
              </w:rPr>
              <w:t>998</w:t>
            </w: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64"/>
              <w:ind w:left="32"/>
              <w:rPr>
                <w:sz w:val="17"/>
              </w:rPr>
            </w:pPr>
            <w:r>
              <w:rPr>
                <w:sz w:val="17"/>
              </w:rPr>
              <w:t>Přesun hmot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64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19 367,70</w:t>
            </w: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998018001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 hmot pro budovy občanské výstavby, bydlení, výrobu a služby ruční - bez užití mechanizace</w:t>
            </w:r>
          </w:p>
          <w:p>
            <w:pPr>
              <w:pStyle w:val="TableParagraph"/>
              <w:spacing w:line="159" w:lineRule="exact" w:before="15"/>
              <w:ind w:left="27"/>
              <w:rPr>
                <w:sz w:val="15"/>
              </w:rPr>
            </w:pPr>
            <w:r>
              <w:rPr>
                <w:sz w:val="15"/>
              </w:rPr>
              <w:t>vodorovná dopravní vzdálenost do 100 m pro budovy s jakoukoliv nosnou konstrukcí výšky do 6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257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17,607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1 100,00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19 367,70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813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-7001 až -7006 lze použít v případě, kdy dochází ke ztížení přesunu např. tím, že není možné instalovat</w:t>
            </w:r>
            <w:r>
              <w:rPr>
                <w:i/>
                <w:spacing w:val="2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jeřáb.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K cenám -7001 až -7006 lze použít příplatky za zvětšený přesun -1014 až -1019, -2034 až -2039 nebo </w:t>
            </w:r>
            <w:r>
              <w:rPr>
                <w:i/>
                <w:spacing w:val="-3"/>
                <w:w w:val="105"/>
                <w:sz w:val="11"/>
              </w:rPr>
              <w:t>-2114 </w:t>
            </w:r>
            <w:r>
              <w:rPr>
                <w:i/>
                <w:w w:val="105"/>
                <w:sz w:val="11"/>
              </w:rPr>
              <w:t>až</w:t>
            </w:r>
            <w:r>
              <w:rPr>
                <w:i/>
                <w:spacing w:val="20"/>
                <w:w w:val="105"/>
                <w:sz w:val="11"/>
              </w:rPr>
              <w:t> </w:t>
            </w:r>
            <w:r>
              <w:rPr>
                <w:i/>
                <w:spacing w:val="-3"/>
                <w:w w:val="105"/>
                <w:sz w:val="11"/>
              </w:rPr>
              <w:t>2119.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7" w:val="left" w:leader="none"/>
              </w:tabs>
              <w:spacing w:line="288" w:lineRule="auto" w:before="25" w:after="0"/>
              <w:ind w:left="24" w:right="61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Jestliže pro svislý přesun používá zařízení investora (např. výtah v budově), užijí se pro ocenění přesunu hmot ceny stanovené pro nejmenší </w:t>
            </w:r>
            <w:r>
              <w:rPr>
                <w:i/>
                <w:w w:val="105"/>
                <w:sz w:val="11"/>
              </w:rPr>
              <w:t>výšku, tj. 6</w:t>
            </w:r>
            <w:r>
              <w:rPr>
                <w:i/>
                <w:spacing w:val="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</w:tcPr>
          <w:p>
            <w:pPr>
              <w:pStyle w:val="TableParagraph"/>
              <w:spacing w:line="216" w:lineRule="exact" w:before="66"/>
              <w:ind w:left="37"/>
              <w:rPr>
                <w:sz w:val="20"/>
              </w:rPr>
            </w:pPr>
            <w:r>
              <w:rPr>
                <w:sz w:val="20"/>
              </w:rPr>
              <w:t>PSV</w:t>
            </w:r>
          </w:p>
        </w:tc>
        <w:tc>
          <w:tcPr>
            <w:tcW w:w="7524" w:type="dxa"/>
          </w:tcPr>
          <w:p>
            <w:pPr>
              <w:pStyle w:val="TableParagraph"/>
              <w:spacing w:line="216" w:lineRule="exact" w:before="66"/>
              <w:ind w:left="36"/>
              <w:rPr>
                <w:sz w:val="20"/>
              </w:rPr>
            </w:pPr>
            <w:r>
              <w:rPr>
                <w:sz w:val="20"/>
              </w:rPr>
              <w:t>Práce a dodávky PSV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spacing w:line="216" w:lineRule="exact" w:before="6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4 900 629,56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 w:before="24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1" w:lineRule="exact"/>
              <w:ind w:left="33"/>
              <w:rPr>
                <w:sz w:val="17"/>
              </w:rPr>
            </w:pPr>
            <w:r>
              <w:rPr>
                <w:sz w:val="17"/>
              </w:rPr>
              <w:t>764</w:t>
            </w: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1" w:lineRule="exact"/>
              <w:ind w:left="32"/>
              <w:rPr>
                <w:sz w:val="17"/>
              </w:rPr>
            </w:pPr>
            <w:r>
              <w:rPr>
                <w:sz w:val="17"/>
              </w:rPr>
              <w:t>Konstrukce klempířské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1" w:lineRule="exact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83 441,26</w:t>
            </w: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764002851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Demontáž klempířských konstrukcí oplechování parapetů do suti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173,765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75,00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13 032,38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parapety 301"173,765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173,765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764246304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Oplechování parapetů z titanzinkového lesklého válcovaného plechu rovných mechanicky kotvené, bez rohů rš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330 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216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173,765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69 506,00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"oplechování dř.oken-klempíř 301"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"201"1,48*50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"202"1,48*13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19,240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"206"4,55*1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4,550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25" w:lineRule="exact"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3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"210"0,55*2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3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1,100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"211"1,2*15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18,000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"212"0,9*2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1,800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"113"16,8*2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33,600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"214"1,2*5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"215"1,2*6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7,200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165,490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0,05*165,49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8,275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173,765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998764101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 hmot pro konstrukce klempířské stanovený z hmotnosti přesunovaného materiálu vodorovná dopravní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vzdálenost do 50 m v objektech výšky do 6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0,342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1 650,00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564,30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183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57" w:val="left" w:leader="none"/>
              </w:tabs>
              <w:spacing w:line="288" w:lineRule="auto" w:before="24" w:after="0"/>
              <w:ind w:left="24" w:right="129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pro přesun hmot stanovený z hmotnosti přesunovaného materiálu se používají tehdy, pokud je možné určit hmotnost za celý stavební </w:t>
            </w:r>
            <w:r>
              <w:rPr>
                <w:i/>
                <w:w w:val="105"/>
                <w:sz w:val="11"/>
              </w:rPr>
              <w:t>díl. Do této hmotnosti se započítává i hmotnost materiálů oceňovaných ve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57" w:val="left" w:leader="none"/>
              </w:tabs>
              <w:spacing w:line="288" w:lineRule="auto" w:before="0" w:after="0"/>
              <w:ind w:left="24" w:right="29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Pokud nelze jednoznačně stanovit hmotnost přesunovaných materiálů, lze pro výpočet přesunu hmot použít orientačně procentní sazbu. </w:t>
            </w:r>
            <w:r>
              <w:rPr>
                <w:i/>
                <w:spacing w:val="-3"/>
                <w:w w:val="105"/>
                <w:sz w:val="11"/>
              </w:rPr>
              <w:t>Touto </w:t>
            </w:r>
            <w:r>
              <w:rPr>
                <w:i/>
                <w:w w:val="105"/>
                <w:sz w:val="11"/>
              </w:rPr>
              <w:t>sazbou se vynásobí rozpočtové náklady za celý stavební díl včetně nákladů na materiál ve specifikacích.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57" w:val="left" w:leader="none"/>
              </w:tabs>
              <w:spacing w:line="288" w:lineRule="auto" w:before="0" w:after="0"/>
              <w:ind w:left="24" w:right="58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Příplatek k cenám -4181 pro přesun prováděný bez použití mechanizace, tj. za ztížených podmínek, lze použít pouze pro hmotnost </w:t>
            </w:r>
            <w:r>
              <w:rPr>
                <w:i/>
                <w:w w:val="105"/>
                <w:sz w:val="11"/>
              </w:rPr>
              <w:t>materiálu, která se tímto způsobem skutečně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přemísťuje.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998764181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 hmot pro konstrukce klempířské stanovený z hmotnosti přesunovaného materiálu Příplatek k cenám za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přesun prováděný bez použití mechanizace pro jakoukoliv výšku objektu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0,342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990,00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338,58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11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57" w:val="left" w:leader="none"/>
              </w:tabs>
              <w:spacing w:line="288" w:lineRule="auto" w:before="24" w:after="0"/>
              <w:ind w:left="24" w:right="129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pro přesun hmot stanovený z hmotnosti přesunovaného materiálu se používají tehdy, pokud je možné určit hmotnost za celý stavební </w:t>
            </w:r>
            <w:r>
              <w:rPr>
                <w:i/>
                <w:w w:val="105"/>
                <w:sz w:val="11"/>
              </w:rPr>
              <w:t>díl. Do této hmotnosti se započítává i hmotnost materiálů oceňovaných ve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57" w:val="left" w:leader="none"/>
              </w:tabs>
              <w:spacing w:line="288" w:lineRule="auto" w:before="0" w:after="0"/>
              <w:ind w:left="24" w:right="29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Pokud nelze jednoznačně stanovit hmotnost přesunovaných materiálů, lze pro výpočet přesunu hmot použít orientačně procentní sazbu. </w:t>
            </w:r>
            <w:r>
              <w:rPr>
                <w:i/>
                <w:spacing w:val="-3"/>
                <w:w w:val="105"/>
                <w:sz w:val="11"/>
              </w:rPr>
              <w:t>Touto </w:t>
            </w:r>
            <w:r>
              <w:rPr>
                <w:i/>
                <w:w w:val="105"/>
                <w:sz w:val="11"/>
              </w:rPr>
              <w:t>sazbou se vynásobí rozpočtové náklady za celý stavební díl včetně nákladů na materiál ve specifikacích.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57" w:val="left" w:leader="none"/>
              </w:tabs>
              <w:spacing w:line="288" w:lineRule="auto" w:before="0" w:after="0"/>
              <w:ind w:left="24" w:right="58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Příplatek k cenám -4181 pro přesun prováděný bez použití mechanizace, tj. za ztížených podmínek, lze použít pouze pro hmotnost </w:t>
            </w:r>
            <w:r>
              <w:rPr>
                <w:i/>
                <w:w w:val="105"/>
                <w:sz w:val="11"/>
              </w:rPr>
              <w:t>materiálu, která se tímto způsobem skutečně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přemísťuje.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 w:before="99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61"/>
              <w:ind w:left="33"/>
              <w:rPr>
                <w:sz w:val="17"/>
              </w:rPr>
            </w:pPr>
            <w:r>
              <w:rPr>
                <w:sz w:val="17"/>
              </w:rPr>
              <w:t>766</w:t>
            </w: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61"/>
              <w:ind w:left="32"/>
              <w:rPr>
                <w:sz w:val="17"/>
              </w:rPr>
            </w:pPr>
            <w:r>
              <w:rPr>
                <w:sz w:val="17"/>
              </w:rPr>
              <w:t>Konstrukce truhlářské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61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2 678 189,34</w:t>
            </w: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766-01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Sítě proti hmyzu pro dřevěná okna vč.rámu-pevné-D+M (viz.výpis oken)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12,600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6 300,00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okna 214"(1,2*2,1)*5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12,600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8"/>
              <w:rPr>
                <w:sz w:val="15"/>
              </w:rPr>
            </w:pPr>
            <w:r>
              <w:rPr>
                <w:sz w:val="15"/>
              </w:rPr>
              <w:t>766-201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7"/>
              <w:rPr>
                <w:sz w:val="15"/>
              </w:rPr>
            </w:pPr>
            <w:r>
              <w:rPr>
                <w:sz w:val="15"/>
              </w:rPr>
              <w:t>201-Dř.okno čtyřkř.1480/2600mm iz.sklo,kování,syst.osazení-D+M(plný popis viz.výpis truhlář)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50,000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29 430,00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1 471 500,00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42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288" w:lineRule="auto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OKENNÍ VÝPLNĚ OTVORŮ BUDOU PROVEDENA ZE TŘÍVRSTVÝCH CERTIFIKOVANÝCH PROFILŮ BEZ PODÉLNÉHO </w:t>
            </w:r>
            <w:r>
              <w:rPr>
                <w:i/>
                <w:w w:val="105"/>
                <w:sz w:val="11"/>
              </w:rPr>
              <w:t>NAPOJENÍ,ZAOBLENÍ HRAN R6.MATERIÁL SMRK, PROFIL 78 ,SYSTÉMOVÁ POVRCHOVÁ ÚPRAVA, BARVA RAL (BÍLÁ), BUDE VZORKOVÁNO,MEZISKLENÍ RÁMEČEK V BARVĚ BÍLÉ,IZOLAČNÍ SKLO Ug=0,6 W/m2K, CELÉ OKNO Uw=0,9 W/m2K,SOLÁRNÍ FAKTOR</w:t>
            </w:r>
          </w:p>
          <w:p>
            <w:pPr>
              <w:pStyle w:val="TableParagraph"/>
              <w:spacing w:line="125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(g) 0,52, VENKOVNÍ ODRAZIVOST MAX 14%,OKENNÍ OTVORY VČETNĚ OKAPNICE AL V BARVĚ BÍLÉ, KRYTY</w:t>
            </w:r>
          </w:p>
          <w:p>
            <w:pPr>
              <w:pStyle w:val="TableParagraph"/>
              <w:spacing w:line="120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PANTŮ,CELOOBVODOVÉ TĚSNĚNÍ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50,000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766-202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202-Dř.okno dvoukř.1480/2000mm iz.sklo,kování,syst.osazení-D+M(plný popis viz.výpis truhlář)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13,000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21 370,00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277 810,00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42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288" w:lineRule="auto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OKENNÍ VÝPLNĚ OTVORŮ BUDOU PROVEDENA ZE TŘÍVRSTVÝCH CERTIFIKOVANÝCH PROFILŮ BEZ PODÉLNÉHO </w:t>
            </w:r>
            <w:r>
              <w:rPr>
                <w:i/>
                <w:w w:val="105"/>
                <w:sz w:val="11"/>
              </w:rPr>
              <w:t>NAPOJENÍ,ZAOBLENÍ HRAN R6.MATERIÁL SMRK, PROFIL 78 ,SYSTÉMOVÁ POVRCHOVÁ ÚPRAVA, BARVA RAL (BÍLÁ), BUDE VZORKOVÁNO,MEZISKLENÍ RÁMEČEK V BARVĚ BÍLÉ,IZOLAČNÍ SKLO Ug=0,6 W/m2K, CELÉ OKNO Uw=0,9 W/m2K,SOLÁRNÍ FAKTOR</w:t>
            </w:r>
          </w:p>
          <w:p>
            <w:pPr>
              <w:pStyle w:val="TableParagraph"/>
              <w:spacing w:line="125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(g) 0,52, VENKOVNÍ ODRAZIVOST MAX 14%,OKENNÍ OTVORY VČETNĚ OKAPNICE AL V BARVĚ BÍLÉ, KRYTY</w:t>
            </w:r>
          </w:p>
          <w:p>
            <w:pPr>
              <w:pStyle w:val="TableParagraph"/>
              <w:spacing w:line="120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PANTŮ,CELOOBVODOVÉ TĚSNĚNÍ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"202"13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13,000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2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766-203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4" w:lineRule="exact"/>
              <w:ind w:left="27"/>
              <w:rPr>
                <w:sz w:val="15"/>
              </w:rPr>
            </w:pPr>
            <w:r>
              <w:rPr>
                <w:sz w:val="15"/>
              </w:rPr>
              <w:t>203-Dř.proskl.sestava dvoukř.dveří a fix nadsvětlíku</w:t>
            </w:r>
          </w:p>
          <w:p>
            <w:pPr>
              <w:pStyle w:val="TableParagraph"/>
              <w:spacing w:line="180" w:lineRule="atLeast" w:before="7"/>
              <w:ind w:left="27" w:right="21"/>
              <w:rPr>
                <w:sz w:val="15"/>
              </w:rPr>
            </w:pPr>
            <w:r>
              <w:rPr>
                <w:sz w:val="15"/>
              </w:rPr>
              <w:t>1480/3500mm,bezp.izol.sklo,bezp.el.zámek,koord.zavírání,panikové kování,samozavírač,syst.osazení- D+M(plný popis viz.výpis truhlář)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12 190,00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24 380,00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034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288" w:lineRule="auto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OKENNÍ VÝPLNĚ OTVORŮ BUDOU PROVEDENA ZE TŘÍVRSTVÝCH CERTIFIKOVANÝCH PROFILŮ BEZ PODÉLNÉHO </w:t>
            </w:r>
            <w:r>
              <w:rPr>
                <w:i/>
                <w:w w:val="105"/>
                <w:sz w:val="11"/>
              </w:rPr>
              <w:t>NAPOJENÍ,ZAOBLENÍ HRAN R6.MATERIÁL SMRK, PROFIL 78 ,SYSTÉMOVÁ POVRCHOVÁ ÚPRAVA, BARVA RAL (BÍLÁ), BUDE VZORKOVÁNO,MEZISKLENÍ RÁMEČEK V BARVĚ BÍLÉ,IZOLAČNÍ SKLO Ug=0,6 W/m2K, CELÉ OKNO Uw=0,9 W/m2K,SOLÁRNÍ FAKTOR</w:t>
            </w:r>
          </w:p>
          <w:p>
            <w:pPr>
              <w:pStyle w:val="TableParagraph"/>
              <w:spacing w:line="125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(g) 0,52, VENKOVNÍ ODRAZIVOST MAX 14%,OKENNÍ OTVORY VČETNĚ OKAPNICE AL V BARVĚ BÍLÉ, KRYTY</w:t>
            </w:r>
          </w:p>
          <w:p>
            <w:pPr>
              <w:pStyle w:val="TableParagraph"/>
              <w:spacing w:line="112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PANTŮ,CELOOBVODOVÉ TĚSNĚNÍ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766-206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206-Dř.okno šestikř.4550/2400mm iz.sklo,kování,syst.osazení-D+M(plný popis viz.výpis truhlář)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80 850,00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80 850,00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right w:val="nil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042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288" w:lineRule="auto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OKENNÍ VÝPLNĚ OTVORŮ BUDOU PROVEDENA ZE TŘÍVRSTVÝCH CERTIFIKOVANÝCH PROFILŮ BEZ PODÉLNÉHO </w:t>
            </w:r>
            <w:r>
              <w:rPr>
                <w:i/>
                <w:w w:val="105"/>
                <w:sz w:val="11"/>
              </w:rPr>
              <w:t>NAPOJENÍ,ZAOBLENÍ HRAN R6.MATERIÁL SMRK, PROFIL 78 ,SYSTÉMOVÁ POVRCHOVÁ ÚPRAVA, BARVA RAL (BÍLÁ), BUDE VZORKOVÁNO,MEZISKLENÍ RÁMEČEK V BARVĚ BÍLÉ,IZOLAČNÍ SKLO Ug=0,6 W/m2K, CELÉ OKNO Uw=0,9 W/m2K,SOLÁRNÍ FAKTOR</w:t>
            </w:r>
          </w:p>
          <w:p>
            <w:pPr>
              <w:pStyle w:val="TableParagraph"/>
              <w:spacing w:line="125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(g) 0,52, VENKOVNÍ ODRAZIVOST MAX 14%,OKENNÍ OTVORY VČETNĚ OKAPNICE AL V BARVĚ BÍLÉ, KRYTY</w:t>
            </w:r>
          </w:p>
          <w:p>
            <w:pPr>
              <w:pStyle w:val="TableParagraph"/>
              <w:spacing w:line="120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PANTŮ,CELOOBVODOVÉ TĚSNĚNÍ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3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"206"1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1,000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766-210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210-Dř.okno jednokř.550/600mm iz.sklo,kování,syst.osazení-D+M(plný popis viz.výpis truhlář)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2,000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5 370,00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10 740,00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42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288" w:lineRule="auto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OKENNÍ VÝPLNĚ OTVORŮ BUDOU PROVEDENA ZE TŘÍVRSTVÝCH CERTIFIKOVANÝCH PROFILŮ BEZ PODÉLNÉHO </w:t>
            </w:r>
            <w:r>
              <w:rPr>
                <w:i/>
                <w:w w:val="105"/>
                <w:sz w:val="11"/>
              </w:rPr>
              <w:t>NAPOJENÍ,ZAOBLENÍ HRAN R6.MATERIÁL SMRK, PROFIL 78 ,SYSTÉMOVÁ POVRCHOVÁ ÚPRAVA, BARVA RAL (BÍLÁ), BUDE VZORKOVÁNO,MEZISKLENÍ RÁMEČEK V BARVĚ BÍLÉ,IZOLAČNÍ SKLO Ug=0,6 W/m2K, CELÉ OKNO Uw=0,9 W/m2K,SOLÁRNÍ FAKTOR</w:t>
            </w:r>
          </w:p>
          <w:p>
            <w:pPr>
              <w:pStyle w:val="TableParagraph"/>
              <w:spacing w:line="125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(g) 0,52, VENKOVNÍ ODRAZIVOST MAX 14%,OKENNÍ OTVORY VČETNĚ OKAPNICE AL V BARVĚ BÍLÉ, KRYTY</w:t>
            </w:r>
          </w:p>
          <w:p>
            <w:pPr>
              <w:pStyle w:val="TableParagraph"/>
              <w:spacing w:line="120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PANTŮ,CELOOBVODOVÉ TĚSNĚNÍ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3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"210"2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766-211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211-Dř.okno jednokř.1200/600mm iz.sklo,kování,syst.osazení-D+M(plný popis viz.výpis truhlář)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15,000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7 360,00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110 400,00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42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288" w:lineRule="auto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OKENNÍ VÝPLNĚ OTVORŮ BUDOU PROVEDENA ZE TŘÍVRSTVÝCH CERTIFIKOVANÝCH PROFILŮ BEZ PODÉLNÉHO </w:t>
            </w:r>
            <w:r>
              <w:rPr>
                <w:i/>
                <w:w w:val="105"/>
                <w:sz w:val="11"/>
              </w:rPr>
              <w:t>NAPOJENÍ,ZAOBLENÍ HRAN R6.MATERIÁL SMRK, PROFIL 78 ,SYSTÉMOVÁ POVRCHOVÁ ÚPRAVA, BARVA RAL (BÍLÁ), BUDE VZORKOVÁNO,MEZISKLENÍ RÁMEČEK V BARVĚ BÍLÉ,IZOLAČNÍ SKLO Ug=0,6 W/m2K, CELÉ OKNO Uw=0,9 W/m2K,SOLÁRNÍ FAKTOR</w:t>
            </w:r>
          </w:p>
          <w:p>
            <w:pPr>
              <w:pStyle w:val="TableParagraph"/>
              <w:spacing w:line="125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(g) 0,52, VENKOVNÍ ODRAZIVOST MAX 14%,OKENNÍ OTVORY VČETNĚ OKAPNICE AL V BARVĚ BÍLÉ, KRYTY</w:t>
            </w:r>
          </w:p>
          <w:p>
            <w:pPr>
              <w:pStyle w:val="TableParagraph"/>
              <w:spacing w:line="120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PANTŮ,CELOOBVODOVÉ TĚSNĚNÍ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3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"211"15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15,000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766-212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212-Dř.okno dvoukř.900/2100mm iz.sklo,kování,syst.osazení-D+M(plný popis viz.výpis truhlář)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2,000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16 580,00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33 160,00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42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288" w:lineRule="auto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OKENNÍ VÝPLNĚ OTVORŮ BUDOU PROVEDENA ZE TŘÍVRSTVÝCH CERTIFIKOVANÝCH PROFILŮ BEZ PODÉLNÉHO </w:t>
            </w:r>
            <w:r>
              <w:rPr>
                <w:i/>
                <w:w w:val="105"/>
                <w:sz w:val="11"/>
              </w:rPr>
              <w:t>NAPOJENÍ,ZAOBLENÍ HRAN R6.MATERIÁL SMRK, PROFIL 78 ,SYSTÉMOVÁ POVRCHOVÁ ÚPRAVA, BARVA RAL (BÍLÁ), BUDE VZORKOVÁNO,MEZISKLENÍ RÁMEČEK V BARVĚ BÍLÉ,IZOLAČNÍ SKLO Ug=0,6 W/m2K, CELÉ OKNO Uw=0,9 W/m2K,SOLÁRNÍ FAKTOR</w:t>
            </w:r>
          </w:p>
          <w:p>
            <w:pPr>
              <w:pStyle w:val="TableParagraph"/>
              <w:spacing w:line="125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(g) 0,52, VENKOVNÍ ODRAZIVOST MAX 14%,OKENNÍ OTVORY VČETNĚ OKAPNICE AL V BARVĚ BÍLÉ, KRYTY</w:t>
            </w:r>
          </w:p>
          <w:p>
            <w:pPr>
              <w:pStyle w:val="TableParagraph"/>
              <w:spacing w:line="120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PANTŮ,CELOOBVODOVÉ TĚSNĚNÍ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3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"212"2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766-214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214-Dř.okno čtyřkř.1200/2100mm iz.sklo,kování,syst.osazení-D+M(plný popis viz.výpis truhlář)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5,000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23 300,00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116 500,00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42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288" w:lineRule="auto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OKENNÍ VÝPLNĚ OTVORŮ BUDOU PROVEDENA ZE TŘÍVRSTVÝCH CERTIFIKOVANÝCH PROFILŮ BEZ PODÉLNÉHO </w:t>
            </w:r>
            <w:r>
              <w:rPr>
                <w:i/>
                <w:w w:val="105"/>
                <w:sz w:val="11"/>
              </w:rPr>
              <w:t>NAPOJENÍ,ZAOBLENÍ HRAN R6.MATERIÁL SMRK, PROFIL 78 ,SYSTÉMOVÁ POVRCHOVÁ ÚPRAVA, BARVA RAL (BÍLÁ), BUDE VZORKOVÁNO,MEZISKLENÍ RÁMEČEK V BARVĚ BÍLÉ,IZOLAČNÍ SKLO Ug=0,6 W/m2K, CELÉ OKNO Uw=0,9 W/m2K,SOLÁRNÍ FAKTOR</w:t>
            </w:r>
          </w:p>
          <w:p>
            <w:pPr>
              <w:pStyle w:val="TableParagraph"/>
              <w:spacing w:line="125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(g) 0,52, VENKOVNÍ ODRAZIVOST MAX 14%,OKENNÍ OTVORY VČETNĚ OKAPNICE AL V BARVĚ BÍLÉ, KRYTY</w:t>
            </w:r>
          </w:p>
          <w:p>
            <w:pPr>
              <w:pStyle w:val="TableParagraph"/>
              <w:spacing w:line="120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PANTŮ,CELOOBVODOVÉ TĚSNĚNÍ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3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"214"5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766-215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215-Dř.okno čtyřkř.1200/2100mm iz.sklo,kování,syst.osazení-D+M(plný popis viz.výpis truhlář)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6,000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23 300,00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139 800,00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42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288" w:lineRule="auto" w:before="26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OKENNÍ VÝPLNĚ OTVORŮ BUDOU PROVEDENA ZE TŘÍVRSTVÝCH CERTIFIKOVANÝCH PROFILŮ BEZ PODÉLNÉHO </w:t>
            </w:r>
            <w:r>
              <w:rPr>
                <w:i/>
                <w:w w:val="105"/>
                <w:sz w:val="11"/>
              </w:rPr>
              <w:t>NAPOJENÍ,ZAOBLENÍ HRAN R6.MATERIÁL SMRK, PROFIL 78 ,SYSTÉMOVÁ POVRCHOVÁ ÚPRAVA, BARVA RAL (BÍLÁ), BUDE VZORKOVÁNO,MEZISKLENÍ RÁMEČEK V BARVĚ BÍLÉ,IZOLAČNÍ SKLO Ug=0,6 W/m2K, CELÉ OKNO Uw=0,9 W/m2K,SOLÁRNÍ FAKTOR</w:t>
            </w:r>
          </w:p>
          <w:p>
            <w:pPr>
              <w:pStyle w:val="TableParagraph"/>
              <w:spacing w:line="125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(g) 0,52, VENKOVNÍ ODRAZIVOST MAX 14%,OKENNÍ OTVORY VČETNĚ OKAPNICE AL V BARVĚ BÍLÉ, KRYTY</w:t>
            </w:r>
          </w:p>
          <w:p>
            <w:pPr>
              <w:pStyle w:val="TableParagraph"/>
              <w:spacing w:line="120" w:lineRule="exact"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PANTŮ,CELOOBVODOVÉ TĚSNĚNÍ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3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"215"6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6,000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2" w:hRule="atLeast"/>
        </w:trPr>
        <w:tc>
          <w:tcPr>
            <w:tcW w:w="310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32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766-218</w:t>
            </w:r>
          </w:p>
        </w:tc>
        <w:tc>
          <w:tcPr>
            <w:tcW w:w="7524" w:type="dxa"/>
          </w:tcPr>
          <w:p>
            <w:pPr>
              <w:pStyle w:val="TableParagraph"/>
              <w:spacing w:line="164" w:lineRule="exact"/>
              <w:ind w:left="27"/>
              <w:rPr>
                <w:sz w:val="15"/>
              </w:rPr>
            </w:pPr>
            <w:r>
              <w:rPr>
                <w:sz w:val="15"/>
              </w:rPr>
              <w:t>218-Dř.proskl.sestava dvoukř.dveří+fix nadsvětlíky+fix.díly boční+fix neprůhledný díl 2950/3400mm-</w:t>
            </w:r>
          </w:p>
          <w:p>
            <w:pPr>
              <w:pStyle w:val="TableParagraph"/>
              <w:spacing w:line="180" w:lineRule="atLeast" w:before="7"/>
              <w:ind w:left="27" w:right="21"/>
              <w:rPr>
                <w:sz w:val="15"/>
              </w:rPr>
            </w:pPr>
            <w:r>
              <w:rPr>
                <w:sz w:val="15"/>
              </w:rPr>
              <w:t>VNITŘNÍ,bezp.izol.sklo,bezp.el.zámek,koord.zavírání,panikové kování,samozavírač,syst.osazení-D+M(plný popis viz.výpis truhlář)</w:t>
            </w:r>
          </w:p>
        </w:tc>
        <w:tc>
          <w:tcPr>
            <w:tcW w:w="563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1,000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129 060,00</w:t>
            </w:r>
          </w:p>
        </w:tc>
        <w:tc>
          <w:tcPr>
            <w:tcW w:w="1667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129 060,00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0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line="116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766441811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Demontáž parapetních desek dřevěných nebo plastových šířky do 300 mm délky do 1 m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31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2,000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30,00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60,00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"dř.okna"2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8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322" w:type="dxa"/>
          </w:tcPr>
          <w:p>
            <w:pPr>
              <w:pStyle w:val="TableParagraph"/>
              <w:spacing w:line="158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8" w:lineRule="exact"/>
              <w:ind w:left="28"/>
              <w:rPr>
                <w:sz w:val="15"/>
              </w:rPr>
            </w:pPr>
            <w:r>
              <w:rPr>
                <w:sz w:val="15"/>
              </w:rPr>
              <w:t>766441821</w:t>
            </w:r>
          </w:p>
        </w:tc>
        <w:tc>
          <w:tcPr>
            <w:tcW w:w="7524" w:type="dxa"/>
          </w:tcPr>
          <w:p>
            <w:pPr>
              <w:pStyle w:val="TableParagraph"/>
              <w:spacing w:line="158" w:lineRule="exact"/>
              <w:ind w:left="27"/>
              <w:rPr>
                <w:sz w:val="15"/>
              </w:rPr>
            </w:pPr>
            <w:r>
              <w:rPr>
                <w:sz w:val="15"/>
              </w:rPr>
              <w:t>Demontáž parapetních desek dřevěných nebo plastových šířky do 300 mm délky přes 1 m</w:t>
            </w:r>
          </w:p>
        </w:tc>
        <w:tc>
          <w:tcPr>
            <w:tcW w:w="563" w:type="dxa"/>
          </w:tcPr>
          <w:p>
            <w:pPr>
              <w:pStyle w:val="TableParagraph"/>
              <w:spacing w:line="158" w:lineRule="exact"/>
              <w:ind w:left="129" w:right="131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45" w:type="dxa"/>
          </w:tcPr>
          <w:p>
            <w:pPr>
              <w:pStyle w:val="TableParagraph"/>
              <w:spacing w:line="158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106,000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8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4 240,00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8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"dř.okna"50+13+1+15+2+7*2+5+6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106,000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766621712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okenních doplňků okenní sklápěčky s rozvorou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31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17,000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1 500,00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25 500,00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dř.okna"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"211"15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15,000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17,000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61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549155-02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pákový ovladač (1x nůžky) pro dř.okna -pevná tyč s klikou uchycena na zdi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08" w:right="13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kus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17,000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2 770,00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47 090,00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"210"2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17,000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766629414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oken dřevěných Příplatek k cenám za tepelnou izolaci mezi ostěním a rámem okna při rovném ostění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fólií, připojovací spára tl. do 35 mm bez butylenu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809,905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130,00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105 287,65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078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9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7" w:val="left" w:leader="none"/>
              </w:tabs>
              <w:spacing w:line="288" w:lineRule="auto" w:before="25" w:after="0"/>
              <w:ind w:left="24" w:right="25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montáže oken jsou započteny i náklady na zaměření, vyklínování, horizontální i vertikální vyrovnání okenního rámu, ukotvení a </w:t>
            </w:r>
            <w:r>
              <w:rPr>
                <w:i/>
                <w:w w:val="105"/>
                <w:sz w:val="11"/>
              </w:rPr>
              <w:t>vyplnění spáry mezi rámem a ostěním polyuretanovou pěnou, včetně zednického</w:t>
            </w:r>
            <w:r>
              <w:rPr>
                <w:i/>
                <w:spacing w:val="1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začištění.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Cenami montáže oken otevíravých lze ocenit i montáže oken kyvných a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otočných.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766 62 - 9 . . Příplatek k cenám za tepelnou izolaci mezi ostěním a rámem okna jsou započteny náklady na izolaci vnější i</w:t>
            </w:r>
            <w:r>
              <w:rPr>
                <w:i/>
                <w:spacing w:val="2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vnitřní.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Délka izolace se určuje v metrech délky rámu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okna.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9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9"/>
              <w:rPr>
                <w:b/>
                <w:sz w:val="10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výplně otvorů"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"201"(1,48*2+2,6*2)*50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408,000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"202"(1,48*2+2,0*2)*13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90,480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"203"(1,48+3,5*2)*2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16,960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"104"4,365+3,5*2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11,365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"105"1,45+3,5*2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8,450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"206"(4,55*2+2,4*2)*1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13,900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"210"(0,55*2+0,6*2)*2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"211"(1,2*2+0,6*2)*15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"212"(0,9*2+2,1*2)*2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12,000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"113"(16,8*2+4,2*2)*2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"214"(1,2*2+2,1*2)*5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33,000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"215"(1,2*2+2,1*2)*6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39,600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"116"5,4+3,25*2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11,900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"117"5,4+3,25*2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11,900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"218"2,95+3,4*2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9,750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809,905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766694111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ostatních truhlářských konstrukcí parapetních desek dřevěných nebo plastových šířky do 300 mm,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délky do 1000 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31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4,000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480,00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817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Vcenách 766 69 - 3421 a 3422 jsou započteny i náklady na zaměření zřizovaných</w:t>
            </w:r>
            <w:r>
              <w:rPr>
                <w:i/>
                <w:spacing w:val="1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otvorů.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7" w:val="left" w:leader="none"/>
              </w:tabs>
              <w:spacing w:line="288" w:lineRule="auto" w:before="25" w:after="0"/>
              <w:ind w:left="24" w:right="16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766 69 - 4111 až 4124 jsou započteny i náklady na zaměření, vyklínování, horizontální i vertikální vyrovnání, ukotvení a vyplnění </w:t>
            </w:r>
            <w:r>
              <w:rPr>
                <w:i/>
                <w:w w:val="105"/>
                <w:sz w:val="11"/>
              </w:rPr>
              <w:t>spáry mezi parapetem a ostěním polyuretanovou pěnou, včetně zednického</w:t>
            </w:r>
            <w:r>
              <w:rPr>
                <w:i/>
                <w:spacing w:val="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začištění.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Cenami -97 . . nelze oceňovat venkovní krycí lišty balkónových dveří; tato montáž se oceňuje cenou</w:t>
            </w:r>
            <w:r>
              <w:rPr>
                <w:i/>
                <w:spacing w:val="2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-1610.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5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dř.okna"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"š-200mm"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"210-dl.550mm"2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"š-260mm"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"212-dl.900mm"2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64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60794101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deska parapetní dřevotřísková vnitřní 200x1000mm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2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1,155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290,00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334,95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"210-dl.550mm"2*0,55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1,100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1,100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1,1*1,05 'Přepočtené koeficientem množství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1,155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65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60794102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deska parapetní dřevotřísková vnitřní 260x1000mm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2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1,800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576,00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"212-dl.900mm"2*0,9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1,800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66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60794121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koncovka PVC k parapetním dřevotřískovým deskám 600mm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08" w:right="13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kus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8,000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4*2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8,000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28"/>
              <w:rPr>
                <w:sz w:val="15"/>
              </w:rPr>
            </w:pPr>
            <w:r>
              <w:rPr>
                <w:sz w:val="15"/>
              </w:rPr>
              <w:t>766694112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ostatních truhlářských konstrukcí parapetních desek dřevěných nebo plastových šířky do 300 mm,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délky přes 1000 do 1600 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29" w:right="131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89,000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270,00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24 030,00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818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Vcenách 766 69 - 3421 a 3422 jsou započteny i náklady na zaměření zřizovaných</w:t>
            </w:r>
            <w:r>
              <w:rPr>
                <w:i/>
                <w:spacing w:val="1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otvorů.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7" w:val="left" w:leader="none"/>
              </w:tabs>
              <w:spacing w:line="288" w:lineRule="auto" w:before="25" w:after="0"/>
              <w:ind w:left="24" w:right="16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766 69 - 4111 až 4124 jsou započteny i náklady na zaměření, vyklínování, horizontální i vertikální vyrovnání, ukotvení a vyplnění </w:t>
            </w:r>
            <w:r>
              <w:rPr>
                <w:i/>
                <w:w w:val="105"/>
                <w:sz w:val="11"/>
              </w:rPr>
              <w:t>spáry mezi parapetem a ostěním polyuretanovou pěnou, včetně zednického</w:t>
            </w:r>
            <w:r>
              <w:rPr>
                <w:i/>
                <w:spacing w:val="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začištění.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7" w:val="left" w:leader="none"/>
              </w:tabs>
              <w:spacing w:line="126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Cenami -97 . . nelze oceňovat venkovní krycí lišty balkónových dveří; tato montáž se oceňuje cenou</w:t>
            </w:r>
            <w:r>
              <w:rPr>
                <w:i/>
                <w:spacing w:val="2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-1610.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5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dř.okna"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"š-200mm"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"201-dl.1480mm"50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"202-dl.1480mm"13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13,000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63,000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"š-260mm"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"211-dl.1200mm"15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"214-dl.1200mm"5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"215-dl.1200mm"6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26,000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89,000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68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60794101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deska parapetní dřevotřísková vnitřní 200x1000mm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2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97,902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31 328,64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"š-200mm"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"201-dl.1480mm"50*1,48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"202-dl.1480mm"13*1,48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19,240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93,240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93,24*1,05 'Přepočtené koeficientem množství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97,902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69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60794102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deska parapetní dřevotřísková vnitřní 260x1000mm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2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32,760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11 466,00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"š-260mm"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"211-dl.1200mm"15*1,2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18,000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"214-dl.1200mm"5*1,2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6,000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"215-dl.1200mm"6*1,2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7,200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31,200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31,2*1,05 'Přepočtené koeficientem množství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32,760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70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60794121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koncovka PVC k parapetním dřevotřískovým deskám 600mm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08" w:right="13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kus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178,000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7 120,00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89*2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178,000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766694114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ostatních truhlářských konstrukcí parapetních desek dřevěných nebo plastových šířky do 300 mm,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délky přes 2600 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31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15,000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280,00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4 200,00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817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4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Vcenách 766 69 - 3421 a 3422 jsou započteny i náklady na zaměření zřizovaných</w:t>
            </w:r>
            <w:r>
              <w:rPr>
                <w:i/>
                <w:spacing w:val="1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otvorů.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</w:tabs>
              <w:spacing w:line="288" w:lineRule="auto" w:before="25" w:after="0"/>
              <w:ind w:left="24" w:right="16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766 69 - 4111 až 4124 jsou započteny i náklady na zaměření, vyklínování, horizontální i vertikální vyrovnání, ukotvení a vyplnění </w:t>
            </w:r>
            <w:r>
              <w:rPr>
                <w:i/>
                <w:w w:val="105"/>
                <w:sz w:val="11"/>
              </w:rPr>
              <w:t>spáry mezi parapetem a ostěním polyuretanovou pěnou, včetně zednického</w:t>
            </w:r>
            <w:r>
              <w:rPr>
                <w:i/>
                <w:spacing w:val="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začištění.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Cenami -97 . . nelze oceňovat venkovní krycí lišty balkónových dveří; tato montáž se oceňuje cenou</w:t>
            </w:r>
            <w:r>
              <w:rPr>
                <w:i/>
                <w:spacing w:val="2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-1610.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5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dř.okna"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"š-200mm"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"206-dl.4550mm"1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"š-300mm"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"113-dl.16800mm (na díly)"2*7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15,000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72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60794101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deska parapetní dřevotřísková vnitřní 200x1000mm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2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4,778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1 528,96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"206-dl.4550mm"1*4,55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4,550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4,550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4,55*1,05 'Přepočtené koeficientem množství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4,778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73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60794103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deska parapetní dřevotřísková vnitřní 300x1000mm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2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35,280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380,00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13 406,40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"113-dl.16800mm"2*16,8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33,600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33,600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33,6*1,05 'Přepočtené koeficientem množství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35,280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74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60794121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koncovka PVC k parapetním dřevotřískovým deskám 600mm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08" w:right="13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kus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18,000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18,000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998766201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 hmot pro konstrukce truhlářské stanovený procentní sazbou (%) z ceny vodorovná dopravní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vzdálenost do 50 m v objektech výšky do 6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right="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%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1,000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0,74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0,74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right w:val="nil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111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7" w:val="left" w:leader="none"/>
              </w:tabs>
              <w:spacing w:line="288" w:lineRule="auto" w:before="24" w:after="0"/>
              <w:ind w:left="24" w:right="129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pro přesun hmot stanovený z hmotnosti přesunovaného materiálu se používají tehdy, pokud je možné určit hmotnost za celý stavební </w:t>
            </w:r>
            <w:r>
              <w:rPr>
                <w:i/>
                <w:w w:val="105"/>
                <w:sz w:val="11"/>
              </w:rPr>
              <w:t>díl. Do této hmotnosti se započítává i hmotnost materiálů oceňovaných ve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7" w:val="left" w:leader="none"/>
              </w:tabs>
              <w:spacing w:line="288" w:lineRule="auto" w:before="0" w:after="0"/>
              <w:ind w:left="24" w:right="29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Pokud nelze jednoznačně stanovit hmotnost přesunovaných materiálů, lze pro výpočet přesunu hmot použít orientačně procentní sazbu. </w:t>
            </w:r>
            <w:r>
              <w:rPr>
                <w:i/>
                <w:spacing w:val="-3"/>
                <w:w w:val="105"/>
                <w:sz w:val="11"/>
              </w:rPr>
              <w:t>Touto </w:t>
            </w:r>
            <w:r>
              <w:rPr>
                <w:i/>
                <w:w w:val="105"/>
                <w:sz w:val="11"/>
              </w:rPr>
              <w:t>sazbou se vynásobí rozpočtové náklady za celý stavební díl včetně nákladů na materiál ve specifikacích.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7" w:val="left" w:leader="none"/>
              </w:tabs>
              <w:spacing w:line="288" w:lineRule="auto" w:before="0" w:after="0"/>
              <w:ind w:left="24" w:right="58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Příplatek k cenám -6181 pro přesun prováděný bez použití mechanizace, tj. za ztížených podmínek, lze použít pouze pro hmotnost </w:t>
            </w:r>
            <w:r>
              <w:rPr>
                <w:i/>
                <w:w w:val="105"/>
                <w:sz w:val="11"/>
              </w:rPr>
              <w:t>materiálu, která se tímto způsobem skutečně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přemísťuje.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6" w:hRule="atLeast"/>
        </w:trPr>
        <w:tc>
          <w:tcPr>
            <w:tcW w:w="3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7" w:lineRule="exact" w:before="99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5" w:lineRule="exact" w:before="61"/>
              <w:ind w:left="33"/>
              <w:rPr>
                <w:sz w:val="17"/>
              </w:rPr>
            </w:pPr>
            <w:r>
              <w:rPr>
                <w:sz w:val="17"/>
              </w:rPr>
              <w:t>767</w:t>
            </w:r>
          </w:p>
        </w:tc>
        <w:tc>
          <w:tcPr>
            <w:tcW w:w="75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5" w:lineRule="exact" w:before="61"/>
              <w:ind w:left="32"/>
              <w:rPr>
                <w:sz w:val="17"/>
              </w:rPr>
            </w:pPr>
            <w:r>
              <w:rPr>
                <w:sz w:val="17"/>
              </w:rPr>
              <w:t>Konstrukce zámečnické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5" w:lineRule="exact" w:before="61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1 828 033,94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767-01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DMTZ+zpětná MTZ okenních mříží 1200/600mm vč.očištění,nového nátěru a kotvení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15,000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1 500,00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22 500,00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okna 211"15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15,000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2" w:hRule="atLeast"/>
        </w:trPr>
        <w:tc>
          <w:tcPr>
            <w:tcW w:w="310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32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767-104</w:t>
            </w:r>
          </w:p>
        </w:tc>
        <w:tc>
          <w:tcPr>
            <w:tcW w:w="7524" w:type="dxa"/>
          </w:tcPr>
          <w:p>
            <w:pPr>
              <w:pStyle w:val="TableParagraph"/>
              <w:spacing w:line="164" w:lineRule="exact"/>
              <w:ind w:left="27"/>
              <w:rPr>
                <w:sz w:val="15"/>
              </w:rPr>
            </w:pPr>
            <w:r>
              <w:rPr>
                <w:sz w:val="15"/>
              </w:rPr>
              <w:t>104-AL proskl.sestava dvoukř.dveří+jednokř.+fix nadsvětlíky+fix.díly mezi dveřmi</w:t>
            </w:r>
          </w:p>
          <w:p>
            <w:pPr>
              <w:pStyle w:val="TableParagraph"/>
              <w:spacing w:line="180" w:lineRule="atLeast" w:before="7"/>
              <w:ind w:left="27" w:right="21"/>
              <w:rPr>
                <w:sz w:val="15"/>
              </w:rPr>
            </w:pPr>
            <w:r>
              <w:rPr>
                <w:sz w:val="15"/>
              </w:rPr>
              <w:t>4365/3500mm,bezp.izol.sklo,bezp.el.zámek,koord.zavírání,panikové kování,samozavírač,syst.osazení- D+M(plný popis viz.výpis zámečník)</w:t>
            </w:r>
          </w:p>
        </w:tc>
        <w:tc>
          <w:tcPr>
            <w:tcW w:w="563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1,000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179 000,00</w:t>
            </w:r>
          </w:p>
        </w:tc>
        <w:tc>
          <w:tcPr>
            <w:tcW w:w="1667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179 000,00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87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zaskl.dle vyhl.398/2009Sb.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322" w:type="dxa"/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88"/>
              <w:ind w:left="28"/>
              <w:rPr>
                <w:sz w:val="15"/>
              </w:rPr>
            </w:pPr>
            <w:r>
              <w:rPr>
                <w:sz w:val="15"/>
              </w:rPr>
              <w:t>767-105</w:t>
            </w:r>
          </w:p>
        </w:tc>
        <w:tc>
          <w:tcPr>
            <w:tcW w:w="7524" w:type="dxa"/>
          </w:tcPr>
          <w:p>
            <w:pPr>
              <w:pStyle w:val="TableParagraph"/>
              <w:spacing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105-AL proskl.sestava dvoukř.dveří a fix nadsvětlíku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1450/3500mm,bezp.izol.sklo,bezp.el.zámek,samozavírač,syst.osazení-D+M(plný popis viz.výpis zámečník)</w:t>
            </w:r>
          </w:p>
        </w:tc>
        <w:tc>
          <w:tcPr>
            <w:tcW w:w="563" w:type="dxa"/>
          </w:tcPr>
          <w:p>
            <w:pPr>
              <w:pStyle w:val="TableParagraph"/>
              <w:spacing w:before="88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1,000</w:t>
            </w:r>
          </w:p>
        </w:tc>
        <w:tc>
          <w:tcPr>
            <w:tcW w:w="1182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58 900,00</w:t>
            </w:r>
          </w:p>
        </w:tc>
        <w:tc>
          <w:tcPr>
            <w:tcW w:w="1667" w:type="dxa"/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58 900,00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116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zaskl.dle vyhl.398/2009Sb.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322" w:type="dxa"/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767-113</w:t>
            </w:r>
          </w:p>
        </w:tc>
        <w:tc>
          <w:tcPr>
            <w:tcW w:w="7524" w:type="dxa"/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113-AL sestava oken 16800/4200mm iz.bezp.sklo,kování,el.ovládání sklopných oken (16ks)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vč.pohonu,syst.osazení-D+M(plný popis viz.výpis zámečník)</w:t>
            </w:r>
          </w:p>
        </w:tc>
        <w:tc>
          <w:tcPr>
            <w:tcW w:w="563" w:type="dxa"/>
          </w:tcPr>
          <w:p>
            <w:pPr>
              <w:pStyle w:val="TableParagraph"/>
              <w:spacing w:before="87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2,000</w:t>
            </w:r>
          </w:p>
        </w:tc>
        <w:tc>
          <w:tcPr>
            <w:tcW w:w="1182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600 600,00</w:t>
            </w:r>
          </w:p>
        </w:tc>
        <w:tc>
          <w:tcPr>
            <w:tcW w:w="1667" w:type="dxa"/>
          </w:tcPr>
          <w:p>
            <w:pPr>
              <w:pStyle w:val="TableParagraph"/>
              <w:spacing w:before="85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1 201 200,00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line="150" w:lineRule="atLeast" w:before="1"/>
              <w:ind w:left="24" w:right="464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 </w:t>
            </w:r>
            <w:r>
              <w:rPr>
                <w:i/>
                <w:w w:val="105"/>
                <w:sz w:val="11"/>
              </w:rPr>
              <w:t>el.pohon sklopných oken vč.dopojení do rozvaděče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3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 w:before="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"213"2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 w:before="2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2,000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2" w:hRule="atLeast"/>
        </w:trPr>
        <w:tc>
          <w:tcPr>
            <w:tcW w:w="310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32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767-116</w:t>
            </w:r>
          </w:p>
        </w:tc>
        <w:tc>
          <w:tcPr>
            <w:tcW w:w="7524" w:type="dxa"/>
          </w:tcPr>
          <w:p>
            <w:pPr>
              <w:pStyle w:val="TableParagraph"/>
              <w:spacing w:line="261" w:lineRule="auto"/>
              <w:ind w:left="27"/>
              <w:rPr>
                <w:sz w:val="15"/>
              </w:rPr>
            </w:pPr>
            <w:r>
              <w:rPr>
                <w:sz w:val="15"/>
              </w:rPr>
              <w:t>116-AL proskl.sestava 2xdvoukř.dveří+fix nadsvětlíky+fix.díly mezi dveřmi 5400/3250mm,bezp.izol.sklo,bezp.el.zámek,koord.zavírání,panikové kování,samozavírač,syst.osazení-</w:t>
            </w:r>
          </w:p>
          <w:p>
            <w:pPr>
              <w:pStyle w:val="TableParagraph"/>
              <w:spacing w:line="155" w:lineRule="exact"/>
              <w:ind w:left="27"/>
              <w:rPr>
                <w:sz w:val="15"/>
              </w:rPr>
            </w:pPr>
            <w:r>
              <w:rPr>
                <w:sz w:val="15"/>
              </w:rPr>
              <w:t>D+M(plný popis viz.výpis zámečník)</w:t>
            </w:r>
          </w:p>
        </w:tc>
        <w:tc>
          <w:tcPr>
            <w:tcW w:w="563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1,000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170 000,00</w:t>
            </w:r>
          </w:p>
        </w:tc>
        <w:tc>
          <w:tcPr>
            <w:tcW w:w="1667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170 000,00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116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zaskl.dle vyhl.398/2009Sb.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42" w:hRule="atLeast"/>
        </w:trPr>
        <w:tc>
          <w:tcPr>
            <w:tcW w:w="310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32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767-117</w:t>
            </w:r>
          </w:p>
        </w:tc>
        <w:tc>
          <w:tcPr>
            <w:tcW w:w="7524" w:type="dxa"/>
          </w:tcPr>
          <w:p>
            <w:pPr>
              <w:pStyle w:val="TableParagraph"/>
              <w:spacing w:line="164" w:lineRule="exact"/>
              <w:ind w:left="27"/>
              <w:rPr>
                <w:sz w:val="15"/>
              </w:rPr>
            </w:pPr>
            <w:r>
              <w:rPr>
                <w:sz w:val="15"/>
              </w:rPr>
              <w:t>117-AL proskl.sestava dvoukř.dveří+fix nadsvětlíky+fix.díly mezi dveřmi 5400/3250mm-</w:t>
            </w:r>
          </w:p>
          <w:p>
            <w:pPr>
              <w:pStyle w:val="TableParagraph"/>
              <w:spacing w:line="180" w:lineRule="atLeast" w:before="7"/>
              <w:ind w:left="27" w:right="21"/>
              <w:rPr>
                <w:sz w:val="15"/>
              </w:rPr>
            </w:pPr>
            <w:r>
              <w:rPr>
                <w:sz w:val="15"/>
              </w:rPr>
              <w:t>VNITŘNÍ,bezp.izol.sklo,bezp.el.zámek,koord.zavírání,panikové kování,samozavírač,syst.osazení-D+M(plný popis viz.výpis zámečník)</w:t>
            </w:r>
          </w:p>
        </w:tc>
        <w:tc>
          <w:tcPr>
            <w:tcW w:w="563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29" w:right="130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1045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1,000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145 000,00</w:t>
            </w:r>
          </w:p>
        </w:tc>
        <w:tc>
          <w:tcPr>
            <w:tcW w:w="1667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145 000,00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  <w:p>
            <w:pPr>
              <w:pStyle w:val="TableParagraph"/>
              <w:spacing w:line="116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zaskl.dle vyhl.398/2009Sb.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767122-01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Demontáž ochranných sítí (v tělocvičně)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141,120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14 112,00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"tělocvična"(16,8*4,2)*2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141,120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767122-02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Demontáž okenních sítí proti hmyzu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12,600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50,00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630,00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okna 214"(1,2*2,1)*5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12,600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2" w:hRule="atLeast"/>
        </w:trPr>
        <w:tc>
          <w:tcPr>
            <w:tcW w:w="310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32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767-ochr.sítě</w:t>
            </w:r>
          </w:p>
        </w:tc>
        <w:tc>
          <w:tcPr>
            <w:tcW w:w="7524" w:type="dxa"/>
          </w:tcPr>
          <w:p>
            <w:pPr>
              <w:pStyle w:val="TableParagraph"/>
              <w:spacing w:line="261" w:lineRule="auto"/>
              <w:ind w:left="27"/>
              <w:rPr>
                <w:sz w:val="15"/>
              </w:rPr>
            </w:pPr>
            <w:r>
              <w:rPr>
                <w:sz w:val="15"/>
              </w:rPr>
              <w:t>Ochranné sítě do tělocvičny-horní lanko prům.10mm,vč.napínáků pozink.,ochr.záchytná a bezp.síť,velikost ok 50/50mm,polypropylen,zavěšená na horním laně a vepnutá ke spodnímu lanu karabinami-D+M(plný popis</w:t>
            </w:r>
          </w:p>
          <w:p>
            <w:pPr>
              <w:pStyle w:val="TableParagraph"/>
              <w:spacing w:line="155" w:lineRule="exact"/>
              <w:ind w:left="27"/>
              <w:rPr>
                <w:sz w:val="15"/>
              </w:rPr>
            </w:pPr>
            <w:r>
              <w:rPr>
                <w:sz w:val="15"/>
              </w:rPr>
              <w:t>viz.TZ)</w:t>
            </w:r>
          </w:p>
        </w:tc>
        <w:tc>
          <w:tcPr>
            <w:tcW w:w="563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141,120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260,00</w:t>
            </w:r>
          </w:p>
        </w:tc>
        <w:tc>
          <w:tcPr>
            <w:tcW w:w="1667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36 691,20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line="122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vč.zpracování dílenské dokumentace (viz.VON)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3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 w:before="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"tělocvična-okna 213"(16,8*4,2)*2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 w:before="2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141,120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322" w:type="dxa"/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998767201</w:t>
            </w:r>
          </w:p>
        </w:tc>
        <w:tc>
          <w:tcPr>
            <w:tcW w:w="7524" w:type="dxa"/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 hmot pro zámečnické konstrukce stanovený procentní sazbou (%) z ceny vodorovná dopravní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vzdálenost do 50 m v objektech výšky do 6 m</w:t>
            </w:r>
          </w:p>
        </w:tc>
        <w:tc>
          <w:tcPr>
            <w:tcW w:w="563" w:type="dxa"/>
          </w:tcPr>
          <w:p>
            <w:pPr>
              <w:pStyle w:val="TableParagraph"/>
              <w:spacing w:before="87"/>
              <w:ind w:right="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%</w:t>
            </w:r>
          </w:p>
        </w:tc>
        <w:tc>
          <w:tcPr>
            <w:tcW w:w="1045" w:type="dxa"/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1,000</w:t>
            </w:r>
          </w:p>
        </w:tc>
        <w:tc>
          <w:tcPr>
            <w:tcW w:w="1182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0,74</w:t>
            </w:r>
          </w:p>
        </w:tc>
        <w:tc>
          <w:tcPr>
            <w:tcW w:w="1667" w:type="dxa"/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0,74</w:t>
            </w:r>
          </w:p>
        </w:tc>
        <w:tc>
          <w:tcPr>
            <w:tcW w:w="1667" w:type="dxa"/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111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57" w:val="left" w:leader="none"/>
              </w:tabs>
              <w:spacing w:line="288" w:lineRule="auto" w:before="24" w:after="0"/>
              <w:ind w:left="24" w:right="129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pro přesun hmot stanovený z hmotnosti přesunovaného materiálu se používají tehdy, pokud je možné určit hmotnost za celý stavební </w:t>
            </w:r>
            <w:r>
              <w:rPr>
                <w:i/>
                <w:w w:val="105"/>
                <w:sz w:val="11"/>
              </w:rPr>
              <w:t>díl. Do této hmotnosti se započítává i hmotnost materiálů oceňovaných ve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57" w:val="left" w:leader="none"/>
              </w:tabs>
              <w:spacing w:line="288" w:lineRule="auto" w:before="0" w:after="0"/>
              <w:ind w:left="24" w:right="29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Pokud nelze jednoznačně stanovit hmotnost přesunovaných materiálů, lze pro výpočet přesunu hmot použít orientačně procentní sazbu. </w:t>
            </w:r>
            <w:r>
              <w:rPr>
                <w:i/>
                <w:spacing w:val="-3"/>
                <w:w w:val="105"/>
                <w:sz w:val="11"/>
              </w:rPr>
              <w:t>Touto </w:t>
            </w:r>
            <w:r>
              <w:rPr>
                <w:i/>
                <w:w w:val="105"/>
                <w:sz w:val="11"/>
              </w:rPr>
              <w:t>sazbou se vynásobí rozpočtové náklady za celý stavební díl včetně nákladů na materiál ve specifikacích.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57" w:val="left" w:leader="none"/>
              </w:tabs>
              <w:spacing w:line="288" w:lineRule="auto" w:before="0" w:after="0"/>
              <w:ind w:left="24" w:right="58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Příplatek k cenám -7181 pro přesun prováděný bez použití mechanizace, tj. za ztížených podmínek, lze použít pouze pro hmotnost </w:t>
            </w:r>
            <w:r>
              <w:rPr>
                <w:i/>
                <w:w w:val="105"/>
                <w:sz w:val="11"/>
              </w:rPr>
              <w:t>materiálu, která se tímto způsobem skutečně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přemísťuje.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3" w:lineRule="exact" w:before="99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1" w:lineRule="exact" w:before="61"/>
              <w:ind w:left="33"/>
              <w:rPr>
                <w:sz w:val="17"/>
              </w:rPr>
            </w:pPr>
            <w:r>
              <w:rPr>
                <w:sz w:val="17"/>
              </w:rPr>
              <w:t>781</w:t>
            </w:r>
          </w:p>
        </w:tc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1" w:lineRule="exact" w:before="61"/>
              <w:ind w:left="32"/>
              <w:rPr>
                <w:sz w:val="17"/>
              </w:rPr>
            </w:pPr>
            <w:r>
              <w:rPr>
                <w:sz w:val="17"/>
              </w:rPr>
              <w:t>Dokončovací práce - obklady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1" w:lineRule="exact" w:before="61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48 786,66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2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7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781111011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Příprava podkladu před provedením obkladu oprášení (ometení) stěny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30,188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150,94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967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1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781 </w:t>
            </w:r>
            <w:r>
              <w:rPr>
                <w:i/>
                <w:spacing w:val="-3"/>
                <w:w w:val="105"/>
                <w:sz w:val="11"/>
              </w:rPr>
              <w:t>12-1011 </w:t>
            </w:r>
            <w:r>
              <w:rPr>
                <w:i/>
                <w:w w:val="105"/>
                <w:sz w:val="11"/>
              </w:rPr>
              <w:t>až -1015 jsou započteny i náklady 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na materiál.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781 </w:t>
            </w:r>
            <w:r>
              <w:rPr>
                <w:i/>
                <w:spacing w:val="-3"/>
                <w:w w:val="105"/>
                <w:sz w:val="11"/>
              </w:rPr>
              <w:t>15-1011 </w:t>
            </w:r>
            <w:r>
              <w:rPr>
                <w:i/>
                <w:w w:val="105"/>
                <w:sz w:val="11"/>
              </w:rPr>
              <w:t>až -1041 jsou započteny i náklady 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na materiál.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7" w:val="left" w:leader="none"/>
              </w:tabs>
              <w:spacing w:line="288" w:lineRule="auto" w:before="25" w:after="0"/>
              <w:ind w:left="24" w:right="52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Lokalní vyrovnání podkladu tloušťky vetší než 3 mm se oceňuje cenami souboru cen Vyrovnání podkladu vnitřních omítaných ploch </w:t>
            </w:r>
            <w:r>
              <w:rPr>
                <w:i/>
                <w:w w:val="105"/>
                <w:sz w:val="11"/>
              </w:rPr>
              <w:t>katalogu 801-4 Budovy a haly - opravy a</w:t>
            </w:r>
            <w:r>
              <w:rPr>
                <w:i/>
                <w:spacing w:val="10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údržba.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781 </w:t>
            </w:r>
            <w:r>
              <w:rPr>
                <w:i/>
                <w:spacing w:val="-3"/>
                <w:w w:val="105"/>
                <w:sz w:val="11"/>
              </w:rPr>
              <w:t>16-1011 </w:t>
            </w:r>
            <w:r>
              <w:rPr>
                <w:i/>
                <w:w w:val="105"/>
                <w:sz w:val="11"/>
              </w:rPr>
              <w:t>až -1023 nejsou započteny náklady na materiál, tyto se oceňují ve</w:t>
            </w:r>
            <w:r>
              <w:rPr>
                <w:i/>
                <w:spacing w:val="2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7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CO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7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30,188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781121011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Příprava podkladu před provedením obkladu nátěr penetrační na stěnu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30,188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1 358,46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966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1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7" w:val="left" w:leader="none"/>
              </w:tabs>
              <w:spacing w:line="240" w:lineRule="auto" w:before="24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781 </w:t>
            </w:r>
            <w:r>
              <w:rPr>
                <w:i/>
                <w:spacing w:val="-3"/>
                <w:w w:val="105"/>
                <w:sz w:val="11"/>
              </w:rPr>
              <w:t>12-1011 </w:t>
            </w:r>
            <w:r>
              <w:rPr>
                <w:i/>
                <w:w w:val="105"/>
                <w:sz w:val="11"/>
              </w:rPr>
              <w:t>až -1015 jsou započteny i náklady 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na materiál.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7" w:val="left" w:leader="none"/>
              </w:tabs>
              <w:spacing w:line="240" w:lineRule="auto" w:before="25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781 </w:t>
            </w:r>
            <w:r>
              <w:rPr>
                <w:i/>
                <w:spacing w:val="-3"/>
                <w:w w:val="105"/>
                <w:sz w:val="11"/>
              </w:rPr>
              <w:t>15-1011 </w:t>
            </w:r>
            <w:r>
              <w:rPr>
                <w:i/>
                <w:w w:val="105"/>
                <w:sz w:val="11"/>
              </w:rPr>
              <w:t>až -1041 jsou započteny i náklady 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na materiál.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7" w:val="left" w:leader="none"/>
              </w:tabs>
              <w:spacing w:line="288" w:lineRule="auto" w:before="25" w:after="0"/>
              <w:ind w:left="24" w:right="525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Lokalní vyrovnání podkladu tloušťky vetší než 3 mm se oceňuje cenami souboru cen Vyrovnání podkladu vnitřních omítaných ploch </w:t>
            </w:r>
            <w:r>
              <w:rPr>
                <w:i/>
                <w:w w:val="105"/>
                <w:sz w:val="11"/>
              </w:rPr>
              <w:t>katalogu 801-4 Budovy a haly - opravy a</w:t>
            </w:r>
            <w:r>
              <w:rPr>
                <w:i/>
                <w:spacing w:val="10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údržba.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V cenách 781 </w:t>
            </w:r>
            <w:r>
              <w:rPr>
                <w:i/>
                <w:spacing w:val="-3"/>
                <w:w w:val="105"/>
                <w:sz w:val="11"/>
              </w:rPr>
              <w:t>16-1011 </w:t>
            </w:r>
            <w:r>
              <w:rPr>
                <w:i/>
                <w:w w:val="105"/>
                <w:sz w:val="11"/>
              </w:rPr>
              <w:t>až -1023 nejsou započteny náklady na materiál, tyto se oceňují ve</w:t>
            </w:r>
            <w:r>
              <w:rPr>
                <w:i/>
                <w:spacing w:val="2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7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CO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7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30,188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8"/>
              <w:rPr>
                <w:sz w:val="15"/>
              </w:rPr>
            </w:pPr>
            <w:r>
              <w:rPr>
                <w:sz w:val="15"/>
              </w:rPr>
              <w:t>781495211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7"/>
              <w:rPr>
                <w:sz w:val="15"/>
              </w:rPr>
            </w:pPr>
            <w:r>
              <w:rPr>
                <w:sz w:val="15"/>
              </w:rPr>
              <w:t>Čištění vnitřních ploch po provedení obkladu stěn chemickými prostředky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30,188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603,76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CO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2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30,188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781734111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obkladů vnějších stěn z obkladaček cihelných lepených flexibilním lepidlem do 50 ks/m2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30,188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535,00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16 150,58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Cenami lze oceňovat i obklady vápenopískovými pásky.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7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"stáv.cih.pásky-boční špalety (cca 50% plochy)"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"západ"(0,1*(2,6*35+0,6*4+2,0*9))*0,5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5,570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"východ"(0,1*(2,6*32+2,0*8+3,5))*0,5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5,135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"sever"(0,1*(3,5*4+2,4*2))*0,5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0,940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"jih"0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"tělocvična jih-boční+některé horní"(0,15*(4,2*2+1,2*15+0,6*30+2,1*22+3,25*2))*0,5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7,283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"tělocvična sever"(0,15*(4,2*2+2,1*4))*0,5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1,260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20,188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CO</w:t>
            </w: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30,188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5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90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596231-01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pásek obkladový cihlový hladký 290x65x15mm (Zlínský)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08" w:right="13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kus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1 494,306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14,00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20 920,28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i/>
                <w:sz w:val="15"/>
              </w:rPr>
            </w:pPr>
            <w:r>
              <w:rPr>
                <w:i/>
                <w:sz w:val="15"/>
              </w:rPr>
              <w:t>CS ÚRS 2020 01</w:t>
            </w:r>
          </w:p>
        </w:tc>
      </w:tr>
      <w:tr>
        <w:trPr>
          <w:trHeight w:val="295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6"/>
              <w:ind w:left="26"/>
              <w:rPr>
                <w:sz w:val="11"/>
              </w:rPr>
            </w:pPr>
            <w:r>
              <w:rPr>
                <w:w w:val="106"/>
                <w:sz w:val="11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položce:</w:t>
            </w:r>
          </w:p>
          <w:p>
            <w:pPr>
              <w:pStyle w:val="TableParagraph"/>
              <w:spacing w:line="123" w:lineRule="exact"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spotřeba 45ks/m2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8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3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1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CO*45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1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1 358,460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1358,46*1,1 'Přepočtené koeficientem množství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1 494,306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781739191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obkladů vnějších stěn z obkladaček cihelných Příplatek k cenám za plochu do 10 m2 jednotlivě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30,188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80,00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2 415,04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4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Cenami lze oceňovat i obklady vápenopískovými pásky.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7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CO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77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30,188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781739194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obkladů vnějších stěn z obkladaček cihelných Příplatek k cenám za vyrovnání nerovného povrchu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30,188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200,00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6 037,60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2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Cenami lze oceňovat i obklady vápenopískovými pásky.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7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CO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77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30,188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8"/>
              <w:rPr>
                <w:sz w:val="15"/>
              </w:rPr>
            </w:pPr>
            <w:r>
              <w:rPr>
                <w:sz w:val="15"/>
              </w:rPr>
              <w:t>998781101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 hmot pro obklady keramické stanovený z hmotnosti přesunovaného materiálu vodorovná dopravní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vzdálenost do 50 m v objektech výšky do 6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632,50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6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182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21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57" w:val="left" w:leader="none"/>
              </w:tabs>
              <w:spacing w:line="288" w:lineRule="auto" w:before="24" w:after="0"/>
              <w:ind w:left="24" w:right="129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pro přesun hmot stanovený z hmotnosti přesunovaného materiálu se používají tehdy, pokud je možné určit hmotnost za celý stavební </w:t>
            </w:r>
            <w:r>
              <w:rPr>
                <w:i/>
                <w:w w:val="105"/>
                <w:sz w:val="11"/>
              </w:rPr>
              <w:t>díl. Do této hmotnosti se započítává i hmotnost materiálů oceňovaných ve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57" w:val="left" w:leader="none"/>
              </w:tabs>
              <w:spacing w:line="285" w:lineRule="auto" w:before="0" w:after="0"/>
              <w:ind w:left="24" w:right="29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Pokud nelze jednoznačně stanovit hmotnost přesunovaných materiálů, lze pro výpočet přesunu hmot použít orientačně procentní sazbu. </w:t>
            </w:r>
            <w:r>
              <w:rPr>
                <w:i/>
                <w:spacing w:val="-3"/>
                <w:w w:val="105"/>
                <w:sz w:val="11"/>
              </w:rPr>
              <w:t>Touto </w:t>
            </w:r>
            <w:r>
              <w:rPr>
                <w:i/>
                <w:w w:val="105"/>
                <w:sz w:val="11"/>
              </w:rPr>
              <w:t>sazbou se vynásobí rozpočtové náklady za celý stavební díl včetně nákladů na materiál ve specifikacích.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57" w:val="left" w:leader="none"/>
              </w:tabs>
              <w:spacing w:line="288" w:lineRule="auto" w:before="1" w:after="0"/>
              <w:ind w:left="24" w:right="58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Příplatek k cenám -1181 pro přesun prováděný bez použití mechanizace, tj. za ztížených podmínek, lze použít pouze pro hmotnost </w:t>
            </w:r>
            <w:r>
              <w:rPr>
                <w:i/>
                <w:w w:val="105"/>
                <w:sz w:val="11"/>
              </w:rPr>
              <w:t>materiálu, která se tímto způsobem skutečně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přemísťuje.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998781181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 hmot pro obklady keramické stanovený z hmotnosti přesunovaného materiálu Příplatek k cenám za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přesun prováděný bez použití mechanizace pro jakoukoliv výšku objektu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450,00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517,50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1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8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8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11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2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57" w:val="left" w:leader="none"/>
              </w:tabs>
              <w:spacing w:line="288" w:lineRule="auto" w:before="24" w:after="0"/>
              <w:ind w:left="24" w:right="129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pro přesun hmot stanovený z hmotnosti přesunovaného materiálu se používají tehdy, pokud je možné určit hmotnost za celý stavební </w:t>
            </w:r>
            <w:r>
              <w:rPr>
                <w:i/>
                <w:w w:val="105"/>
                <w:sz w:val="11"/>
              </w:rPr>
              <w:t>díl. Do této hmotnosti se započítává i hmotnost materiálů oceňovaných ve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57" w:val="left" w:leader="none"/>
              </w:tabs>
              <w:spacing w:line="288" w:lineRule="auto" w:before="0" w:after="0"/>
              <w:ind w:left="24" w:right="29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Pokud nelze jednoznačně stanovit hmotnost přesunovaných materiálů, lze pro výpočet přesunu hmot použít orientačně procentní sazbu. </w:t>
            </w:r>
            <w:r>
              <w:rPr>
                <w:i/>
                <w:spacing w:val="-3"/>
                <w:w w:val="105"/>
                <w:sz w:val="11"/>
              </w:rPr>
              <w:t>Touto </w:t>
            </w:r>
            <w:r>
              <w:rPr>
                <w:i/>
                <w:w w:val="105"/>
                <w:sz w:val="11"/>
              </w:rPr>
              <w:t>sazbou se vynásobí rozpočtové náklady za celý stavební díl včetně nákladů na materiál ve specifikacích.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57" w:val="left" w:leader="none"/>
              </w:tabs>
              <w:spacing w:line="288" w:lineRule="auto" w:before="0" w:after="0"/>
              <w:ind w:left="24" w:right="58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Příplatek k cenám -1181 pro přesun prováděný bez použití mechanizace, tj. za ztížených podmínek, lze použít pouze pro hmotnost </w:t>
            </w:r>
            <w:r>
              <w:rPr>
                <w:i/>
                <w:w w:val="105"/>
                <w:sz w:val="11"/>
              </w:rPr>
              <w:t>materiálu, která se tímto způsobem skutečně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přemísťuje.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 w:before="99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61"/>
              <w:ind w:left="33"/>
              <w:rPr>
                <w:sz w:val="17"/>
              </w:rPr>
            </w:pPr>
            <w:r>
              <w:rPr>
                <w:sz w:val="17"/>
              </w:rPr>
              <w:t>784</w:t>
            </w: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61"/>
              <w:ind w:left="32"/>
              <w:rPr>
                <w:sz w:val="17"/>
              </w:rPr>
            </w:pPr>
            <w:r>
              <w:rPr>
                <w:sz w:val="17"/>
              </w:rPr>
              <w:t>Dokončovací práce - malby a tapety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61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108 192,98</w:t>
            </w: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784111001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Oprášení (ometení) podkladu v místnostech výšky do 3,80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1 040,317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4 161,27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malby"1040,317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1 040,317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784121001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Oškrabání malby v místnostech výšky do 3,80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1 040,317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30,00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31 209,51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Cenami souboru cen se oceňuje jakýkoli počet současně škrabaných vrstev barvy.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malby"1040,317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78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1 040,317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784121011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Rozmývání podkladu po oškrabání malby v místnostech výšky do 3,80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1 040,317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15 604,76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6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malby"1040,317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3" w:lineRule="exact" w:before="3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1 040,317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98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784181121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Penetrace podkladu jednonásobná hloubková v místnostech výšky do 3,80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1 040,317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20 806,34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malby"1040,317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3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1 040,317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99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784221101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Malby z malířských směsí otěruvzdorných za sucha dvojnásobné, bílé za sucha otěruvzdorné dobře v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místnostech výšky do 3,80 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1 040,317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35,00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36 411,10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69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6" w:lineRule="exact" w:before="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"obvodové stěny s výměnouvýplní otvorů"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"hlavní budova"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"1.np"3,5*(5,825*2+12,15+4,12+7,705+4,8+1,45+0,95+1,95+5,1+6,05+8,025)-(1,48*3,5*2+1,45*3,5)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208,390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"2.np"3,5*(3+8,725+3,93+9,905+4,165+11,975+4,65*3+9,94+3,91+10,112+8,035+9,945)-(4,55*2,4+2,95*3,4*2)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310,592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"vedlejší (tělocvična)"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"tělocvična (mimo parapetní část)"4,5*(24,6*2+0,25*16)-(16,8*4,2*2)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98,280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"1.np"3,5*(2,475+2,7+2,89+5,6+3+2,95+3,2+12,025)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121,940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"2.np"3,5*(3,925+4,39+5,4+9,45+0,4*2+24,225)-(5,4*3,25)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151,115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890,317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"ostatní potřebné plochy"150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150,000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1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Součet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1" w:lineRule="exact" w:before="4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1 040,317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 w:before="29"/>
              <w:ind w:left="28"/>
              <w:rPr>
                <w:sz w:val="13"/>
              </w:rPr>
            </w:pPr>
            <w:r>
              <w:rPr>
                <w:w w:val="103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6" w:lineRule="exact"/>
              <w:ind w:left="33"/>
              <w:rPr>
                <w:sz w:val="17"/>
              </w:rPr>
            </w:pPr>
            <w:r>
              <w:rPr>
                <w:sz w:val="17"/>
              </w:rPr>
              <w:t>786</w:t>
            </w: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6" w:lineRule="exact"/>
              <w:ind w:left="32"/>
              <w:rPr>
                <w:sz w:val="17"/>
              </w:rPr>
            </w:pPr>
            <w:r>
              <w:rPr>
                <w:sz w:val="17"/>
              </w:rPr>
              <w:t>Dokončovací práce - čalounické úpravy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6" w:lineRule="exact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153 985,38</w:t>
            </w: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78662-01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Demontáž zastiňujících žaluzií lamelových vnitřních nebo do oken dvojitých dřevěných, zastiňujících rolet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327,712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30,00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9 831,36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Cenu-3111 lze použít pro jakýkoli rozměr žaluzie.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nové žaluzie"273,84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78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273,840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"dtto nové rolety"53,872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53,872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327,712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7866261-01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DMTZ+zpětná montáž textilních žaluzií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141,120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210,00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29 635,20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Cenu-3111 lze použít pro jakýkoli rozměr žaluzie.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"tělocvična"(16,8*4,2)*2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78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141,120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141,120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786626111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zastiňujících žaluzií lamelových vnitřních nebo do oken dvojitých dřevěných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273,840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126,00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34 503,84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371" w:hRule="atLeast"/>
        </w:trPr>
        <w:tc>
          <w:tcPr>
            <w:tcW w:w="3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spacing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 Cenu-3111 lze použít pro jakýkoli rozměr žaluzie.</w:t>
            </w:r>
          </w:p>
        </w:tc>
        <w:tc>
          <w:tcPr>
            <w:tcW w:w="56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"pro výplně otvorů"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"201"1,48*2,6*50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192,400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"202"1,48*2,0*13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38,480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"210"0,55*0,6*2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0,660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"211"1,2*0,6*15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10,800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7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"212"0,9*2,1*2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7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3,780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"214"1,2*2,1*5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12,600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</w:tcPr>
          <w:p>
            <w:pPr>
              <w:pStyle w:val="TableParagraph"/>
              <w:spacing w:line="146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"215"1,2*2,1*6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46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15,120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Mezisoučet</w:t>
            </w:r>
          </w:p>
        </w:tc>
        <w:tc>
          <w:tcPr>
            <w:tcW w:w="56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2" w:lineRule="exact" w:before="4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273,840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3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103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90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611243-01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žaluzie interiérová Al bílá vč.manuálního ovládání řetízkem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108" w:right="13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kus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273,840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222,50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60 929,40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6840" w:h="11910" w:orient="landscape"/>
          <w:pgMar w:header="0" w:footer="149" w:top="580" w:bottom="340" w:left="300" w:right="600"/>
        </w:sectPr>
      </w:pPr>
    </w:p>
    <w:tbl>
      <w:tblPr>
        <w:tblW w:w="0" w:type="auto"/>
        <w:jc w:val="left"/>
        <w:tblInd w:w="2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22"/>
        <w:gridCol w:w="1280"/>
        <w:gridCol w:w="7524"/>
        <w:gridCol w:w="563"/>
        <w:gridCol w:w="1045"/>
        <w:gridCol w:w="1182"/>
        <w:gridCol w:w="1667"/>
        <w:gridCol w:w="1667"/>
      </w:tblGrid>
      <w:tr>
        <w:trPr>
          <w:trHeight w:val="442" w:hRule="atLeast"/>
        </w:trPr>
        <w:tc>
          <w:tcPr>
            <w:tcW w:w="310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31" w:right="28"/>
              <w:jc w:val="center"/>
              <w:rPr>
                <w:sz w:val="15"/>
              </w:rPr>
            </w:pPr>
            <w:r>
              <w:rPr>
                <w:sz w:val="15"/>
              </w:rPr>
              <w:t>PČ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7"/>
              <w:ind w:left="38"/>
              <w:rPr>
                <w:sz w:val="15"/>
              </w:rPr>
            </w:pPr>
            <w:r>
              <w:rPr>
                <w:sz w:val="15"/>
              </w:rPr>
              <w:t>Typ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7"/>
              <w:ind w:left="486" w:right="486"/>
              <w:jc w:val="center"/>
              <w:rPr>
                <w:sz w:val="15"/>
              </w:rPr>
            </w:pPr>
            <w:r>
              <w:rPr>
                <w:sz w:val="15"/>
              </w:rPr>
              <w:t>Kód</w:t>
            </w: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7"/>
              <w:ind w:left="3553" w:right="3553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7"/>
              <w:ind w:left="161" w:right="162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7"/>
              <w:ind w:left="214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7"/>
              <w:ind w:left="148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7"/>
              <w:ind w:left="171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  <w:tc>
          <w:tcPr>
            <w:tcW w:w="1667" w:type="dxa"/>
            <w:tcBorders>
              <w:left w:val="nil"/>
            </w:tcBorders>
          </w:tcPr>
          <w:p>
            <w:pPr>
              <w:pStyle w:val="TableParagraph"/>
              <w:spacing w:before="127"/>
              <w:ind w:left="237"/>
              <w:rPr>
                <w:sz w:val="15"/>
              </w:rPr>
            </w:pPr>
            <w:r>
              <w:rPr>
                <w:sz w:val="15"/>
              </w:rPr>
              <w:t>Cenová soustava</w:t>
            </w: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right="96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sz w:val="15"/>
              </w:rPr>
              <w:t>7866311-01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sz w:val="15"/>
              </w:rPr>
            </w:pPr>
            <w:r>
              <w:rPr>
                <w:sz w:val="15"/>
              </w:rPr>
              <w:t>Montáž zatemňovacích zařízení (rolet)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29" w:right="129"/>
              <w:jc w:val="center"/>
              <w:rPr>
                <w:sz w:val="15"/>
              </w:rPr>
            </w:pPr>
            <w:r>
              <w:rPr>
                <w:sz w:val="15"/>
              </w:rPr>
              <w:t>m2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53,872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91,00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4 902,35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3" w:lineRule="exact" w:before="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"2.np"(1,48*2,6)*(6+4+4)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3" w:lineRule="exact" w:before="2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53,872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10" w:type="dxa"/>
          </w:tcPr>
          <w:p>
            <w:pPr>
              <w:pStyle w:val="TableParagraph"/>
              <w:spacing w:line="157" w:lineRule="exact"/>
              <w:ind w:left="3" w:right="10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105</w:t>
            </w:r>
          </w:p>
        </w:tc>
        <w:tc>
          <w:tcPr>
            <w:tcW w:w="322" w:type="dxa"/>
          </w:tcPr>
          <w:p>
            <w:pPr>
              <w:pStyle w:val="TableParagraph"/>
              <w:spacing w:line="157" w:lineRule="exact"/>
              <w:ind w:right="98"/>
              <w:jc w:val="right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M</w:t>
            </w:r>
          </w:p>
        </w:tc>
        <w:tc>
          <w:tcPr>
            <w:tcW w:w="1280" w:type="dxa"/>
          </w:tcPr>
          <w:p>
            <w:pPr>
              <w:pStyle w:val="TableParagraph"/>
              <w:spacing w:line="157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553461-01</w:t>
            </w:r>
          </w:p>
        </w:tc>
        <w:tc>
          <w:tcPr>
            <w:tcW w:w="7524" w:type="dxa"/>
          </w:tcPr>
          <w:p>
            <w:pPr>
              <w:pStyle w:val="TableParagraph"/>
              <w:spacing w:line="157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roleta látková zatemňující mechanicky ovládaná</w:t>
            </w:r>
          </w:p>
        </w:tc>
        <w:tc>
          <w:tcPr>
            <w:tcW w:w="563" w:type="dxa"/>
          </w:tcPr>
          <w:p>
            <w:pPr>
              <w:pStyle w:val="TableParagraph"/>
              <w:spacing w:line="157" w:lineRule="exact"/>
              <w:ind w:left="108" w:right="13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m2</w:t>
            </w:r>
          </w:p>
        </w:tc>
        <w:tc>
          <w:tcPr>
            <w:tcW w:w="1045" w:type="dxa"/>
          </w:tcPr>
          <w:p>
            <w:pPr>
              <w:pStyle w:val="TableParagraph"/>
              <w:spacing w:line="157" w:lineRule="exact"/>
              <w:ind w:right="5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53,872</w:t>
            </w:r>
          </w:p>
        </w:tc>
        <w:tc>
          <w:tcPr>
            <w:tcW w:w="1182" w:type="dxa"/>
          </w:tcPr>
          <w:p>
            <w:pPr>
              <w:pStyle w:val="TableParagraph"/>
              <w:spacing w:line="157" w:lineRule="exact"/>
              <w:ind w:right="5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257,00</w:t>
            </w:r>
          </w:p>
        </w:tc>
        <w:tc>
          <w:tcPr>
            <w:tcW w:w="1667" w:type="dxa"/>
          </w:tcPr>
          <w:p>
            <w:pPr>
              <w:pStyle w:val="TableParagraph"/>
              <w:spacing w:line="157" w:lineRule="exact"/>
              <w:ind w:right="6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13 845,10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310" w:type="dxa"/>
          </w:tcPr>
          <w:p>
            <w:pPr>
              <w:pStyle w:val="TableParagraph"/>
              <w:spacing w:before="84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322" w:type="dxa"/>
          </w:tcPr>
          <w:p>
            <w:pPr>
              <w:pStyle w:val="TableParagraph"/>
              <w:spacing w:before="84"/>
              <w:ind w:right="96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z w:val="15"/>
              </w:rPr>
              <w:t>998786101</w:t>
            </w:r>
          </w:p>
        </w:tc>
        <w:tc>
          <w:tcPr>
            <w:tcW w:w="7524" w:type="dxa"/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 hmot pro čalounické úpravy stanovený z hmotnosti přesunovaného materiálu vodorovná dopravní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vzdálenost do 50 m v objektech výšky (hloubky) do 6 m</w:t>
            </w:r>
          </w:p>
        </w:tc>
        <w:tc>
          <w:tcPr>
            <w:tcW w:w="563" w:type="dxa"/>
          </w:tcPr>
          <w:p>
            <w:pPr>
              <w:pStyle w:val="TableParagraph"/>
              <w:spacing w:before="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</w:tcPr>
          <w:p>
            <w:pPr>
              <w:pStyle w:val="TableParagraph"/>
              <w:spacing w:before="84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0,289</w:t>
            </w:r>
          </w:p>
        </w:tc>
        <w:tc>
          <w:tcPr>
            <w:tcW w:w="1182" w:type="dxa"/>
          </w:tcPr>
          <w:p>
            <w:pPr>
              <w:pStyle w:val="TableParagraph"/>
              <w:spacing w:before="84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683,00</w:t>
            </w:r>
          </w:p>
        </w:tc>
        <w:tc>
          <w:tcPr>
            <w:tcW w:w="1667" w:type="dxa"/>
          </w:tcPr>
          <w:p>
            <w:pPr>
              <w:pStyle w:val="TableParagraph"/>
              <w:spacing w:before="8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197,39</w:t>
            </w:r>
          </w:p>
        </w:tc>
        <w:tc>
          <w:tcPr>
            <w:tcW w:w="1667" w:type="dxa"/>
          </w:tcPr>
          <w:p>
            <w:pPr>
              <w:pStyle w:val="TableParagraph"/>
              <w:spacing w:before="87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182" w:hRule="atLeast"/>
        </w:trPr>
        <w:tc>
          <w:tcPr>
            <w:tcW w:w="3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1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57" w:val="left" w:leader="none"/>
              </w:tabs>
              <w:spacing w:line="288" w:lineRule="auto" w:before="24" w:after="0"/>
              <w:ind w:left="24" w:right="129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pro přesun hmot stanovený z hmotnosti přesunovaného materiálu se používají tehdy, pokud je možné určit hmotnost za celý stavební </w:t>
            </w:r>
            <w:r>
              <w:rPr>
                <w:i/>
                <w:w w:val="105"/>
                <w:sz w:val="11"/>
              </w:rPr>
              <w:t>díl. Do této hmotnosti se započítává i hmotnost materiálů oceňovaných ve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57" w:val="left" w:leader="none"/>
              </w:tabs>
              <w:spacing w:line="288" w:lineRule="auto" w:before="0" w:after="0"/>
              <w:ind w:left="24" w:right="29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Pokud nelze jednoznačně stanovit hmotnost přesunovaných materiálů, lze pro výpočet přesunu hmot použít orientačně procentní sazbu. </w:t>
            </w:r>
            <w:r>
              <w:rPr>
                <w:i/>
                <w:spacing w:val="-3"/>
                <w:w w:val="105"/>
                <w:sz w:val="11"/>
              </w:rPr>
              <w:t>Touto </w:t>
            </w:r>
            <w:r>
              <w:rPr>
                <w:i/>
                <w:w w:val="105"/>
                <w:sz w:val="11"/>
              </w:rPr>
              <w:t>sazbou se vynásobí rozpočtové náklady za celý stavební díl včetně nákladů na materiál ve specifikacích.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57" w:val="left" w:leader="none"/>
              </w:tabs>
              <w:spacing w:line="288" w:lineRule="auto" w:before="0" w:after="0"/>
              <w:ind w:left="24" w:right="58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Příplatek k cenám -6181 pro přesun prováděný bez použití mechanizace, tj. za ztížených podmínek, lze použít pouze pro hmotnost </w:t>
            </w:r>
            <w:r>
              <w:rPr>
                <w:i/>
                <w:w w:val="105"/>
                <w:sz w:val="11"/>
              </w:rPr>
              <w:t>materiálu, která se tímto způsobem skutečně</w:t>
            </w:r>
            <w:r>
              <w:rPr>
                <w:i/>
                <w:spacing w:val="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přemísťuje.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9" w:hRule="atLeast"/>
        </w:trPr>
        <w:tc>
          <w:tcPr>
            <w:tcW w:w="310" w:type="dxa"/>
          </w:tcPr>
          <w:p>
            <w:pPr>
              <w:pStyle w:val="TableParagraph"/>
              <w:spacing w:before="84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322" w:type="dxa"/>
          </w:tcPr>
          <w:p>
            <w:pPr>
              <w:pStyle w:val="TableParagraph"/>
              <w:spacing w:before="84"/>
              <w:ind w:right="96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K</w:t>
            </w:r>
          </w:p>
        </w:tc>
        <w:tc>
          <w:tcPr>
            <w:tcW w:w="1280" w:type="dxa"/>
          </w:tcPr>
          <w:p>
            <w:pPr>
              <w:pStyle w:val="TableParagraph"/>
              <w:spacing w:before="86"/>
              <w:ind w:left="28"/>
              <w:rPr>
                <w:sz w:val="15"/>
              </w:rPr>
            </w:pPr>
            <w:r>
              <w:rPr>
                <w:sz w:val="15"/>
              </w:rPr>
              <w:t>998786181</w:t>
            </w:r>
          </w:p>
        </w:tc>
        <w:tc>
          <w:tcPr>
            <w:tcW w:w="7524" w:type="dxa"/>
          </w:tcPr>
          <w:p>
            <w:pPr>
              <w:pStyle w:val="TableParagraph"/>
              <w:spacing w:line="16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 hmot pro čalounické úpravy stanovený z hmotnosti přesunovaného materiálu Příplatek k cenám za</w:t>
            </w:r>
          </w:p>
          <w:p>
            <w:pPr>
              <w:pStyle w:val="TableParagraph"/>
              <w:spacing w:line="159" w:lineRule="exact" w:before="14"/>
              <w:ind w:left="27"/>
              <w:rPr>
                <w:sz w:val="15"/>
              </w:rPr>
            </w:pPr>
            <w:r>
              <w:rPr>
                <w:sz w:val="15"/>
              </w:rPr>
              <w:t>přesun prováděný bez použití mechanizace pro jakoukoliv výšku objektu</w:t>
            </w:r>
          </w:p>
        </w:tc>
        <w:tc>
          <w:tcPr>
            <w:tcW w:w="563" w:type="dxa"/>
          </w:tcPr>
          <w:p>
            <w:pPr>
              <w:pStyle w:val="TableParagraph"/>
              <w:spacing w:before="8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t</w:t>
            </w:r>
          </w:p>
        </w:tc>
        <w:tc>
          <w:tcPr>
            <w:tcW w:w="1045" w:type="dxa"/>
          </w:tcPr>
          <w:p>
            <w:pPr>
              <w:pStyle w:val="TableParagraph"/>
              <w:spacing w:before="84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0,289</w:t>
            </w:r>
          </w:p>
        </w:tc>
        <w:tc>
          <w:tcPr>
            <w:tcW w:w="1182" w:type="dxa"/>
          </w:tcPr>
          <w:p>
            <w:pPr>
              <w:pStyle w:val="TableParagraph"/>
              <w:spacing w:before="84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487,00</w:t>
            </w:r>
          </w:p>
        </w:tc>
        <w:tc>
          <w:tcPr>
            <w:tcW w:w="1667" w:type="dxa"/>
          </w:tcPr>
          <w:p>
            <w:pPr>
              <w:pStyle w:val="TableParagraph"/>
              <w:spacing w:before="8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140,74</w:t>
            </w:r>
          </w:p>
        </w:tc>
        <w:tc>
          <w:tcPr>
            <w:tcW w:w="1667" w:type="dxa"/>
          </w:tcPr>
          <w:p>
            <w:pPr>
              <w:pStyle w:val="TableParagraph"/>
              <w:spacing w:before="86"/>
              <w:ind w:left="21"/>
              <w:rPr>
                <w:sz w:val="15"/>
              </w:rPr>
            </w:pPr>
            <w:r>
              <w:rPr>
                <w:sz w:val="15"/>
              </w:rPr>
              <w:t>CS ÚRS 2020 01</w:t>
            </w:r>
          </w:p>
        </w:tc>
      </w:tr>
      <w:tr>
        <w:trPr>
          <w:trHeight w:val="1037" w:hRule="atLeast"/>
        </w:trPr>
        <w:tc>
          <w:tcPr>
            <w:tcW w:w="3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PSC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 souboru cen: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57" w:val="left" w:leader="none"/>
              </w:tabs>
              <w:spacing w:line="288" w:lineRule="auto" w:before="24" w:after="0"/>
              <w:ind w:left="24" w:right="129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Ceny pro přesun hmot stanovený z hmotnosti přesunovaného materiálu se používají tehdy, pokud je možné určit hmotnost za celý stavební </w:t>
            </w:r>
            <w:r>
              <w:rPr>
                <w:i/>
                <w:w w:val="105"/>
                <w:sz w:val="11"/>
              </w:rPr>
              <w:t>díl. Do této hmotnosti se započítává i hmotnost materiálů oceňovaných ve</w:t>
            </w:r>
            <w:r>
              <w:rPr>
                <w:i/>
                <w:spacing w:val="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specifikaci.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57" w:val="left" w:leader="none"/>
              </w:tabs>
              <w:spacing w:line="288" w:lineRule="auto" w:before="0" w:after="0"/>
              <w:ind w:left="24" w:right="296" w:firstLine="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Pokud nelze jednoznačně stanovit hmotnost přesunovaných materiálů, lze pro výpočet přesunu hmot použít orientačně procentní sazbu. </w:t>
            </w:r>
            <w:r>
              <w:rPr>
                <w:i/>
                <w:spacing w:val="-3"/>
                <w:w w:val="105"/>
                <w:sz w:val="11"/>
              </w:rPr>
              <w:t>Touto </w:t>
            </w:r>
            <w:r>
              <w:rPr>
                <w:i/>
                <w:w w:val="105"/>
                <w:sz w:val="11"/>
              </w:rPr>
              <w:t>sazbou se vynásobí rozpočtové náklady za celý stavební díl včetně nákladů na materiál ve specifikacích.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57" w:val="left" w:leader="none"/>
              </w:tabs>
              <w:spacing w:line="125" w:lineRule="exact" w:before="0" w:after="0"/>
              <w:ind w:left="156" w:right="0" w:hanging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Příplatek k cenám -6181 pro přesun prováděný bez použití mechanizace, tj. za ztížených podmínek, lze použít pouze pro</w:t>
            </w:r>
            <w:r>
              <w:rPr>
                <w:i/>
                <w:spacing w:val="30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hmotnost</w:t>
            </w:r>
          </w:p>
          <w:p>
            <w:pPr>
              <w:pStyle w:val="TableParagraph"/>
              <w:spacing w:line="115" w:lineRule="exact" w:before="25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materiálu, která se tímto způsobem skutečně přemísťuje.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pgSz w:w="16840" w:h="11910" w:orient="landscape"/>
      <w:pgMar w:header="0" w:footer="149" w:top="580" w:bottom="340" w:left="3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7.589996pt;margin-top:572.756592pt;width:45.7pt;height:9.550pt;mso-position-horizontal-relative:page;mso-position-vertical-relative:page;z-index:-2683842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w w:val="105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w w:val="105"/>
                    <w:sz w:val="13"/>
                  </w:rPr>
                  <w:t> z 18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61" w:hanging="137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7"/>
      </w:pPr>
      <w:rPr>
        <w:rFonts w:hint="default"/>
        <w:lang w:val="cs-CZ" w:eastAsia="cs-CZ" w:bidi="cs-CZ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6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2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61" w:hanging="137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96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32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69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0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42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78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314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51" w:hanging="137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" w:hanging="132"/>
        <w:jc w:val="left"/>
      </w:pPr>
      <w:rPr>
        <w:rFonts w:hint="default" w:ascii="Arial" w:hAnsi="Arial" w:eastAsia="Arial" w:cs="Arial"/>
        <w:i/>
        <w:spacing w:val="-1"/>
        <w:w w:val="106"/>
        <w:sz w:val="11"/>
        <w:szCs w:val="1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0" w:hanging="13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20" w:hanging="13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271" w:hanging="13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21" w:hanging="13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72" w:hanging="13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522" w:hanging="13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272" w:hanging="13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6023" w:hanging="132"/>
      </w:pPr>
      <w:rPr>
        <w:rFonts w:hint="default"/>
        <w:lang w:val="cs-CZ" w:eastAsia="cs-CZ" w:bidi="cs-CZ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dcterms:created xsi:type="dcterms:W3CDTF">2021-03-22T11:58:26Z</dcterms:created>
  <dcterms:modified xsi:type="dcterms:W3CDTF">2021-03-22T11:58:26Z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2021-03-22T00:00:00Z</vt:filetime>
  </property>
</Properties>
</file>