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B34243" w:rsidTr="009F522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B34243" w:rsidRPr="009D4A9A" w:rsidRDefault="00B34243" w:rsidP="009F522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B34243" w:rsidRDefault="00B34243" w:rsidP="009F522E">
            <w:r>
              <w:rPr>
                <w:noProof/>
              </w:rPr>
              <w:drawing>
                <wp:inline distT="0" distB="0" distL="0" distR="0">
                  <wp:extent cx="866775" cy="1089025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243" w:rsidTr="009F522E">
        <w:trPr>
          <w:cantSplit/>
          <w:trHeight w:hRule="exact" w:val="541"/>
        </w:trPr>
        <w:tc>
          <w:tcPr>
            <w:tcW w:w="7810" w:type="dxa"/>
            <w:gridSpan w:val="3"/>
          </w:tcPr>
          <w:p w:rsidR="00B34243" w:rsidRDefault="00B34243" w:rsidP="009F522E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B34243" w:rsidRDefault="00B34243" w:rsidP="009F522E"/>
        </w:tc>
        <w:tc>
          <w:tcPr>
            <w:tcW w:w="1829" w:type="dxa"/>
            <w:gridSpan w:val="2"/>
            <w:vMerge/>
          </w:tcPr>
          <w:p w:rsidR="00B34243" w:rsidRDefault="00B34243" w:rsidP="009F522E"/>
        </w:tc>
      </w:tr>
      <w:tr w:rsidR="00B34243" w:rsidTr="009F522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B34243" w:rsidRDefault="00B34243" w:rsidP="009F522E"/>
        </w:tc>
        <w:tc>
          <w:tcPr>
            <w:tcW w:w="3235" w:type="dxa"/>
            <w:gridSpan w:val="2"/>
            <w:vAlign w:val="center"/>
          </w:tcPr>
          <w:p w:rsidR="00B34243" w:rsidRPr="00D958A2" w:rsidRDefault="00B34243" w:rsidP="009F522E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:rsidR="00B34243" w:rsidRDefault="00B34243" w:rsidP="009F522E"/>
        </w:tc>
      </w:tr>
      <w:tr w:rsidR="00B34243" w:rsidTr="009F522E">
        <w:trPr>
          <w:cantSplit/>
          <w:trHeight w:val="360"/>
        </w:trPr>
        <w:tc>
          <w:tcPr>
            <w:tcW w:w="6015" w:type="dxa"/>
            <w:gridSpan w:val="2"/>
            <w:vMerge/>
          </w:tcPr>
          <w:p w:rsidR="00B34243" w:rsidRDefault="00B34243" w:rsidP="009F522E"/>
        </w:tc>
        <w:tc>
          <w:tcPr>
            <w:tcW w:w="3235" w:type="dxa"/>
            <w:gridSpan w:val="2"/>
            <w:vAlign w:val="center"/>
          </w:tcPr>
          <w:p w:rsidR="007F289E" w:rsidRPr="00754241" w:rsidRDefault="007F289E" w:rsidP="007F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*MMOPP00FPXQ5</w:t>
            </w:r>
            <w:r w:rsidRPr="00754241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34243" w:rsidRDefault="00B34243" w:rsidP="009F5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B34243" w:rsidRDefault="00B34243" w:rsidP="009F522E"/>
        </w:tc>
      </w:tr>
      <w:tr w:rsidR="00B34243" w:rsidTr="009F522E">
        <w:trPr>
          <w:trHeight w:val="1039"/>
        </w:trPr>
        <w:tc>
          <w:tcPr>
            <w:tcW w:w="9639" w:type="dxa"/>
            <w:gridSpan w:val="5"/>
            <w:vAlign w:val="bottom"/>
          </w:tcPr>
          <w:p w:rsidR="00B34243" w:rsidRPr="009D4A9A" w:rsidRDefault="00B34243" w:rsidP="009F522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B34243" w:rsidTr="009F522E">
        <w:trPr>
          <w:trHeight w:val="345"/>
        </w:trPr>
        <w:tc>
          <w:tcPr>
            <w:tcW w:w="9639" w:type="dxa"/>
            <w:gridSpan w:val="5"/>
            <w:vAlign w:val="center"/>
          </w:tcPr>
          <w:p w:rsidR="00B34243" w:rsidRDefault="007F289E" w:rsidP="007F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  <w:r w:rsidR="00B342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4243" w:rsidTr="009F522E">
        <w:trPr>
          <w:trHeight w:val="553"/>
        </w:trPr>
        <w:tc>
          <w:tcPr>
            <w:tcW w:w="9639" w:type="dxa"/>
            <w:gridSpan w:val="5"/>
            <w:vAlign w:val="bottom"/>
          </w:tcPr>
          <w:p w:rsidR="00B34243" w:rsidRDefault="00B34243" w:rsidP="009F5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B34243" w:rsidTr="009F522E">
        <w:trPr>
          <w:trHeight w:val="345"/>
        </w:trPr>
        <w:tc>
          <w:tcPr>
            <w:tcW w:w="9639" w:type="dxa"/>
            <w:gridSpan w:val="5"/>
            <w:vAlign w:val="bottom"/>
          </w:tcPr>
          <w:p w:rsidR="00B34243" w:rsidRDefault="00B34243" w:rsidP="009F5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B34243" w:rsidTr="009F522E">
        <w:trPr>
          <w:trHeight w:val="291"/>
        </w:trPr>
        <w:tc>
          <w:tcPr>
            <w:tcW w:w="9639" w:type="dxa"/>
            <w:gridSpan w:val="5"/>
          </w:tcPr>
          <w:p w:rsidR="00B34243" w:rsidRDefault="00B34243" w:rsidP="009F522E"/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69, 746 26 Opava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376BBA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B342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B34243" w:rsidRPr="007E0CCB" w:rsidRDefault="00B34243" w:rsidP="009F52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 w:rsidR="007F289E"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se sídlem Slezská 4/11, Malé Hoštice, 747 05 Opava, </w:t>
            </w:r>
            <w:r w:rsidR="007F289E"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>zastoupenou Mgr. Miroslavou Konečnou, starostkou městské části</w:t>
            </w:r>
          </w:p>
        </w:tc>
      </w:tr>
      <w:tr w:rsidR="007F289E" w:rsidTr="009F522E">
        <w:trPr>
          <w:trHeight w:val="357"/>
        </w:trPr>
        <w:tc>
          <w:tcPr>
            <w:tcW w:w="2320" w:type="dxa"/>
          </w:tcPr>
          <w:p w:rsidR="007F289E" w:rsidRDefault="007F289E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7F289E" w:rsidRDefault="007F289E" w:rsidP="009F522E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B34243" w:rsidTr="009F522E">
        <w:trPr>
          <w:trHeight w:hRule="exact" w:val="220"/>
        </w:trPr>
        <w:tc>
          <w:tcPr>
            <w:tcW w:w="2320" w:type="dxa"/>
          </w:tcPr>
          <w:p w:rsidR="00B34243" w:rsidRDefault="00B34243" w:rsidP="009F522E"/>
        </w:tc>
        <w:tc>
          <w:tcPr>
            <w:tcW w:w="7319" w:type="dxa"/>
            <w:gridSpan w:val="4"/>
          </w:tcPr>
          <w:p w:rsidR="00B34243" w:rsidRPr="007E0CCB" w:rsidRDefault="00B34243" w:rsidP="009F5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243" w:rsidTr="009F522E">
        <w:trPr>
          <w:trHeight w:val="357"/>
        </w:trPr>
        <w:tc>
          <w:tcPr>
            <w:tcW w:w="9639" w:type="dxa"/>
            <w:gridSpan w:val="5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Hoštice</w:t>
            </w:r>
            <w:r w:rsidR="009778A4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="009778A4"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 w:rsidR="009778A4">
              <w:rPr>
                <w:rFonts w:ascii="Arial" w:hAnsi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Sportovní 485/3, Malé Hoštice, 747 05 Opava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:rsidR="00B34243" w:rsidRDefault="00B34243" w:rsidP="009778A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 w:rsidR="009778A4"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 w:rsidR="009778A4">
              <w:rPr>
                <w:rFonts w:ascii="Arial" w:hAnsi="Arial"/>
                <w:b/>
                <w:sz w:val="20"/>
                <w:szCs w:val="20"/>
              </w:rPr>
              <w:t>. zn. L 381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253365120/0300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</w:t>
            </w:r>
            <w:r w:rsidR="009778A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s.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>
              <w:rPr>
                <w:rFonts w:ascii="Arial" w:hAnsi="Arial"/>
                <w:b/>
                <w:sz w:val="20"/>
                <w:szCs w:val="20"/>
              </w:rPr>
              <w:t>ntrem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Holleschem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, předsedou</w:t>
            </w:r>
          </w:p>
          <w:p w:rsidR="007F289E" w:rsidRDefault="007F289E" w:rsidP="009F52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F289E" w:rsidTr="009F522E">
        <w:trPr>
          <w:trHeight w:val="357"/>
        </w:trPr>
        <w:tc>
          <w:tcPr>
            <w:tcW w:w="2320" w:type="dxa"/>
          </w:tcPr>
          <w:p w:rsidR="007F289E" w:rsidRDefault="007F289E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:rsidR="007F289E" w:rsidRDefault="007F289E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Mirekunruh@centrum.cz</w:t>
            </w:r>
          </w:p>
        </w:tc>
      </w:tr>
      <w:tr w:rsidR="00B34243" w:rsidTr="009F522E">
        <w:trPr>
          <w:trHeight w:hRule="exact" w:val="220"/>
        </w:trPr>
        <w:tc>
          <w:tcPr>
            <w:tcW w:w="2320" w:type="dxa"/>
          </w:tcPr>
          <w:p w:rsidR="00B34243" w:rsidRDefault="00B34243" w:rsidP="009F522E"/>
        </w:tc>
        <w:tc>
          <w:tcPr>
            <w:tcW w:w="7319" w:type="dxa"/>
            <w:gridSpan w:val="4"/>
          </w:tcPr>
          <w:p w:rsidR="00B34243" w:rsidRDefault="00B34243" w:rsidP="009F522E"/>
        </w:tc>
      </w:tr>
      <w:tr w:rsidR="00B34243" w:rsidTr="009F522E">
        <w:trPr>
          <w:trHeight w:val="357"/>
        </w:trPr>
        <w:tc>
          <w:tcPr>
            <w:tcW w:w="9639" w:type="dxa"/>
            <w:gridSpan w:val="5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B34243" w:rsidRDefault="00B34243" w:rsidP="00B34243"/>
    <w:p w:rsidR="00B34243" w:rsidRDefault="00B34243" w:rsidP="00B34243"/>
    <w:p w:rsidR="00B34243" w:rsidRDefault="00B34243" w:rsidP="00B34243">
      <w:pPr>
        <w:sectPr w:rsidR="00B34243">
          <w:footerReference w:type="even" r:id="rId9"/>
          <w:footerReference w:type="default" r:id="rId10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:rsidR="007F289E" w:rsidRDefault="007F289E" w:rsidP="007F289E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7F289E" w:rsidRDefault="007F289E" w:rsidP="007F289E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7F289E" w:rsidRPr="00E779A8" w:rsidRDefault="007F289E" w:rsidP="007F289E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7F289E" w:rsidRDefault="007F289E" w:rsidP="007F289E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:rsidR="007F289E" w:rsidRDefault="007F289E" w:rsidP="007F289E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7F289E" w:rsidRDefault="007F289E" w:rsidP="007F289E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7F289E" w:rsidRPr="001B0434" w:rsidRDefault="007F289E" w:rsidP="007F2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>
        <w:rPr>
          <w:rFonts w:ascii="Arial" w:hAnsi="Arial" w:cs="Arial"/>
          <w:b/>
          <w:bCs/>
          <w:sz w:val="20"/>
          <w:szCs w:val="20"/>
        </w:rPr>
        <w:t>49.000</w:t>
      </w:r>
      <w:r w:rsidRPr="00681DDB">
        <w:rPr>
          <w:rFonts w:ascii="Arial" w:hAnsi="Arial" w:cs="Arial"/>
          <w:b/>
          <w:bCs/>
          <w:sz w:val="20"/>
          <w:szCs w:val="20"/>
        </w:rPr>
        <w:t>,-</w:t>
      </w:r>
      <w:r w:rsidRPr="0041334C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F289E" w:rsidRPr="001B0434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E97DF3" w:rsidRPr="00034BBF">
        <w:rPr>
          <w:rFonts w:ascii="Arial" w:hAnsi="Arial" w:cs="Arial"/>
          <w:b/>
          <w:sz w:val="20"/>
          <w:szCs w:val="20"/>
        </w:rPr>
        <w:t>k úhradě nákladů na</w:t>
      </w:r>
      <w:r w:rsidR="00E97DF3">
        <w:rPr>
          <w:rFonts w:ascii="Arial" w:hAnsi="Arial" w:cs="Arial"/>
          <w:sz w:val="20"/>
          <w:szCs w:val="20"/>
        </w:rPr>
        <w:t xml:space="preserve"> </w:t>
      </w:r>
      <w:r w:rsidRPr="009A5798">
        <w:rPr>
          <w:rFonts w:ascii="Arial" w:hAnsi="Arial" w:cs="Arial"/>
          <w:b/>
          <w:color w:val="000000" w:themeColor="text1"/>
          <w:sz w:val="20"/>
          <w:szCs w:val="20"/>
        </w:rPr>
        <w:t>soutěže v roce 2017, tréninky mužů, bruslení pro občany Malých Hoštic, přátelské utkání s fanoušky hokeje.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do dne 31. 12. 2017, a to pouze na úhradu nákladů vzniklých v období </w:t>
      </w:r>
      <w:r>
        <w:rPr>
          <w:rFonts w:ascii="Arial" w:hAnsi="Arial" w:cs="Arial"/>
          <w:sz w:val="20"/>
          <w:szCs w:val="20"/>
        </w:rPr>
        <w:br/>
        <w:t>1. 1. 2017 – 31. 12. 2017.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dnů ode dne uzavření této smlouvy. 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7F289E" w:rsidRPr="006A1631" w:rsidRDefault="007F289E" w:rsidP="007F289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:rsidR="007F289E" w:rsidRDefault="007F289E" w:rsidP="007F289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289E" w:rsidRDefault="007F289E" w:rsidP="007F289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289E" w:rsidRDefault="007F289E" w:rsidP="007F289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55,</w:t>
      </w:r>
    </w:p>
    <w:p w:rsidR="007F289E" w:rsidRPr="00121043" w:rsidRDefault="007F289E" w:rsidP="007F289E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členské poplatky/příspěvky v institucích/asociacích a jiné náklady spadající pod účtovou skupinu </w:t>
      </w:r>
      <w:proofErr w:type="gramStart"/>
      <w:r>
        <w:rPr>
          <w:rFonts w:ascii="Arial" w:hAnsi="Arial" w:cs="Arial"/>
          <w:sz w:val="20"/>
          <w:szCs w:val="20"/>
        </w:rPr>
        <w:t>č.58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daně a poplatky – účtová skupina </w:t>
      </w:r>
      <w:proofErr w:type="gramStart"/>
      <w:r>
        <w:rPr>
          <w:rFonts w:ascii="Arial" w:hAnsi="Arial" w:cs="Arial"/>
          <w:sz w:val="20"/>
          <w:szCs w:val="20"/>
        </w:rPr>
        <w:t>č.53</w:t>
      </w:r>
      <w:proofErr w:type="gramEnd"/>
      <w:r>
        <w:rPr>
          <w:rFonts w:ascii="Arial" w:hAnsi="Arial" w:cs="Arial"/>
          <w:sz w:val="20"/>
          <w:szCs w:val="20"/>
        </w:rPr>
        <w:t xml:space="preserve"> – daň silniční, daň z</w:t>
      </w:r>
      <w:r w:rsidR="00E52EFF">
        <w:rPr>
          <w:rFonts w:ascii="Arial" w:hAnsi="Arial" w:cs="Arial"/>
          <w:sz w:val="20"/>
          <w:szCs w:val="20"/>
        </w:rPr>
        <w:t xml:space="preserve"> nabytí nemovitých věcí, daň z nemovitých věcí, </w:t>
      </w:r>
      <w:r>
        <w:rPr>
          <w:rFonts w:ascii="Arial" w:hAnsi="Arial" w:cs="Arial"/>
          <w:sz w:val="20"/>
          <w:szCs w:val="20"/>
        </w:rPr>
        <w:t xml:space="preserve"> </w:t>
      </w:r>
      <w:r w:rsidR="00E52EFF">
        <w:rPr>
          <w:rFonts w:ascii="Arial" w:hAnsi="Arial" w:cs="Arial"/>
          <w:sz w:val="20"/>
          <w:szCs w:val="20"/>
        </w:rPr>
        <w:t xml:space="preserve"> jiné</w:t>
      </w:r>
      <w:r>
        <w:rPr>
          <w:rFonts w:ascii="Arial" w:hAnsi="Arial" w:cs="Arial"/>
          <w:sz w:val="20"/>
          <w:szCs w:val="20"/>
        </w:rPr>
        <w:t xml:space="preserve"> daně a poplatky (tj. daň </w:t>
      </w:r>
      <w:r w:rsidR="00E52EFF">
        <w:rPr>
          <w:rFonts w:ascii="Arial" w:hAnsi="Arial" w:cs="Arial"/>
          <w:sz w:val="20"/>
          <w:szCs w:val="20"/>
        </w:rPr>
        <w:t xml:space="preserve">z příjmů, </w:t>
      </w:r>
      <w:r>
        <w:rPr>
          <w:rFonts w:ascii="Arial" w:hAnsi="Arial" w:cs="Arial"/>
          <w:sz w:val="20"/>
          <w:szCs w:val="20"/>
        </w:rPr>
        <w:t xml:space="preserve"> soudní a správní poplatky, poplatky za znečištění ovzduší, poplatky za televizi a rozhlas apod.),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 právní služby a zastoupení, </w:t>
      </w:r>
    </w:p>
    <w:p w:rsidR="007F289E" w:rsidRDefault="007F289E" w:rsidP="007F289E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:rsidR="007F289E" w:rsidRDefault="007F289E" w:rsidP="007F289E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7F289E" w:rsidRPr="007212C3" w:rsidRDefault="007F289E" w:rsidP="007F289E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7F289E" w:rsidRPr="00133465" w:rsidRDefault="007F289E" w:rsidP="007F289E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>, a výhradně pro tento účel, je příjemce oprávněn použít oficiální logo Statutárního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7F289E" w:rsidRDefault="007F289E" w:rsidP="007F289E">
      <w:pPr>
        <w:jc w:val="both"/>
        <w:rPr>
          <w:rFonts w:ascii="Arial" w:hAnsi="Arial" w:cs="Arial"/>
          <w:iCs/>
          <w:sz w:val="20"/>
          <w:szCs w:val="20"/>
        </w:rPr>
      </w:pPr>
    </w:p>
    <w:p w:rsidR="007F289E" w:rsidRDefault="007F289E" w:rsidP="007F289E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7F289E" w:rsidRDefault="007F289E" w:rsidP="007F289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proofErr w:type="gramStart"/>
      <w:r>
        <w:rPr>
          <w:rFonts w:ascii="Arial" w:hAnsi="Arial" w:cs="Arial"/>
          <w:sz w:val="20"/>
          <w:szCs w:val="20"/>
        </w:rPr>
        <w:t>15.</w:t>
      </w:r>
      <w:r w:rsidR="00E97DF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</w:t>
      </w:r>
      <w:r w:rsidR="00E97DF3"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</w:p>
    <w:p w:rsidR="007F289E" w:rsidRDefault="007F289E" w:rsidP="007F289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</w:t>
      </w:r>
      <w:r w:rsidRPr="00802096">
        <w:rPr>
          <w:rFonts w:ascii="Arial" w:hAnsi="Arial" w:cs="Arial"/>
          <w:sz w:val="20"/>
          <w:szCs w:val="20"/>
        </w:rPr>
        <w:t xml:space="preserve"> dokladů s označením </w:t>
      </w:r>
      <w:r>
        <w:rPr>
          <w:rFonts w:ascii="Arial" w:hAnsi="Arial" w:cs="Arial"/>
          <w:sz w:val="20"/>
          <w:szCs w:val="20"/>
        </w:rPr>
        <w:t xml:space="preserve">položek </w:t>
      </w:r>
      <w:r w:rsidRPr="00802096">
        <w:rPr>
          <w:rFonts w:ascii="Arial" w:hAnsi="Arial" w:cs="Arial"/>
          <w:sz w:val="20"/>
          <w:szCs w:val="20"/>
        </w:rPr>
        <w:t>hrazených z</w:t>
      </w:r>
      <w:r>
        <w:rPr>
          <w:rFonts w:ascii="Arial" w:hAnsi="Arial" w:cs="Arial"/>
          <w:sz w:val="20"/>
          <w:szCs w:val="20"/>
        </w:rPr>
        <w:t> </w:t>
      </w:r>
      <w:r w:rsidRPr="00802096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fotografie či nahrávky dokládající </w:t>
      </w:r>
      <w:r w:rsidRPr="00802096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i</w:t>
      </w:r>
      <w:r w:rsidRPr="00802096">
        <w:rPr>
          <w:rFonts w:ascii="Arial" w:hAnsi="Arial" w:cs="Arial"/>
          <w:sz w:val="20"/>
          <w:szCs w:val="20"/>
        </w:rPr>
        <w:t xml:space="preserve"> finanční spoluúčasti </w:t>
      </w:r>
      <w:r>
        <w:rPr>
          <w:rFonts w:ascii="Arial" w:hAnsi="Arial" w:cs="Arial"/>
          <w:sz w:val="20"/>
          <w:szCs w:val="20"/>
        </w:rPr>
        <w:t xml:space="preserve">poskytovatele apod.) </w:t>
      </w:r>
      <w:r>
        <w:rPr>
          <w:rFonts w:ascii="Arial" w:hAnsi="Arial" w:cs="Arial"/>
          <w:sz w:val="20"/>
          <w:szCs w:val="20"/>
        </w:rPr>
        <w:br/>
        <w:t>a čestné prohlášení příjemce o pravdivosti, správnosti a úplnosti vyúčtování dotace.</w:t>
      </w:r>
    </w:p>
    <w:p w:rsidR="007F289E" w:rsidRDefault="007F289E" w:rsidP="007F289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 xml:space="preserve">Na výzvu poskytovatele je příjemce povinen v určené lhůtě poskytnout poskytovateli další vysvětlení </w:t>
      </w:r>
      <w:r>
        <w:rPr>
          <w:rFonts w:ascii="Arial" w:hAnsi="Arial" w:cs="Arial"/>
          <w:sz w:val="20"/>
          <w:szCs w:val="20"/>
        </w:rPr>
        <w:br/>
      </w:r>
      <w:r w:rsidRPr="00810B6F">
        <w:rPr>
          <w:rFonts w:ascii="Arial" w:hAnsi="Arial" w:cs="Arial"/>
          <w:sz w:val="20"/>
          <w:szCs w:val="20"/>
        </w:rPr>
        <w:t>a dokumenty, které si poskytovatel v souvislosti s ověřením řádného použití dotace vyžádá.</w:t>
      </w:r>
    </w:p>
    <w:p w:rsidR="007F289E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7F289E" w:rsidRDefault="007F289E" w:rsidP="007F289E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7F289E" w:rsidRDefault="007F289E" w:rsidP="007F289E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7F289E" w:rsidRDefault="007F289E" w:rsidP="007F289E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7F289E" w:rsidRDefault="007F289E" w:rsidP="007F289E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F289E" w:rsidRPr="00FB1655" w:rsidRDefault="007F289E" w:rsidP="007F289E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7F289E" w:rsidRDefault="007F289E" w:rsidP="007F289E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nepředloží-li příjemce ve stanovené lhůtě vyúčtování dotace, které bude splňovat náležitosti uvedené v článku IX. této smlouvy. </w:t>
      </w:r>
    </w:p>
    <w:p w:rsidR="007F289E" w:rsidRDefault="007F289E" w:rsidP="007F289E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7F289E" w:rsidRDefault="007F289E" w:rsidP="007F289E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>., 1.2. a 1.3. této smlouvy výši neoprávněně použitých nebo zadržených peněžních prostředků,</w:t>
      </w:r>
    </w:p>
    <w:p w:rsidR="007F289E" w:rsidRPr="00066995" w:rsidRDefault="007F289E" w:rsidP="007F289E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>1.4. této</w:t>
      </w:r>
      <w:proofErr w:type="gramEnd"/>
      <w:r>
        <w:rPr>
          <w:rFonts w:ascii="Arial" w:hAnsi="Arial" w:cs="Arial"/>
          <w:sz w:val="20"/>
          <w:szCs w:val="20"/>
        </w:rPr>
        <w:t xml:space="preserve">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7F289E" w:rsidRDefault="007F289E" w:rsidP="007F289E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>1.5. této</w:t>
      </w:r>
      <w:proofErr w:type="gramEnd"/>
      <w:r>
        <w:rPr>
          <w:rFonts w:ascii="Arial" w:hAnsi="Arial" w:cs="Arial"/>
          <w:sz w:val="20"/>
          <w:szCs w:val="20"/>
        </w:rPr>
        <w:t xml:space="preserve"> smlouvy výši:</w:t>
      </w:r>
    </w:p>
    <w:p w:rsidR="007F289E" w:rsidRDefault="007F289E" w:rsidP="007F289E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:rsidR="007F289E" w:rsidRDefault="007F289E" w:rsidP="007F289E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:rsidR="007F289E" w:rsidRPr="00066995" w:rsidRDefault="007F289E" w:rsidP="007F289E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:rsidR="007F289E" w:rsidRDefault="007F289E" w:rsidP="007F289E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7F289E" w:rsidRDefault="007F289E" w:rsidP="007F289E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7F289E" w:rsidRPr="00E45675" w:rsidRDefault="007F289E" w:rsidP="007F289E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7F289E" w:rsidRDefault="007F289E" w:rsidP="007F289E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7F289E" w:rsidRDefault="007F289E" w:rsidP="007F289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7F289E" w:rsidRDefault="007F289E" w:rsidP="007F289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:rsidR="007F289E" w:rsidRPr="00B86711" w:rsidRDefault="007F289E" w:rsidP="007F289E">
      <w:pPr>
        <w:jc w:val="both"/>
        <w:rPr>
          <w:rFonts w:ascii="Arial" w:hAnsi="Arial" w:cs="Arial"/>
          <w:sz w:val="20"/>
          <w:szCs w:val="20"/>
        </w:rPr>
      </w:pPr>
    </w:p>
    <w:p w:rsidR="007F289E" w:rsidRDefault="007F289E" w:rsidP="007F289E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:rsidR="007F289E" w:rsidRDefault="007F289E" w:rsidP="007F28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7F289E" w:rsidRDefault="007F289E" w:rsidP="007F289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7F289E" w:rsidRDefault="007F289E" w:rsidP="007F289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7F289E" w:rsidRPr="00EC4239" w:rsidRDefault="007F289E" w:rsidP="007F289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bude uveřejněna v registru smluv, a to v celém rozsahu, neboť obsahuje-li informace či </w:t>
      </w:r>
      <w:proofErr w:type="spellStart"/>
      <w:r w:rsidRPr="00EC4239">
        <w:rPr>
          <w:rFonts w:ascii="Arial" w:hAnsi="Arial" w:cs="Arial"/>
          <w:sz w:val="20"/>
          <w:szCs w:val="20"/>
        </w:rPr>
        <w:t>metadata</w:t>
      </w:r>
      <w:proofErr w:type="spellEnd"/>
      <w:r w:rsidRPr="00EC4239">
        <w:rPr>
          <w:rFonts w:ascii="Arial" w:hAnsi="Arial" w:cs="Arial"/>
          <w:sz w:val="20"/>
          <w:szCs w:val="20"/>
        </w:rPr>
        <w:t xml:space="preserve">, které se dle zákona o registru smluv obecně neuveřejňují nebo které mají či mohou být vyloučeny, smluvní strany výslovně souhlasí s tím, aby tato smlouva byla uveřejněna jako celek včetně takových informací a </w:t>
      </w:r>
      <w:proofErr w:type="spellStart"/>
      <w:r w:rsidRPr="00EC4239">
        <w:rPr>
          <w:rFonts w:ascii="Arial" w:hAnsi="Arial" w:cs="Arial"/>
          <w:sz w:val="20"/>
          <w:szCs w:val="20"/>
        </w:rPr>
        <w:t>metadat</w:t>
      </w:r>
      <w:proofErr w:type="spellEnd"/>
      <w:r w:rsidRPr="00EC4239">
        <w:rPr>
          <w:rFonts w:ascii="Arial" w:hAnsi="Arial" w:cs="Arial"/>
          <w:sz w:val="20"/>
          <w:szCs w:val="20"/>
        </w:rPr>
        <w:t xml:space="preserve"> (osobních údajů apod.). Uveřejnění této smlouvy v registru smluv zajistí bez zbytečného odkladu po jejím uzavření Statu</w:t>
      </w:r>
      <w:r>
        <w:rPr>
          <w:rFonts w:ascii="Arial" w:hAnsi="Arial" w:cs="Arial"/>
          <w:sz w:val="20"/>
          <w:szCs w:val="20"/>
        </w:rPr>
        <w:t>t</w:t>
      </w:r>
      <w:r w:rsidRPr="00EC4239">
        <w:rPr>
          <w:rFonts w:ascii="Arial" w:hAnsi="Arial" w:cs="Arial"/>
          <w:sz w:val="20"/>
          <w:szCs w:val="20"/>
        </w:rPr>
        <w:t>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:rsidR="007F289E" w:rsidRDefault="007F289E" w:rsidP="007F289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to smlouva byla schválena Zastupitelstvem Městské části Malé Hoštice</w:t>
      </w:r>
      <w:r w:rsidRPr="003376A5">
        <w:rPr>
          <w:rFonts w:ascii="Arial" w:hAnsi="Arial" w:cs="Arial"/>
          <w:sz w:val="20"/>
          <w:szCs w:val="20"/>
        </w:rPr>
        <w:t xml:space="preserve"> Statutárního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1239EA">
        <w:rPr>
          <w:rFonts w:ascii="Arial" w:hAnsi="Arial" w:cs="Arial"/>
          <w:sz w:val="20"/>
          <w:szCs w:val="20"/>
        </w:rPr>
        <w:t>9. 2. 2017</w:t>
      </w:r>
      <w:r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>m č.</w:t>
      </w:r>
      <w:r w:rsidR="001239EA">
        <w:rPr>
          <w:rFonts w:ascii="Arial" w:hAnsi="Arial" w:cs="Arial"/>
          <w:sz w:val="20"/>
          <w:szCs w:val="20"/>
        </w:rPr>
        <w:t>7/21/ZMC/17.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Malých Hošticích dne ………………… </w:t>
      </w: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Miroslava </w:t>
      </w:r>
      <w:proofErr w:type="gramStart"/>
      <w:r>
        <w:rPr>
          <w:rFonts w:ascii="Arial" w:hAnsi="Arial" w:cs="Arial"/>
          <w:sz w:val="20"/>
          <w:szCs w:val="20"/>
        </w:rPr>
        <w:t>Konečná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Günter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Hollesch</w:t>
      </w:r>
      <w:proofErr w:type="spellEnd"/>
    </w:p>
    <w:p w:rsidR="00B34243" w:rsidRDefault="00B34243" w:rsidP="00B34243">
      <w:pPr>
        <w:tabs>
          <w:tab w:val="left" w:pos="57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</w:p>
    <w:p w:rsidR="007F289E" w:rsidRDefault="007F289E" w:rsidP="00B34243">
      <w:pPr>
        <w:tabs>
          <w:tab w:val="left" w:pos="5715"/>
        </w:tabs>
        <w:jc w:val="both"/>
        <w:rPr>
          <w:rFonts w:ascii="Arial" w:hAnsi="Arial" w:cs="Arial"/>
          <w:sz w:val="20"/>
          <w:szCs w:val="20"/>
        </w:rPr>
      </w:pPr>
    </w:p>
    <w:p w:rsidR="00B04F8E" w:rsidRDefault="007F289E" w:rsidP="007F289E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4243">
        <w:rPr>
          <w:rFonts w:ascii="Arial" w:hAnsi="Arial" w:cs="Arial"/>
          <w:sz w:val="20"/>
          <w:szCs w:val="20"/>
        </w:rPr>
        <w:t xml:space="preserve"> </w:t>
      </w:r>
    </w:p>
    <w:sectPr w:rsidR="00B04F8E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64" w:rsidRDefault="00DE0E64">
      <w:r>
        <w:separator/>
      </w:r>
    </w:p>
  </w:endnote>
  <w:endnote w:type="continuationSeparator" w:id="0">
    <w:p w:rsidR="00DE0E64" w:rsidRDefault="00DE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B34243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2CB" w:rsidRDefault="00DE0E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DE0E64" w:rsidP="00CF111E">
    <w:pPr>
      <w:pStyle w:val="Zpat"/>
      <w:framePr w:wrap="around" w:vAnchor="text" w:hAnchor="margin" w:xAlign="center" w:y="1"/>
      <w:rPr>
        <w:rStyle w:val="slostrnky"/>
      </w:rPr>
    </w:pPr>
  </w:p>
  <w:p w:rsidR="00CD62CB" w:rsidRDefault="00DE0E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64" w:rsidRDefault="00DE0E64">
      <w:r>
        <w:separator/>
      </w:r>
    </w:p>
  </w:footnote>
  <w:footnote w:type="continuationSeparator" w:id="0">
    <w:p w:rsidR="00DE0E64" w:rsidRDefault="00DE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3"/>
    <w:rsid w:val="00034BBF"/>
    <w:rsid w:val="000631D3"/>
    <w:rsid w:val="000B4579"/>
    <w:rsid w:val="001239EA"/>
    <w:rsid w:val="00145EB3"/>
    <w:rsid w:val="00157D31"/>
    <w:rsid w:val="001C4AC4"/>
    <w:rsid w:val="002A5CAC"/>
    <w:rsid w:val="00376BBA"/>
    <w:rsid w:val="00415955"/>
    <w:rsid w:val="00724CCB"/>
    <w:rsid w:val="00786863"/>
    <w:rsid w:val="007C0821"/>
    <w:rsid w:val="007F289E"/>
    <w:rsid w:val="008B7371"/>
    <w:rsid w:val="009778A4"/>
    <w:rsid w:val="009A5798"/>
    <w:rsid w:val="00A441CD"/>
    <w:rsid w:val="00B04F8E"/>
    <w:rsid w:val="00B14D69"/>
    <w:rsid w:val="00B34243"/>
    <w:rsid w:val="00B345ED"/>
    <w:rsid w:val="00B74F56"/>
    <w:rsid w:val="00BB4BAB"/>
    <w:rsid w:val="00D958A2"/>
    <w:rsid w:val="00DE0E64"/>
    <w:rsid w:val="00E52EFF"/>
    <w:rsid w:val="00E97DF3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4243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243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rsid w:val="00B34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42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4243"/>
  </w:style>
  <w:style w:type="paragraph" w:styleId="Textbubliny">
    <w:name w:val="Balloon Text"/>
    <w:basedOn w:val="Normln"/>
    <w:link w:val="TextbublinyChar"/>
    <w:uiPriority w:val="99"/>
    <w:semiHidden/>
    <w:unhideWhenUsed/>
    <w:rsid w:val="00B3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2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78A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778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78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4243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243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rsid w:val="00B34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42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4243"/>
  </w:style>
  <w:style w:type="paragraph" w:styleId="Textbubliny">
    <w:name w:val="Balloon Text"/>
    <w:basedOn w:val="Normln"/>
    <w:link w:val="TextbublinyChar"/>
    <w:uiPriority w:val="99"/>
    <w:semiHidden/>
    <w:unhideWhenUsed/>
    <w:rsid w:val="00B3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2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78A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778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78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1867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2017-01-16T07:34:00Z</cp:lastPrinted>
  <dcterms:created xsi:type="dcterms:W3CDTF">2017-03-06T07:32:00Z</dcterms:created>
  <dcterms:modified xsi:type="dcterms:W3CDTF">2017-03-06T07:40:00Z</dcterms:modified>
</cp:coreProperties>
</file>