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F2A6C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REGUL- ECO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V Zálesí 10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150 00 Praha 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EF2A6C">
              <w:rPr>
                <w:sz w:val="18"/>
                <w:szCs w:val="18"/>
              </w:rPr>
              <w:t>25608975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EF2A6C">
              <w:rPr>
                <w:sz w:val="18"/>
                <w:szCs w:val="18"/>
              </w:rPr>
              <w:t>25608975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031244">
        <w:rPr>
          <w:rFonts w:ascii="Times New Roman" w:hAnsi="Times New Roman" w:cs="Times New Roman"/>
          <w:sz w:val="22"/>
          <w:szCs w:val="22"/>
        </w:rPr>
        <w:t>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3E6F61">
        <w:rPr>
          <w:rFonts w:ascii="Times New Roman" w:hAnsi="Times New Roman" w:cs="Times New Roman"/>
          <w:sz w:val="22"/>
          <w:szCs w:val="22"/>
        </w:rPr>
        <w:t>Dobronická 413, Praha - Libuš</w:t>
      </w:r>
      <w:r w:rsidR="00EF2A6C">
        <w:rPr>
          <w:rFonts w:ascii="Times New Roman" w:hAnsi="Times New Roman" w:cs="Times New Roman"/>
          <w:sz w:val="22"/>
          <w:szCs w:val="22"/>
        </w:rPr>
        <w:t>,</w:t>
      </w:r>
      <w:r w:rsidR="004E56F9">
        <w:rPr>
          <w:rFonts w:ascii="Times New Roman" w:hAnsi="Times New Roman" w:cs="Times New Roman"/>
          <w:sz w:val="22"/>
          <w:szCs w:val="22"/>
        </w:rPr>
        <w:t xml:space="preserve"> </w:t>
      </w:r>
      <w:r w:rsidR="00D129D9">
        <w:rPr>
          <w:rFonts w:ascii="Times New Roman" w:hAnsi="Times New Roman" w:cs="Times New Roman"/>
          <w:sz w:val="22"/>
          <w:szCs w:val="22"/>
        </w:rPr>
        <w:t>oprava</w:t>
      </w:r>
      <w:r w:rsidR="003E6F61">
        <w:rPr>
          <w:rFonts w:ascii="Times New Roman" w:hAnsi="Times New Roman" w:cs="Times New Roman"/>
          <w:sz w:val="22"/>
          <w:szCs w:val="22"/>
        </w:rPr>
        <w:t xml:space="preserve"> trafostaniceTS 890 (havárie – zatečení)</w:t>
      </w:r>
      <w:r w:rsidR="00C179D0">
        <w:rPr>
          <w:rFonts w:ascii="Times New Roman" w:hAnsi="Times New Roman" w:cs="Times New Roman"/>
          <w:sz w:val="22"/>
          <w:szCs w:val="22"/>
        </w:rPr>
        <w:t xml:space="preserve"> </w:t>
      </w:r>
      <w:r w:rsidR="00DF74D1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E6F61" w:rsidP="00EB0450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68.249</w:t>
            </w:r>
            <w:r w:rsidR="00C712DE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EC5C5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E6F61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E6F61" w:rsidP="003E6F61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14.332,29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E6F61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82.581,29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F20FB" w:rsidRDefault="009F20F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B608F1" w:rsidRDefault="00B608F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F52CE8">
        <w:rPr>
          <w:rFonts w:ascii="Times New Roman" w:hAnsi="Times New Roman" w:cs="Times New Roman"/>
          <w:sz w:val="22"/>
          <w:szCs w:val="22"/>
        </w:rPr>
        <w:t>5.1</w:t>
      </w:r>
      <w:r w:rsidR="00C179D0">
        <w:rPr>
          <w:rFonts w:ascii="Times New Roman" w:hAnsi="Times New Roman" w:cs="Times New Roman"/>
          <w:sz w:val="22"/>
          <w:szCs w:val="22"/>
        </w:rPr>
        <w:t>.</w:t>
      </w:r>
      <w:r w:rsidR="00BA283B">
        <w:rPr>
          <w:rFonts w:ascii="Times New Roman" w:hAnsi="Times New Roman" w:cs="Times New Roman"/>
          <w:sz w:val="22"/>
          <w:szCs w:val="22"/>
        </w:rPr>
        <w:t>202</w:t>
      </w:r>
      <w:r w:rsidR="00F52CE8">
        <w:rPr>
          <w:rFonts w:ascii="Times New Roman" w:hAnsi="Times New Roman" w:cs="Times New Roman"/>
          <w:sz w:val="22"/>
          <w:szCs w:val="22"/>
        </w:rPr>
        <w:t>1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EF2A6C">
        <w:rPr>
          <w:rFonts w:ascii="Times New Roman" w:hAnsi="Times New Roman" w:cs="Times New Roman"/>
          <w:sz w:val="22"/>
          <w:szCs w:val="22"/>
        </w:rPr>
        <w:t>REGUL- ECO</w:t>
      </w:r>
      <w:r w:rsidR="002F790B">
        <w:rPr>
          <w:rFonts w:ascii="Times New Roman" w:hAnsi="Times New Roman" w:cs="Times New Roman"/>
          <w:sz w:val="22"/>
          <w:szCs w:val="22"/>
        </w:rPr>
        <w:t xml:space="preserve">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CAA" w:rsidRDefault="00DD2CAA">
      <w:r>
        <w:separator/>
      </w:r>
    </w:p>
  </w:endnote>
  <w:endnote w:type="continuationSeparator" w:id="0">
    <w:p w:rsidR="00DD2CAA" w:rsidRDefault="00DD2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CAA" w:rsidRDefault="00DD2CAA">
      <w:r>
        <w:separator/>
      </w:r>
    </w:p>
  </w:footnote>
  <w:footnote w:type="continuationSeparator" w:id="0">
    <w:p w:rsidR="00DD2CAA" w:rsidRDefault="00DD2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072AB"/>
    <w:rsid w:val="00021CBF"/>
    <w:rsid w:val="00031244"/>
    <w:rsid w:val="00032C23"/>
    <w:rsid w:val="000378F4"/>
    <w:rsid w:val="00053A18"/>
    <w:rsid w:val="00065292"/>
    <w:rsid w:val="000B700B"/>
    <w:rsid w:val="000B78D2"/>
    <w:rsid w:val="000F102C"/>
    <w:rsid w:val="00101F18"/>
    <w:rsid w:val="00133FFD"/>
    <w:rsid w:val="00170799"/>
    <w:rsid w:val="00175A2D"/>
    <w:rsid w:val="00175F44"/>
    <w:rsid w:val="001964EA"/>
    <w:rsid w:val="001A4A56"/>
    <w:rsid w:val="001B74C3"/>
    <w:rsid w:val="001D1FA6"/>
    <w:rsid w:val="001E5104"/>
    <w:rsid w:val="001F62F5"/>
    <w:rsid w:val="002309ED"/>
    <w:rsid w:val="00237D23"/>
    <w:rsid w:val="00241ABA"/>
    <w:rsid w:val="00264023"/>
    <w:rsid w:val="0027091D"/>
    <w:rsid w:val="00277D05"/>
    <w:rsid w:val="00296A6E"/>
    <w:rsid w:val="002A3B70"/>
    <w:rsid w:val="002C061E"/>
    <w:rsid w:val="002C13A6"/>
    <w:rsid w:val="002C42ED"/>
    <w:rsid w:val="002D5E2C"/>
    <w:rsid w:val="002E1779"/>
    <w:rsid w:val="002E4993"/>
    <w:rsid w:val="002F790B"/>
    <w:rsid w:val="00313E8E"/>
    <w:rsid w:val="0033188D"/>
    <w:rsid w:val="00333CCE"/>
    <w:rsid w:val="00370E1B"/>
    <w:rsid w:val="0037402A"/>
    <w:rsid w:val="0037416A"/>
    <w:rsid w:val="00375474"/>
    <w:rsid w:val="003B2D51"/>
    <w:rsid w:val="003C029F"/>
    <w:rsid w:val="003D0022"/>
    <w:rsid w:val="003E00B9"/>
    <w:rsid w:val="003E6F61"/>
    <w:rsid w:val="004238CC"/>
    <w:rsid w:val="00444379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E56F9"/>
    <w:rsid w:val="004F3155"/>
    <w:rsid w:val="005131AC"/>
    <w:rsid w:val="00523C23"/>
    <w:rsid w:val="005C0EB3"/>
    <w:rsid w:val="005E206D"/>
    <w:rsid w:val="005F2BFC"/>
    <w:rsid w:val="00600F5D"/>
    <w:rsid w:val="00617C12"/>
    <w:rsid w:val="00644FE8"/>
    <w:rsid w:val="00665C5F"/>
    <w:rsid w:val="006B4F26"/>
    <w:rsid w:val="006C7380"/>
    <w:rsid w:val="006D521B"/>
    <w:rsid w:val="006E6BBE"/>
    <w:rsid w:val="006F2839"/>
    <w:rsid w:val="00701A95"/>
    <w:rsid w:val="00711B72"/>
    <w:rsid w:val="00723AAC"/>
    <w:rsid w:val="007276E0"/>
    <w:rsid w:val="007303C9"/>
    <w:rsid w:val="00750E3D"/>
    <w:rsid w:val="00753415"/>
    <w:rsid w:val="0075674D"/>
    <w:rsid w:val="00783093"/>
    <w:rsid w:val="00790028"/>
    <w:rsid w:val="007A0546"/>
    <w:rsid w:val="007F5F6E"/>
    <w:rsid w:val="008323E5"/>
    <w:rsid w:val="00834E8C"/>
    <w:rsid w:val="0086029C"/>
    <w:rsid w:val="0089799F"/>
    <w:rsid w:val="008D5208"/>
    <w:rsid w:val="008E7CCB"/>
    <w:rsid w:val="009056EA"/>
    <w:rsid w:val="009260A9"/>
    <w:rsid w:val="00932409"/>
    <w:rsid w:val="009358BB"/>
    <w:rsid w:val="00940907"/>
    <w:rsid w:val="00944FA7"/>
    <w:rsid w:val="0095747F"/>
    <w:rsid w:val="00967945"/>
    <w:rsid w:val="009842AA"/>
    <w:rsid w:val="0098458A"/>
    <w:rsid w:val="00986352"/>
    <w:rsid w:val="009A1516"/>
    <w:rsid w:val="009C41B1"/>
    <w:rsid w:val="009C5316"/>
    <w:rsid w:val="009D0C4E"/>
    <w:rsid w:val="009F20FB"/>
    <w:rsid w:val="009F4264"/>
    <w:rsid w:val="00A03949"/>
    <w:rsid w:val="00A34197"/>
    <w:rsid w:val="00A443B7"/>
    <w:rsid w:val="00A54B55"/>
    <w:rsid w:val="00A70C9C"/>
    <w:rsid w:val="00A71540"/>
    <w:rsid w:val="00A738CA"/>
    <w:rsid w:val="00A85CC1"/>
    <w:rsid w:val="00A909D2"/>
    <w:rsid w:val="00A9501A"/>
    <w:rsid w:val="00AC776F"/>
    <w:rsid w:val="00AF6737"/>
    <w:rsid w:val="00B23B57"/>
    <w:rsid w:val="00B4380D"/>
    <w:rsid w:val="00B546A2"/>
    <w:rsid w:val="00B5702E"/>
    <w:rsid w:val="00B608F1"/>
    <w:rsid w:val="00B74854"/>
    <w:rsid w:val="00BA283B"/>
    <w:rsid w:val="00C179D0"/>
    <w:rsid w:val="00C21D01"/>
    <w:rsid w:val="00C23D3F"/>
    <w:rsid w:val="00C241F2"/>
    <w:rsid w:val="00C30E43"/>
    <w:rsid w:val="00C36B70"/>
    <w:rsid w:val="00C576AD"/>
    <w:rsid w:val="00C57E7E"/>
    <w:rsid w:val="00C636D8"/>
    <w:rsid w:val="00C712DE"/>
    <w:rsid w:val="00C72622"/>
    <w:rsid w:val="00C73D1B"/>
    <w:rsid w:val="00C811F5"/>
    <w:rsid w:val="00C86922"/>
    <w:rsid w:val="00D129D9"/>
    <w:rsid w:val="00D22A10"/>
    <w:rsid w:val="00D3626E"/>
    <w:rsid w:val="00D626C3"/>
    <w:rsid w:val="00D70134"/>
    <w:rsid w:val="00D73EAE"/>
    <w:rsid w:val="00D75820"/>
    <w:rsid w:val="00D8562B"/>
    <w:rsid w:val="00D929C6"/>
    <w:rsid w:val="00DA0B29"/>
    <w:rsid w:val="00DA2BC3"/>
    <w:rsid w:val="00DC05C0"/>
    <w:rsid w:val="00DC2E9D"/>
    <w:rsid w:val="00DD2CAA"/>
    <w:rsid w:val="00DE37CE"/>
    <w:rsid w:val="00DF74D1"/>
    <w:rsid w:val="00E204B7"/>
    <w:rsid w:val="00E22590"/>
    <w:rsid w:val="00E45957"/>
    <w:rsid w:val="00E545EE"/>
    <w:rsid w:val="00E5477A"/>
    <w:rsid w:val="00E56368"/>
    <w:rsid w:val="00E7223E"/>
    <w:rsid w:val="00E75A08"/>
    <w:rsid w:val="00E802C9"/>
    <w:rsid w:val="00E97547"/>
    <w:rsid w:val="00E97E1B"/>
    <w:rsid w:val="00EB0450"/>
    <w:rsid w:val="00EC4AA0"/>
    <w:rsid w:val="00EC5C5A"/>
    <w:rsid w:val="00EF2A6C"/>
    <w:rsid w:val="00EF59F0"/>
    <w:rsid w:val="00F01F40"/>
    <w:rsid w:val="00F20A8B"/>
    <w:rsid w:val="00F467F8"/>
    <w:rsid w:val="00F52CE8"/>
    <w:rsid w:val="00F55AB9"/>
    <w:rsid w:val="00F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2020-11-26T09:57:00Z</cp:lastPrinted>
  <dcterms:created xsi:type="dcterms:W3CDTF">2021-03-19T10:26:00Z</dcterms:created>
  <dcterms:modified xsi:type="dcterms:W3CDTF">2021-03-19T10:26:00Z</dcterms:modified>
</cp:coreProperties>
</file>