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AE" w:rsidRDefault="0051655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2837180" distL="7620" distR="76835" simplePos="0" relativeHeight="125829378" behindDoc="0" locked="0" layoutInCell="1" allowOverlap="1">
                <wp:simplePos x="0" y="0"/>
                <wp:positionH relativeFrom="page">
                  <wp:posOffset>518795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.850000000000001pt;margin-top:1.pt;width:187.75pt;height:18.199999999999999pt;z-index:-125829375;mso-wrap-distance-left:0.59999999999999998pt;mso-wrap-distance-right:6.0499999999999998pt;mso-wrap-distance-bottom:223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499995" distL="1477645" distR="97155" simplePos="0" relativeHeight="125829380" behindDoc="0" locked="0" layoutInCell="1" allowOverlap="1">
            <wp:simplePos x="0" y="0"/>
            <wp:positionH relativeFrom="page">
              <wp:posOffset>1988820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720AE" w:rsidRDefault="005165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0.2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79145" distL="24765" distR="0" simplePos="0" relativeHeight="125829381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ragraph">
                  <wp:posOffset>975995</wp:posOffset>
                </wp:positionV>
                <wp:extent cx="2444750" cy="13258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72010397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30.04.2021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720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20AE" w:rsidRDefault="005720A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42.2pt;margin-top:76.85pt;width:192.5pt;height:104.4pt;z-index:125829381;visibility:visible;mso-wrap-style:square;mso-wrap-distance-left:1.95pt;mso-wrap-distance-top:75.85pt;mso-wrap-distance-right:0;mso-wrap-distance-bottom:61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72010397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30.04.2021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Vlastní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Cestmistrovství Telč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720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720AE" w:rsidRDefault="005720AE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524510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72010397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41.2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72010397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83" behindDoc="0" locked="0" layoutInCell="1" allowOverlap="1">
                <wp:simplePos x="0" y="0"/>
                <wp:positionH relativeFrom="page">
                  <wp:posOffset>526415</wp:posOffset>
                </wp:positionH>
                <wp:positionV relativeFrom="paragraph">
                  <wp:posOffset>2453640</wp:posOffset>
                </wp:positionV>
                <wp:extent cx="1766570" cy="62738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Cestmistroví Telč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1.450000000000003pt;margin-top:193.19999999999999pt;width:139.09999999999999pt;height:49.399999999999999pt;z-index:-125829370;mso-wrap-distance-left:1.2pt;mso-wrap-distance-top:192.19999999999999pt;mso-wrap-distance-right:54.1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720AE" w:rsidRDefault="0051655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5720AE" w:rsidRDefault="0051655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5720AE" w:rsidRDefault="00516558">
      <w:pPr>
        <w:pStyle w:val="Zkladntext1"/>
        <w:pBdr>
          <w:bottom w:val="single" w:sz="4" w:space="0" w:color="auto"/>
        </w:pBdr>
        <w:shd w:val="clear" w:color="auto" w:fill="auto"/>
        <w:spacing w:after="12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5720AE" w:rsidRDefault="00516558">
      <w:pPr>
        <w:pStyle w:val="Zkladntext1"/>
        <w:shd w:val="clear" w:color="auto" w:fill="auto"/>
        <w:spacing w:after="120"/>
        <w:jc w:val="center"/>
        <w:rPr>
          <w:sz w:val="19"/>
          <w:szCs w:val="19"/>
        </w:rPr>
      </w:pPr>
      <w:r>
        <w:rPr>
          <w:sz w:val="19"/>
          <w:szCs w:val="19"/>
        </w:rPr>
        <w:t>Ze dne: 15.03.2021</w:t>
      </w:r>
    </w:p>
    <w:p w:rsidR="005720AE" w:rsidRDefault="00516558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5720AE" w:rsidRDefault="00516558">
      <w:pPr>
        <w:pStyle w:val="Zkladntext1"/>
        <w:shd w:val="clear" w:color="auto" w:fill="auto"/>
        <w:ind w:firstLine="360"/>
        <w:rPr>
          <w:sz w:val="19"/>
          <w:szCs w:val="19"/>
        </w:rPr>
      </w:pPr>
      <w:r>
        <w:rPr>
          <w:b/>
          <w:bCs/>
          <w:sz w:val="19"/>
          <w:szCs w:val="19"/>
        </w:rPr>
        <w:t>Linde Gas a.s.</w:t>
      </w:r>
    </w:p>
    <w:p w:rsidR="005720AE" w:rsidRDefault="0051655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U Technoplynu 1324</w:t>
      </w:r>
    </w:p>
    <w:p w:rsidR="005720AE" w:rsidRDefault="0051655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198 00 Praha 9 - </w:t>
      </w:r>
      <w:r>
        <w:rPr>
          <w:sz w:val="19"/>
          <w:szCs w:val="19"/>
        </w:rPr>
        <w:t>Kyje</w:t>
      </w:r>
    </w:p>
    <w:p w:rsidR="005720AE" w:rsidRDefault="00516558">
      <w:pPr>
        <w:pStyle w:val="Zkladntext1"/>
        <w:shd w:val="clear" w:color="auto" w:fill="auto"/>
        <w:tabs>
          <w:tab w:val="left" w:pos="2842"/>
        </w:tabs>
        <w:spacing w:after="1040"/>
        <w:ind w:left="2640" w:hanging="2240"/>
        <w:rPr>
          <w:sz w:val="19"/>
          <w:szCs w:val="19"/>
        </w:rPr>
      </w:pPr>
      <w:r>
        <w:rPr>
          <w:sz w:val="19"/>
          <w:szCs w:val="19"/>
        </w:rPr>
        <w:t>IČO: 00011754</w:t>
      </w:r>
      <w:r>
        <w:rPr>
          <w:sz w:val="19"/>
          <w:szCs w:val="19"/>
        </w:rPr>
        <w:tab/>
        <w:t>DIČ: CZ00011754</w:t>
      </w:r>
    </w:p>
    <w:p w:rsidR="005720AE" w:rsidRDefault="00516558">
      <w:pPr>
        <w:pStyle w:val="Zkladntext1"/>
        <w:shd w:val="clear" w:color="auto" w:fill="auto"/>
        <w:spacing w:after="120" w:line="266" w:lineRule="auto"/>
        <w:ind w:left="2640" w:hanging="2240"/>
        <w:rPr>
          <w:sz w:val="19"/>
          <w:szCs w:val="19"/>
        </w:rPr>
      </w:pPr>
      <w:r>
        <w:rPr>
          <w:sz w:val="19"/>
          <w:szCs w:val="19"/>
        </w:rPr>
        <w:t>Korespondenční adresa: Jihlava Kosovská 16 Jihlava 586 01</w:t>
      </w:r>
    </w:p>
    <w:p w:rsidR="005720AE" w:rsidRDefault="00516558">
      <w:pPr>
        <w:pStyle w:val="Zkladntext30"/>
        <w:pBdr>
          <w:top w:val="single" w:sz="4" w:space="0" w:color="auto"/>
        </w:pBdr>
        <w:shd w:val="clear" w:color="auto" w:fill="auto"/>
        <w:spacing w:after="0"/>
      </w:pPr>
      <w:r>
        <w:t xml:space="preserve">Objednáváme u Vás dle smlouvy </w:t>
      </w:r>
      <w:r>
        <w:rPr>
          <w:b/>
          <w:bCs/>
        </w:rPr>
        <w:t>233H/KSÚSV/12.</w:t>
      </w:r>
    </w:p>
    <w:p w:rsidR="005720AE" w:rsidRDefault="00516558">
      <w:pPr>
        <w:pStyle w:val="Zkladntext30"/>
        <w:shd w:val="clear" w:color="auto" w:fill="auto"/>
      </w:pPr>
      <w:r>
        <w:t xml:space="preserve">Kyslík, corgon, acetylén včetně plynových lahví, pájecí a svařovací materiál + zboží dle výběru, p.Prokop, p.Blaha, </w:t>
      </w:r>
      <w:r>
        <w:t>p.Brychta, p.Pátek, na měsíc duben. Zboží mohou převzít i další zaměstnanci po předchozím souhlasu vedoucího.</w:t>
      </w:r>
    </w:p>
    <w:p w:rsidR="005720AE" w:rsidRDefault="00516558">
      <w:pPr>
        <w:pStyle w:val="Zkladntext1"/>
        <w:shd w:val="clear" w:color="auto" w:fill="auto"/>
      </w:pPr>
      <w:r>
        <w:rPr>
          <w:b/>
          <w:bCs/>
          <w:u w:val="single"/>
        </w:rPr>
        <w:t>Smluvní podmínky objednávky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40"/>
        <w:jc w:val="both"/>
      </w:pPr>
      <w:r>
        <w:t>Smluvní strany prohlašují, že skutečnosti uvedené v této objednávce nepovažují za obchodní tajemství a udělují svolení</w:t>
      </w:r>
      <w:r>
        <w:t xml:space="preserve"> k jejich zpřístupnění ve smyslu zák. č. 106/1999 Sb. a zveřejnění bez stanovení jakýchkoliv dalších podmínek.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bere na vědomí, že objednávka bude zveřejněna v informačním registru veřejné správy v souladu se zák. č. 340/2015 Sb. o registru smluv.</w:t>
      </w:r>
      <w:r>
        <w:t xml:space="preserve"> Současně se smluvní strany dohodly, že tuto zákonnou povinnost splní objednatel. Dodavatel výslovně souhlasí se zveřejněním celého jejího textu.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45"/>
        </w:tabs>
        <w:ind w:firstLine="360"/>
      </w:pPr>
      <w:r>
        <w:t>Smluvní vztah se řídí zák. č. 89/2012 Sb. občanský zákoník.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Dodavatel se zavazuje, že v případě nesplnění term</w:t>
      </w:r>
      <w:r>
        <w:t>ínu dodání zaplatí objednateli smluvní pokutu ve výši 0,02% z celkové ceny dodávky bez DPH za každý započatý den prodlení.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Nebude-</w:t>
      </w:r>
      <w:r>
        <w:t>li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Objednatel si vyhrazuje právo proplatit</w:t>
      </w:r>
      <w:r>
        <w:t xml:space="preserve"> fakturu do 30 dnů od dne doručení, pokud bude obsahovat veškeré náležitosti.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Úhrada za plnění z této smlouvy bude realizována bezhotovostním převodem na účet dodavatele, který je správcem daně (finančním úřadem) zveřejněn způsobem umožňujícím dálkový přís</w:t>
      </w:r>
      <w:r>
        <w:t>tup ve smyslu ustanovení § 98 zák. č. 235/2004 Sb. o DPH, v platném znění.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766"/>
        </w:tabs>
        <w:ind w:left="740" w:hanging="340"/>
        <w:jc w:val="both"/>
      </w:pPr>
      <w:r>
        <w:t>Pokud se po dobu účinnosti této smlouvy dodavatel stane nespolehlivým plátcem ve smyslu ustanovení § 106a zákona o DPH, smluvní strany se dohodly, že objednatel uhradí DPH za zdanit</w:t>
      </w:r>
      <w:r>
        <w:t>elné plnění přímo příslušnému správci daně. Objednatelem takto provedená úhrada je považována za uhrazení příslušné části smluvní ceny rovnající se výši DPH fakturované dodavatelem.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Ustanovení bodů 8) a 9) nebudou použita v případě, že dodavatel není plátc</w:t>
      </w:r>
      <w:r>
        <w:t>em DPH nebo v případech, kdy se uplatní přenesená daňová povinnost dle § 92a a násl. zákona o DPH.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Uskutečnění stavebních prací na silniční síti (CZ-CPA kód 41 až 43) je pro objednatele uskutečňováno v rámci jeho hlavní činnosti, která nepodléhá DPH. Režim</w:t>
      </w:r>
      <w:r>
        <w:t xml:space="preserve"> přenesené daňové povinnosti se na takové práce nevztahuje. Uskutečnění stavebních prací mimo silniční síť podléhá režimu přenesené daňové povinnosti.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Neodstraní-li dodavatel vady v přiměřené době, určené objednatelem dle charakteru vady v rámci oznámení d</w:t>
      </w:r>
      <w:r>
        <w:t>odavateli, je objednatel oprávněn vady odstranit na náklady dodavatele.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54"/>
        </w:tabs>
        <w:ind w:left="740" w:hanging="340"/>
        <w:jc w:val="both"/>
      </w:pPr>
      <w:r>
        <w:t>Smluvní pokuta za prodlení s odstraňováním vad činí částku rovnající se 0,02% z celkové ceny plnění, za každý den prodlení s odstraňováním vad.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firstLine="360"/>
        <w:jc w:val="both"/>
      </w:pPr>
      <w:r>
        <w:t>Záruční doba na věcné plnění se sjednává</w:t>
      </w:r>
      <w:r>
        <w:t xml:space="preserve"> viz. smlouva č.: 233H/KSÚSV/12</w:t>
      </w:r>
    </w:p>
    <w:p w:rsidR="005720AE" w:rsidRDefault="00516558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20"/>
        <w:ind w:firstLine="360"/>
        <w:jc w:val="both"/>
      </w:pPr>
      <w:r>
        <w:t>Smluvní strany se dohodly, že mohou v souladu s § 2894 a násl. občanského zákoníku uplatnit i svá práva</w:t>
      </w:r>
      <w:r>
        <w:br w:type="page"/>
      </w:r>
    </w:p>
    <w:p w:rsidR="005720AE" w:rsidRDefault="0051655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837180" distL="7620" distR="76835" simplePos="0" relativeHeight="125829385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margin">
                  <wp:posOffset>130175</wp:posOffset>
                </wp:positionV>
                <wp:extent cx="2384425" cy="23114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9.450000000000003pt;margin-top:10.25pt;width:187.75pt;height:18.199999999999999pt;z-index:-125829368;mso-wrap-distance-left:0.59999999999999998pt;mso-wrap-distance-right:6.0499999999999998pt;mso-wrap-distance-bottom:223.4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2499995" distL="1477645" distR="97155" simplePos="0" relativeHeight="125829387" behindDoc="0" locked="0" layoutInCell="1" allowOverlap="1">
            <wp:simplePos x="0" y="0"/>
            <wp:positionH relativeFrom="page">
              <wp:posOffset>1971040</wp:posOffset>
            </wp:positionH>
            <wp:positionV relativeFrom="margin">
              <wp:posOffset>409575</wp:posOffset>
            </wp:positionV>
            <wp:extent cx="895985" cy="286385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493395</wp:posOffset>
                </wp:positionH>
                <wp:positionV relativeFrom="margin">
                  <wp:posOffset>336550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720AE" w:rsidRDefault="005165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8.850000000000001pt;margin-top:26.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779145" distL="24765" distR="0" simplePos="0" relativeHeight="125829388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1093470</wp:posOffset>
                </wp:positionV>
                <wp:extent cx="2444750" cy="1325880"/>
                <wp:effectExtent l="0" t="0" r="0" b="0"/>
                <wp:wrapSquare wrapText="righ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325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72010397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30.04.2021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Vlastní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Cestmistrovství Telč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03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720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20AE" w:rsidRDefault="005720A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0.8pt;margin-top:86.1pt;width:192.5pt;height:104.4pt;z-index:125829388;visibility:visible;mso-wrap-style:square;mso-wrap-distance-left:1.95pt;mso-wrap-distance-top:75.85pt;mso-wrap-distance-right:0;mso-wrap-distance-bottom:61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IHGhgEAAAYD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72010397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30.04.2021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Vlastní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Cestmistrovství Telč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03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720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720AE" w:rsidRDefault="005720AE">
                      <w:pPr>
                        <w:spacing w:line="1" w:lineRule="exact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margin">
                  <wp:posOffset>832485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72010397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39.899999999999999pt;margin-top:65.54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72010397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40940" distB="0" distL="15240" distR="687070" simplePos="0" relativeHeight="125829390" behindDoc="0" locked="0" layoutInCell="1" allowOverlap="1">
                <wp:simplePos x="0" y="0"/>
                <wp:positionH relativeFrom="page">
                  <wp:posOffset>508635</wp:posOffset>
                </wp:positionH>
                <wp:positionV relativeFrom="margin">
                  <wp:posOffset>2571115</wp:posOffset>
                </wp:positionV>
                <wp:extent cx="1766570" cy="62738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6570" cy="62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adresa: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Cestmistroví Telč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Radkovská 498</w:t>
                            </w:r>
                          </w:p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ind w:firstLine="1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588 56 Telč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0.049999999999997pt;margin-top:202.44999999999999pt;width:139.09999999999999pt;height:49.399999999999999pt;z-index:-125829363;mso-wrap-distance-left:1.2pt;mso-wrap-distance-top:192.19999999999999pt;mso-wrap-distance-right:54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Cestmistroví Telč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Radkovská 498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588 56 Telč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Krajská správa a údržba silnic Vysočiny, příspěvková </w:t>
      </w:r>
      <w:r>
        <w:rPr>
          <w:sz w:val="19"/>
          <w:szCs w:val="19"/>
        </w:rPr>
        <w:t>organizace Kosovská 16</w:t>
      </w:r>
    </w:p>
    <w:p w:rsidR="005720AE" w:rsidRDefault="00516558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5720AE" w:rsidRDefault="00516558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5720AE" w:rsidRDefault="00516558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>Ze dne: 15.03.2021</w:t>
      </w:r>
    </w:p>
    <w:p w:rsidR="005720AE" w:rsidRDefault="00516558">
      <w:pPr>
        <w:pStyle w:val="Zkladntext1"/>
        <w:shd w:val="clear" w:color="auto" w:fill="auto"/>
        <w:spacing w:after="80"/>
        <w:ind w:firstLine="240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5720AE" w:rsidRDefault="00516558">
      <w:pPr>
        <w:pStyle w:val="Zkladntext1"/>
        <w:shd w:val="clear" w:color="auto" w:fill="auto"/>
        <w:ind w:firstLine="360"/>
        <w:rPr>
          <w:sz w:val="19"/>
          <w:szCs w:val="19"/>
        </w:rPr>
      </w:pPr>
      <w:r>
        <w:rPr>
          <w:b/>
          <w:bCs/>
          <w:sz w:val="19"/>
          <w:szCs w:val="19"/>
        </w:rPr>
        <w:t>Linde Gas a.s.</w:t>
      </w:r>
    </w:p>
    <w:p w:rsidR="005720AE" w:rsidRDefault="00516558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U Technoplynu 1324</w:t>
      </w:r>
    </w:p>
    <w:p w:rsidR="005720AE" w:rsidRDefault="00516558">
      <w:pPr>
        <w:pStyle w:val="Zkladntext1"/>
        <w:shd w:val="clear" w:color="auto" w:fill="auto"/>
        <w:ind w:left="2640" w:hanging="2200"/>
        <w:rPr>
          <w:sz w:val="19"/>
          <w:szCs w:val="19"/>
        </w:rPr>
      </w:pPr>
      <w:r>
        <w:rPr>
          <w:sz w:val="19"/>
          <w:szCs w:val="19"/>
        </w:rPr>
        <w:t>198 00 Praha 9 - Kyje</w:t>
      </w:r>
    </w:p>
    <w:p w:rsidR="005720AE" w:rsidRDefault="00516558">
      <w:pPr>
        <w:pStyle w:val="Zkladntext1"/>
        <w:shd w:val="clear" w:color="auto" w:fill="auto"/>
        <w:tabs>
          <w:tab w:val="left" w:pos="2882"/>
        </w:tabs>
        <w:spacing w:after="1040"/>
        <w:ind w:left="2640" w:hanging="2200"/>
        <w:rPr>
          <w:sz w:val="19"/>
          <w:szCs w:val="19"/>
        </w:rPr>
      </w:pPr>
      <w:r>
        <w:rPr>
          <w:sz w:val="19"/>
          <w:szCs w:val="19"/>
        </w:rPr>
        <w:t>IČO: 00011754</w:t>
      </w:r>
      <w:r>
        <w:rPr>
          <w:sz w:val="19"/>
          <w:szCs w:val="19"/>
        </w:rPr>
        <w:tab/>
        <w:t>DIČ: CZ00011754</w:t>
      </w:r>
    </w:p>
    <w:p w:rsidR="005720AE" w:rsidRDefault="00516558">
      <w:pPr>
        <w:pStyle w:val="Zkladntext1"/>
        <w:shd w:val="clear" w:color="auto" w:fill="auto"/>
        <w:spacing w:after="140" w:line="266" w:lineRule="auto"/>
        <w:ind w:left="2640" w:hanging="2200"/>
        <w:rPr>
          <w:sz w:val="19"/>
          <w:szCs w:val="19"/>
        </w:rPr>
      </w:pPr>
      <w:r>
        <w:rPr>
          <w:sz w:val="19"/>
          <w:szCs w:val="19"/>
        </w:rPr>
        <w:t>Korespondenční adresa: Jihlava Kosovská 16 Jihlava 586 01</w:t>
      </w:r>
    </w:p>
    <w:p w:rsidR="005720AE" w:rsidRDefault="00516558">
      <w:pPr>
        <w:pStyle w:val="Zkladntext1"/>
        <w:pBdr>
          <w:top w:val="single" w:sz="4" w:space="0" w:color="auto"/>
        </w:pBdr>
        <w:shd w:val="clear" w:color="auto" w:fill="auto"/>
        <w:spacing w:after="1300"/>
        <w:ind w:left="740"/>
      </w:pPr>
      <w:r>
        <w:t xml:space="preserve">na náhradu škody v </w:t>
      </w:r>
      <w:r>
        <w:t>prokázané výši, která jim v souvislosti s porušením smluvní povinnosti druhou smluvní stranou vznikla; k povinnostem, k nimž se vztahují popsané smluvní pokuty, pak i vedle nároku na smluvní pokutu. V případě, že kterékoliv ze stran této smlouvy vznikne po</w:t>
      </w:r>
      <w:r>
        <w:t>vinnost nahradit 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5720AE">
        <w:tblPrEx>
          <w:tblCellMar>
            <w:top w:w="0" w:type="dxa"/>
            <w:bottom w:w="0" w:type="dxa"/>
          </w:tblCellMar>
        </w:tblPrEx>
        <w:trPr>
          <w:trHeight w:hRule="exact" w:val="7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0AE" w:rsidRDefault="0051655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Dph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0AE" w:rsidRDefault="00516558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 vč.dph</w:t>
            </w:r>
          </w:p>
        </w:tc>
      </w:tr>
    </w:tbl>
    <w:p w:rsidR="005720AE" w:rsidRDefault="00516558">
      <w:pPr>
        <w:pStyle w:val="Titulektabulky0"/>
        <w:shd w:val="clear" w:color="auto" w:fill="auto"/>
        <w:ind w:left="3471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16 528,93 1,00 bal 16 528,93 21 3 471,07 20 000,00</w:t>
      </w:r>
    </w:p>
    <w:p w:rsidR="005720AE" w:rsidRDefault="00516558">
      <w:pPr>
        <w:pStyle w:val="Titulektabulky0"/>
        <w:shd w:val="clear" w:color="auto" w:fill="auto"/>
        <w:ind w:left="77"/>
      </w:pPr>
      <w:r>
        <w:t>Technické plyny corgon,kyslík, acetylen a zboží dle výběru.</w:t>
      </w:r>
    </w:p>
    <w:p w:rsidR="005720AE" w:rsidRDefault="005720AE">
      <w:pPr>
        <w:spacing w:after="1079" w:line="1" w:lineRule="exact"/>
      </w:pPr>
    </w:p>
    <w:p w:rsidR="005720AE" w:rsidRDefault="00516558">
      <w:pPr>
        <w:pStyle w:val="Zkladntext1"/>
        <w:shd w:val="clear" w:color="auto" w:fill="auto"/>
        <w:spacing w:after="40"/>
        <w:ind w:left="502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5720AE" w:rsidRDefault="00516558">
      <w:pPr>
        <w:pStyle w:val="Zkladntext1"/>
        <w:shd w:val="clear" w:color="auto" w:fill="auto"/>
        <w:spacing w:after="40"/>
        <w:ind w:left="502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5720AE" w:rsidRDefault="00516558">
      <w:pPr>
        <w:pStyle w:val="Zkladntext1"/>
        <w:shd w:val="clear" w:color="auto" w:fill="auto"/>
        <w:spacing w:after="520"/>
        <w:ind w:left="502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5720AE" w:rsidRDefault="00516558">
      <w:pPr>
        <w:pStyle w:val="Zkladntext1"/>
        <w:shd w:val="clear" w:color="auto" w:fill="auto"/>
        <w:spacing w:after="40"/>
        <w:ind w:left="502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5720AE" w:rsidRDefault="00516558">
      <w:pPr>
        <w:pStyle w:val="Zkladntext1"/>
        <w:shd w:val="clear" w:color="auto" w:fill="auto"/>
        <w:ind w:left="502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92" behindDoc="0" locked="0" layoutInCell="1" allowOverlap="1">
                <wp:simplePos x="0" y="0"/>
                <wp:positionH relativeFrom="page">
                  <wp:posOffset>604520</wp:posOffset>
                </wp:positionH>
                <wp:positionV relativeFrom="margin">
                  <wp:posOffset>7454900</wp:posOffset>
                </wp:positionV>
                <wp:extent cx="3034030" cy="67246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720AE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720A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16558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720AE" w:rsidRDefault="005720AE"/>
                              </w:tc>
                            </w:tr>
                          </w:tbl>
                          <w:p w:rsidR="005720AE" w:rsidRDefault="005720AE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left:0;text-align:left;margin-left:47.6pt;margin-top:587pt;width:238.9pt;height:52.95pt;z-index:125829392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720AE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720A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16558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720AE" w:rsidRDefault="005720AE"/>
                        </w:tc>
                      </w:tr>
                    </w:tbl>
                    <w:p w:rsidR="005720AE" w:rsidRDefault="005720AE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4" behindDoc="0" locked="0" layoutInCell="1" allowOverlap="1">
                <wp:simplePos x="0" y="0"/>
                <wp:positionH relativeFrom="page">
                  <wp:posOffset>3677920</wp:posOffset>
                </wp:positionH>
                <wp:positionV relativeFrom="margin">
                  <wp:posOffset>7445375</wp:posOffset>
                </wp:positionV>
                <wp:extent cx="2568575" cy="17843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20AE" w:rsidRDefault="00516558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Orientační cena objednávky s Dph: 20 000,00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289.60000000000002pt;margin-top:586.25pt;width:202.25pt;height:14.050000000000001pt;z-index:-125829359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20 000,00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>Tisk: 16.03.2021</w:t>
      </w:r>
    </w:p>
    <w:p w:rsidR="005720AE" w:rsidRDefault="00516558">
      <w:pPr>
        <w:pStyle w:val="Zkladntext1"/>
        <w:shd w:val="clear" w:color="auto" w:fill="auto"/>
        <w:spacing w:after="320"/>
        <w:ind w:left="708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516558" w:rsidRDefault="00516558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t>www.ksusv.cz</w:t>
        </w:r>
      </w:hyperlink>
      <w:r>
        <w:t>. V prostorách naší oraganizace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516558" w:rsidRDefault="00516558">
      <w:pPr>
        <w:rPr>
          <w:rFonts w:ascii="Arial" w:eastAsia="Arial" w:hAnsi="Arial" w:cs="Arial"/>
          <w:sz w:val="16"/>
          <w:szCs w:val="16"/>
        </w:rPr>
      </w:pPr>
      <w:r>
        <w:br w:type="page"/>
      </w:r>
    </w:p>
    <w:p w:rsidR="00516558" w:rsidRDefault="00516558" w:rsidP="00516558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From:</w:t>
      </w:r>
      <w:r>
        <w:rPr>
          <w:rFonts w:ascii="Calibri" w:hAnsi="Calibri" w:cs="Calibri"/>
          <w:sz w:val="22"/>
          <w:szCs w:val="22"/>
        </w:rPr>
        <w:t xml:space="preserve"> Linde - Dačice [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mailto:Dacice@linde-partner.cz</w:t>
        </w:r>
      </w:hyperlink>
      <w:r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Wednesday, March 17, 2021 2:18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1" w:history="1">
        <w:r w:rsidRPr="007933F9">
          <w:rPr>
            <w:rStyle w:val="Hypertextovodkaz"/>
            <w:rFonts w:ascii="Calibri" w:hAnsi="Calibri" w:cs="Calibri"/>
            <w:sz w:val="22"/>
            <w:szCs w:val="22"/>
          </w:rPr>
          <w:t>xxxxxxxxx@ksusv.cz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xxxxxxxxx</w:t>
      </w:r>
      <w:r>
        <w:rPr>
          <w:rFonts w:ascii="Calibri" w:hAnsi="Calibri" w:cs="Calibri"/>
          <w:sz w:val="22"/>
          <w:szCs w:val="22"/>
        </w:rPr>
        <w:t xml:space="preserve"> &lt;</w:t>
      </w:r>
      <w:hyperlink r:id="rId12" w:history="1">
        <w:r w:rsidRPr="007933F9">
          <w:rPr>
            <w:rStyle w:val="Hypertextovodkaz"/>
            <w:rFonts w:ascii="Calibri" w:hAnsi="Calibri" w:cs="Calibri"/>
            <w:sz w:val="22"/>
            <w:szCs w:val="22"/>
          </w:rPr>
          <w:t>xxxxxxxxxxx@linde.com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516558" w:rsidRDefault="00516558" w:rsidP="00516558">
      <w:pPr>
        <w:rPr>
          <w:rFonts w:ascii="Times New Roman" w:hAnsi="Times New Roman" w:cs="Times New Roman"/>
        </w:rPr>
      </w:pPr>
    </w:p>
    <w:p w:rsidR="00516558" w:rsidRDefault="00516558" w:rsidP="00516558">
      <w:pPr>
        <w:rPr>
          <w:rFonts w:ascii="Calibri" w:hAnsi="Calibri" w:cs="Calibri"/>
        </w:rPr>
      </w:pPr>
      <w:r>
        <w:rPr>
          <w:rFonts w:ascii="Calibri" w:hAnsi="Calibri" w:cs="Calibri"/>
          <w:shd w:val="clear" w:color="auto" w:fill="FFFFFF"/>
        </w:rPr>
        <w:t xml:space="preserve">Vážený pane </w:t>
      </w:r>
      <w:r>
        <w:rPr>
          <w:rFonts w:ascii="Calibri" w:hAnsi="Calibri" w:cs="Calibri"/>
          <w:shd w:val="clear" w:color="auto" w:fill="FFFFFF"/>
        </w:rPr>
        <w:t>xxxxxxx</w:t>
      </w:r>
      <w:r>
        <w:rPr>
          <w:rFonts w:ascii="Calibri" w:hAnsi="Calibri" w:cs="Calibri"/>
          <w:shd w:val="clear" w:color="auto" w:fill="FFFFFF"/>
        </w:rPr>
        <w:t>,</w:t>
      </w:r>
      <w:r>
        <w:rPr>
          <w:rFonts w:ascii="Calibri" w:hAnsi="Calibri" w:cs="Calibri"/>
        </w:rPr>
        <w:t xml:space="preserve"> </w:t>
      </w:r>
    </w:p>
    <w:p w:rsidR="00516558" w:rsidRDefault="00516558" w:rsidP="0051655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>potvrzuji Vámi zaslanou objednávku č.: 720 10 397, ze dne 15.03.2021 (viz příloha); v rozsahu platných všeobecných obchodních podmínek Linde pro prodej Plynů a nájem Distribučních prostředků. ​​</w:t>
      </w:r>
    </w:p>
    <w:p w:rsidR="00516558" w:rsidRDefault="00516558" w:rsidP="00516558">
      <w:pPr>
        <w:shd w:val="clear" w:color="auto" w:fill="FFFFFF"/>
        <w:rPr>
          <w:sz w:val="28"/>
          <w:szCs w:val="28"/>
        </w:rPr>
      </w:pPr>
    </w:p>
    <w:p w:rsidR="00516558" w:rsidRDefault="00516558" w:rsidP="00516558">
      <w:pPr>
        <w:shd w:val="clear" w:color="auto" w:fill="FFFFFF"/>
        <w:rPr>
          <w:sz w:val="28"/>
          <w:szCs w:val="28"/>
        </w:rPr>
      </w:pPr>
    </w:p>
    <w:p w:rsidR="00516558" w:rsidRDefault="00516558" w:rsidP="00516558">
      <w:pPr>
        <w:shd w:val="clear" w:color="auto" w:fill="FFFFFF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S přáním pěkného dne</w:t>
      </w:r>
    </w:p>
    <w:p w:rsidR="00516558" w:rsidRDefault="00516558" w:rsidP="00516558">
      <w:pPr>
        <w:shd w:val="clear" w:color="auto" w:fill="FFFFFF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</w:rPr>
        <w:t> </w:t>
      </w:r>
    </w:p>
    <w:p w:rsidR="00516558" w:rsidRDefault="00516558" w:rsidP="0051655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>xxxxxxxxxxx</w:t>
      </w:r>
      <w:bookmarkStart w:id="0" w:name="_GoBack"/>
      <w:bookmarkEnd w:id="0"/>
    </w:p>
    <w:p w:rsidR="005720AE" w:rsidRDefault="005720AE">
      <w:pPr>
        <w:pStyle w:val="Zkladntext20"/>
        <w:shd w:val="clear" w:color="auto" w:fill="auto"/>
        <w:jc w:val="both"/>
      </w:pPr>
    </w:p>
    <w:sectPr w:rsidR="005720AE">
      <w:footerReference w:type="default" r:id="rId13"/>
      <w:pgSz w:w="11900" w:h="16840"/>
      <w:pgMar w:top="787" w:right="816" w:bottom="1196" w:left="790" w:header="35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6558">
      <w:r>
        <w:separator/>
      </w:r>
    </w:p>
  </w:endnote>
  <w:endnote w:type="continuationSeparator" w:id="0">
    <w:p w:rsidR="00000000" w:rsidRDefault="0051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AE" w:rsidRDefault="0051655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6189345</wp:posOffset>
              </wp:positionH>
              <wp:positionV relativeFrom="page">
                <wp:posOffset>9980930</wp:posOffset>
              </wp:positionV>
              <wp:extent cx="570865" cy="15176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20AE" w:rsidRDefault="0051655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1655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487.35pt;margin-top:785.9pt;width:44.95pt;height:11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" filled="f" stroked="f">
              <v:textbox style="mso-fit-shape-to-text:t" inset="0,0,0,0">
                <w:txbxContent>
                  <w:p w:rsidR="005720AE" w:rsidRDefault="0051655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1655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0AE" w:rsidRDefault="005720AE"/>
  </w:footnote>
  <w:footnote w:type="continuationSeparator" w:id="0">
    <w:p w:rsidR="005720AE" w:rsidRDefault="005720A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93FD0"/>
    <w:multiLevelType w:val="multilevel"/>
    <w:tmpl w:val="BA3C437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720AE"/>
    <w:rsid w:val="00516558"/>
    <w:rsid w:val="0057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165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16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x@lin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@ksu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cice@linde-partne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usv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2021-03-17T15:02:00Z</dcterms:created>
  <dcterms:modified xsi:type="dcterms:W3CDTF">2021-03-17T15:03:00Z</dcterms:modified>
</cp:coreProperties>
</file>