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CCE9" w14:textId="77777777" w:rsidR="001C185F" w:rsidRDefault="001C185F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23D8E761" w14:textId="77777777"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53313AD2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22AA682D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7E6B50AC" w14:textId="77777777" w:rsidR="00BB0DF9" w:rsidRPr="00684880" w:rsidRDefault="00BB0DF9" w:rsidP="00BB0DF9">
      <w:pPr>
        <w:spacing w:after="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 xml:space="preserve">uzavřená podle § 269 odst. </w:t>
      </w:r>
      <w:smartTag w:uri="urn:schemas-microsoft-com:office:smarttags" w:element="metricconverter">
        <w:smartTagPr>
          <w:attr w:name="ProductID" w:val="2 a"/>
        </w:smartTagPr>
        <w:r w:rsidRPr="00684880">
          <w:rPr>
            <w:rFonts w:ascii="Times New Roman" w:hAnsi="Times New Roman"/>
          </w:rPr>
          <w:t>2 a</w:t>
        </w:r>
      </w:smartTag>
      <w:r w:rsidRPr="00684880">
        <w:rPr>
          <w:rFonts w:ascii="Times New Roman" w:hAnsi="Times New Roman"/>
        </w:rPr>
        <w:t xml:space="preserve"> následujících zákona č. 513/1991 Sb. obchodní zákoník, </w:t>
      </w:r>
    </w:p>
    <w:p w14:paraId="7602DDE0" w14:textId="77777777" w:rsidR="00BB0DF9" w:rsidRPr="00684880" w:rsidRDefault="00BB0DF9" w:rsidP="00BB0DF9">
      <w:pPr>
        <w:spacing w:after="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 xml:space="preserve">ve znění pozdějších předpisů a zákona č. 137/2006 Sb., o veřejných zakázkách, ve znění pozdějších předpisů 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14:paraId="6706E344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0E49A284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14:paraId="39EC4A44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38E9E1E7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7F8C3487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40C82889" w14:textId="77777777" w:rsidR="00BB0DF9" w:rsidRPr="00641ABE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641ABE">
        <w:rPr>
          <w:rFonts w:ascii="Times New Roman" w:hAnsi="Times New Roman"/>
        </w:rPr>
        <w:t>jednající: Ing. Petrem Krůčkem, I. náměstkem ministryně</w:t>
      </w:r>
    </w:p>
    <w:p w14:paraId="59C7F599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6725C2A6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proofErr w:type="spellStart"/>
      <w:r w:rsidR="000A1CB9">
        <w:rPr>
          <w:rFonts w:ascii="Times New Roman" w:eastAsia="SimSun" w:hAnsi="Times New Roman"/>
          <w:color w:val="000000"/>
        </w:rPr>
        <w:t>xxx</w:t>
      </w:r>
      <w:proofErr w:type="spellEnd"/>
    </w:p>
    <w:p w14:paraId="2EA952DE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proofErr w:type="spellStart"/>
      <w:r w:rsidR="000A1CB9">
        <w:rPr>
          <w:rFonts w:ascii="Times New Roman" w:eastAsia="SimSun" w:hAnsi="Times New Roman"/>
          <w:color w:val="000000"/>
        </w:rPr>
        <w:t>xxx</w:t>
      </w:r>
      <w:proofErr w:type="spellEnd"/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30DCCC17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14:paraId="218E6619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6EEF9B74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792BB131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1C398EFA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672ECF21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09CD1BAE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1CAB8AE6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7BFC653B" w14:textId="77777777" w:rsidR="00BB0DF9" w:rsidRPr="00F06F8C" w:rsidRDefault="000A1CB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Havel, Holásek </w:t>
      </w:r>
      <w:r>
        <w:t>&amp;</w:t>
      </w:r>
      <w:r>
        <w:rPr>
          <w:rFonts w:ascii="Times New Roman" w:hAnsi="Times New Roman"/>
        </w:rPr>
        <w:t xml:space="preserve"> Partners s.r.o., advokátní kancelář</w:t>
      </w:r>
    </w:p>
    <w:p w14:paraId="1CC473CF" w14:textId="77777777" w:rsidR="00BB0DF9" w:rsidRPr="00F06F8C" w:rsidRDefault="000A1CB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Týn 1049/3, 110 00 Praha 1</w:t>
      </w:r>
    </w:p>
    <w:p w14:paraId="379B8AEA" w14:textId="77777777" w:rsidR="00BB0DF9" w:rsidRPr="00F06F8C" w:rsidRDefault="000A1CB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jednající: Mgr. Robertem </w:t>
      </w:r>
      <w:proofErr w:type="spellStart"/>
      <w:r>
        <w:rPr>
          <w:rFonts w:ascii="Times New Roman" w:hAnsi="Times New Roman"/>
        </w:rPr>
        <w:t>Nešpůrkem</w:t>
      </w:r>
      <w:proofErr w:type="spellEnd"/>
      <w:r>
        <w:rPr>
          <w:rFonts w:ascii="Times New Roman" w:hAnsi="Times New Roman"/>
        </w:rPr>
        <w:t>, LL.M., jednatelem</w:t>
      </w:r>
    </w:p>
    <w:p w14:paraId="652D0E1E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IČ:</w:t>
      </w:r>
      <w:r w:rsidR="000A1CB9">
        <w:rPr>
          <w:rFonts w:ascii="Times New Roman" w:hAnsi="Times New Roman"/>
        </w:rPr>
        <w:t xml:space="preserve"> 264 54 807</w:t>
      </w:r>
    </w:p>
    <w:p w14:paraId="0C83904F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 w:rsidR="000A1CB9">
        <w:rPr>
          <w:rFonts w:ascii="Times New Roman" w:hAnsi="Times New Roman"/>
        </w:rPr>
        <w:t xml:space="preserve"> CZ26454807</w:t>
      </w:r>
    </w:p>
    <w:p w14:paraId="2E43E065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proofErr w:type="spellStart"/>
      <w:r w:rsidR="000A1CB9">
        <w:rPr>
          <w:rFonts w:ascii="Times New Roman" w:hAnsi="Times New Roman"/>
        </w:rPr>
        <w:t>xxx</w:t>
      </w:r>
      <w:proofErr w:type="spellEnd"/>
    </w:p>
    <w:p w14:paraId="7D045748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proofErr w:type="spellStart"/>
      <w:r w:rsidR="000A1CB9">
        <w:rPr>
          <w:rFonts w:ascii="Times New Roman" w:hAnsi="Times New Roman"/>
        </w:rPr>
        <w:t>xxx</w:t>
      </w:r>
      <w:proofErr w:type="spellEnd"/>
    </w:p>
    <w:p w14:paraId="2A956822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40C8A74F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>
        <w:rPr>
          <w:rFonts w:ascii="Times New Roman" w:hAnsi="Times New Roman"/>
          <w:b/>
          <w:i/>
        </w:rPr>
        <w:t>Poradce</w:t>
      </w:r>
      <w:r w:rsidRPr="00F06F8C">
        <w:rPr>
          <w:rFonts w:ascii="Times New Roman" w:hAnsi="Times New Roman"/>
          <w:b/>
          <w:i/>
        </w:rPr>
        <w:t>“)</w:t>
      </w:r>
    </w:p>
    <w:p w14:paraId="6CC75C0F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3723ADE6" w14:textId="77777777"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ED33388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14:paraId="376CE696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67D6DDD5" w14:textId="77777777" w:rsidR="00BB0DF9" w:rsidRDefault="00BB0DF9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6548F9">
        <w:rPr>
          <w:rFonts w:ascii="Times New Roman" w:hAnsi="Times New Roman"/>
          <w:b w:val="0"/>
          <w:bCs w:val="0"/>
          <w:sz w:val="22"/>
          <w:szCs w:val="20"/>
        </w:rPr>
        <w:t>Zadavatel a Poradce jsou, spolu s dalšími subjekty, smluvními stranami rámcové smlouvy uzavřené dne 21. 5. 2013 ve vztahu k veřejné zakázce „Uzavření rámcové smlouvy na poskytování právních služeb pro Českou republiku – Ministerstvo práce a sociálních věcí – 1. část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39093050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308F312C" w14:textId="77777777" w:rsidR="00BB0DF9" w:rsidRPr="00383F54" w:rsidRDefault="00BB0DF9" w:rsidP="00BB0DF9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ve znění pozdějších předpisů 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005E4319" w14:textId="77777777" w:rsidR="00BB0DF9" w:rsidRPr="0068488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3B40CEF4" w14:textId="77777777" w:rsidR="00661FBE" w:rsidRPr="000A1CB9" w:rsidRDefault="00BB0DF9" w:rsidP="000A1CB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40503B50" w14:textId="77777777" w:rsidR="00BB0DF9" w:rsidRPr="00661FBE" w:rsidRDefault="00BB0DF9" w:rsidP="000A1CB9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smlouvy je poskytování právních a administrativních služeb a právního poradenství </w:t>
      </w:r>
      <w:r w:rsidR="007B6B1A">
        <w:rPr>
          <w:rFonts w:ascii="Times New Roman" w:hAnsi="Times New Roman"/>
          <w:b w:val="0"/>
          <w:bCs w:val="0"/>
          <w:sz w:val="22"/>
          <w:szCs w:val="20"/>
        </w:rPr>
        <w:t>v souvislosti se zadávacím řízením (</w:t>
      </w:r>
      <w:r w:rsidR="00F112F6">
        <w:rPr>
          <w:rFonts w:ascii="Times New Roman" w:hAnsi="Times New Roman"/>
          <w:b w:val="0"/>
          <w:bCs w:val="0"/>
          <w:sz w:val="22"/>
          <w:szCs w:val="20"/>
        </w:rPr>
        <w:t>soutěžní dialog dle § 21 odst. 1, písm. e) ZVZ</w:t>
      </w:r>
      <w:r w:rsidR="007B6B1A">
        <w:rPr>
          <w:rFonts w:ascii="Times New Roman" w:hAnsi="Times New Roman"/>
          <w:b w:val="0"/>
          <w:bCs w:val="0"/>
          <w:sz w:val="22"/>
          <w:szCs w:val="20"/>
        </w:rPr>
        <w:t xml:space="preserve">) </w:t>
      </w:r>
      <w:r w:rsidR="000B7516">
        <w:rPr>
          <w:rFonts w:ascii="Times New Roman" w:hAnsi="Times New Roman"/>
          <w:b w:val="0"/>
          <w:bCs w:val="0"/>
          <w:sz w:val="22"/>
          <w:szCs w:val="20"/>
        </w:rPr>
        <w:t>veřejné zakázky vedené pod názvem</w:t>
      </w:r>
      <w:r w:rsidR="007B6B1A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7B6B1A" w:rsidRPr="00F112F6">
        <w:rPr>
          <w:rFonts w:ascii="Times New Roman" w:hAnsi="Times New Roman"/>
          <w:bCs w:val="0"/>
          <w:sz w:val="22"/>
          <w:szCs w:val="20"/>
        </w:rPr>
        <w:t>„</w:t>
      </w:r>
      <w:r w:rsidR="00F112F6" w:rsidRPr="00F112F6">
        <w:rPr>
          <w:rFonts w:ascii="Times New Roman" w:hAnsi="Times New Roman"/>
          <w:bCs w:val="0"/>
          <w:sz w:val="22"/>
          <w:szCs w:val="20"/>
        </w:rPr>
        <w:t>Komplexní řešení agendových informačních systémů pro zpracování nepojistných sociálních dávek a dávek z oblasti státní politiky zaměstnanosti</w:t>
      </w:r>
      <w:r w:rsidR="007B6B1A" w:rsidRPr="00F112F6">
        <w:rPr>
          <w:rFonts w:ascii="Times New Roman" w:hAnsi="Times New Roman"/>
          <w:bCs w:val="0"/>
          <w:sz w:val="22"/>
          <w:szCs w:val="20"/>
        </w:rPr>
        <w:t>“</w:t>
      </w:r>
      <w:r w:rsidR="00394491">
        <w:rPr>
          <w:rFonts w:ascii="Times New Roman" w:hAnsi="Times New Roman"/>
          <w:b w:val="0"/>
          <w:bCs w:val="0"/>
          <w:color w:val="FF0000"/>
          <w:sz w:val="22"/>
          <w:szCs w:val="20"/>
        </w:rPr>
        <w:t xml:space="preserve"> </w:t>
      </w:r>
      <w:r w:rsidR="00394491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(dále jen </w:t>
      </w:r>
      <w:r w:rsidR="00394491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</w:t>
      </w:r>
      <w:r w:rsidR="00394491">
        <w:rPr>
          <w:rFonts w:ascii="Times New Roman" w:hAnsi="Times New Roman"/>
          <w:b w:val="0"/>
          <w:bCs w:val="0"/>
          <w:i/>
          <w:sz w:val="22"/>
          <w:szCs w:val="20"/>
        </w:rPr>
        <w:t>Veřejná zakázka</w:t>
      </w:r>
      <w:r w:rsidR="00394491" w:rsidRPr="00CF209D">
        <w:rPr>
          <w:rFonts w:ascii="Times New Roman" w:hAnsi="Times New Roman"/>
          <w:b w:val="0"/>
          <w:bCs w:val="0"/>
          <w:i/>
          <w:sz w:val="22"/>
          <w:szCs w:val="20"/>
        </w:rPr>
        <w:t>“</w:t>
      </w:r>
      <w:r w:rsidR="00394491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, a to zejména v rozsahu </w:t>
      </w:r>
      <w:r w:rsidR="007B6B1A">
        <w:rPr>
          <w:rFonts w:ascii="Times New Roman" w:hAnsi="Times New Roman"/>
          <w:b w:val="0"/>
          <w:bCs w:val="0"/>
          <w:sz w:val="22"/>
          <w:szCs w:val="20"/>
        </w:rPr>
        <w:t xml:space="preserve">následujících 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>činností</w:t>
      </w:r>
      <w:r w:rsidR="007B6B1A">
        <w:rPr>
          <w:rFonts w:ascii="Times New Roman" w:hAnsi="Times New Roman"/>
          <w:b w:val="0"/>
          <w:bCs w:val="0"/>
          <w:sz w:val="22"/>
          <w:szCs w:val="20"/>
        </w:rPr>
        <w:t>:</w:t>
      </w:r>
    </w:p>
    <w:p w14:paraId="610037AA" w14:textId="77777777" w:rsidR="003A6CEC" w:rsidRPr="003A6CEC" w:rsidRDefault="008755FA" w:rsidP="0046017A">
      <w:pPr>
        <w:pStyle w:val="Nadpis1"/>
        <w:numPr>
          <w:ilvl w:val="2"/>
          <w:numId w:val="19"/>
        </w:numPr>
        <w:tabs>
          <w:tab w:val="left" w:pos="0"/>
        </w:tabs>
        <w:spacing w:after="0" w:line="280" w:lineRule="atLeast"/>
        <w:ind w:left="1276" w:hanging="709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 služby spojené s komplexním administrativním a právním zajištěním zadávacího </w:t>
      </w:r>
      <w:r w:rsidRPr="008755FA">
        <w:rPr>
          <w:rFonts w:ascii="Times New Roman" w:hAnsi="Times New Roman"/>
          <w:b w:val="0"/>
          <w:bCs w:val="0"/>
          <w:sz w:val="22"/>
          <w:szCs w:val="20"/>
        </w:rPr>
        <w:t>řízení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8F1523">
        <w:rPr>
          <w:rFonts w:ascii="Times New Roman" w:hAnsi="Times New Roman"/>
          <w:b w:val="0"/>
          <w:bCs w:val="0"/>
          <w:sz w:val="22"/>
          <w:szCs w:val="20"/>
        </w:rPr>
        <w:t xml:space="preserve">(soutěžního dialogu) </w:t>
      </w:r>
      <w:r>
        <w:rPr>
          <w:rFonts w:ascii="Times New Roman" w:hAnsi="Times New Roman"/>
          <w:b w:val="0"/>
          <w:bCs w:val="0"/>
          <w:sz w:val="22"/>
          <w:szCs w:val="20"/>
        </w:rPr>
        <w:t>zahrnující:</w:t>
      </w:r>
    </w:p>
    <w:p w14:paraId="60645929" w14:textId="77777777" w:rsidR="008755FA" w:rsidRPr="00245E19" w:rsidRDefault="008755FA" w:rsidP="00305E7D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245E19">
        <w:rPr>
          <w:rFonts w:ascii="Times New Roman" w:eastAsia="Cambria" w:hAnsi="Times New Roman"/>
          <w:b/>
          <w:bCs/>
          <w:i/>
        </w:rPr>
        <w:t>Činnosti spojené s přípravou zadávacího řízení a jeho zveřejnění:</w:t>
      </w:r>
    </w:p>
    <w:p w14:paraId="04BD6306" w14:textId="77777777" w:rsidR="008755FA" w:rsidRPr="00245E19" w:rsidRDefault="008F1523" w:rsidP="00305E7D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odůvodnění </w:t>
      </w:r>
      <w:r w:rsidR="008755FA" w:rsidRPr="00245E19">
        <w:rPr>
          <w:rFonts w:ascii="Times New Roman" w:hAnsi="Times New Roman"/>
        </w:rPr>
        <w:t>veřejné zakázky včetně právní podpory a potřebné účasti při jednáních a schvalovacích procesech u zadavatele,</w:t>
      </w:r>
    </w:p>
    <w:p w14:paraId="708C8A95" w14:textId="77777777" w:rsidR="00C53B65" w:rsidRPr="00245E19" w:rsidRDefault="00C53B65" w:rsidP="00305E7D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>zpracování oznámení soutěžního dialogu</w:t>
      </w:r>
      <w:r w:rsidR="00245E19" w:rsidRPr="00245E19">
        <w:rPr>
          <w:rFonts w:ascii="Times New Roman" w:hAnsi="Times New Roman"/>
        </w:rPr>
        <w:t xml:space="preserve"> na předepsaném formuláři a vyhotovení objednávky ke zveřejnění ve Věstníku veřejných zakázek a Úředním věstníku Evropské unie</w:t>
      </w:r>
      <w:r w:rsidRPr="00245E19">
        <w:rPr>
          <w:rFonts w:ascii="Times New Roman" w:hAnsi="Times New Roman"/>
        </w:rPr>
        <w:t>,</w:t>
      </w:r>
    </w:p>
    <w:p w14:paraId="5AAD792D" w14:textId="77777777" w:rsidR="00C53B65" w:rsidRPr="00245E19" w:rsidRDefault="00C53B65" w:rsidP="00305E7D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>zpracování výzvy k podání žádostí o účast v soutěžním dialogu a k prokázání kvalifikace</w:t>
      </w:r>
      <w:r w:rsidR="00245E19" w:rsidRPr="00245E19">
        <w:rPr>
          <w:rFonts w:ascii="Times New Roman" w:hAnsi="Times New Roman"/>
        </w:rPr>
        <w:t xml:space="preserve"> (dále také jen „výzva“)</w:t>
      </w:r>
      <w:r w:rsidRPr="00245E19">
        <w:rPr>
          <w:rFonts w:ascii="Times New Roman" w:hAnsi="Times New Roman"/>
        </w:rPr>
        <w:t>,</w:t>
      </w:r>
    </w:p>
    <w:p w14:paraId="4C0EA7B6" w14:textId="77777777" w:rsidR="008755FA" w:rsidRPr="00245E19" w:rsidRDefault="008755FA" w:rsidP="00305E7D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>zpracování návrhu požadavků na prokázání kvalifikace a jejich konzultace se zadavatelem,</w:t>
      </w:r>
    </w:p>
    <w:p w14:paraId="6944CE53" w14:textId="77777777" w:rsidR="00C53B65" w:rsidRPr="00245E19" w:rsidRDefault="00C53B65" w:rsidP="00C53B65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návrhu dokumentace soutěžního dialogu </w:t>
      </w:r>
      <w:r w:rsidR="00985EAC">
        <w:rPr>
          <w:rFonts w:ascii="Times New Roman" w:hAnsi="Times New Roman"/>
        </w:rPr>
        <w:t xml:space="preserve">včetně návrhu hodnotících kritérií </w:t>
      </w:r>
      <w:r w:rsidRPr="00245E19">
        <w:rPr>
          <w:rFonts w:ascii="Times New Roman" w:hAnsi="Times New Roman"/>
        </w:rPr>
        <w:t>a její konzultace se </w:t>
      </w:r>
      <w:r w:rsidR="00245E19" w:rsidRPr="00245E19">
        <w:rPr>
          <w:rFonts w:ascii="Times New Roman" w:hAnsi="Times New Roman"/>
        </w:rPr>
        <w:t>zadavatelem.</w:t>
      </w:r>
    </w:p>
    <w:p w14:paraId="0FAC44DC" w14:textId="77777777" w:rsidR="00245E19" w:rsidRPr="00245E19" w:rsidRDefault="00245E19" w:rsidP="00245E19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245E19">
        <w:rPr>
          <w:rFonts w:ascii="Times New Roman" w:eastAsia="Cambria" w:hAnsi="Times New Roman"/>
          <w:b/>
          <w:bCs/>
          <w:i/>
        </w:rPr>
        <w:t>Činnosti spojené s průběhem lhůty pro podání žádostí o účast v soutěžním dialogu</w:t>
      </w:r>
      <w:r>
        <w:rPr>
          <w:rFonts w:ascii="Times New Roman" w:eastAsia="Cambria" w:hAnsi="Times New Roman"/>
          <w:b/>
          <w:bCs/>
          <w:i/>
        </w:rPr>
        <w:t>:</w:t>
      </w:r>
    </w:p>
    <w:p w14:paraId="5EDA6551" w14:textId="77777777" w:rsidR="00245E19" w:rsidRPr="00245E19" w:rsidRDefault="00245E19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>předání výzvy k podání žádostí o účast v soutěžním dialogu a k prokázání kvalifikace všem zájemcům, včetně zajištění předávacích protokolů a potvrzení o předání a převzetí výzvy (pokud je to s ohledem na charakter a obsah výzvy relevantní),</w:t>
      </w:r>
    </w:p>
    <w:p w14:paraId="7B6DB382" w14:textId="77777777" w:rsidR="00245E19" w:rsidRPr="00245E19" w:rsidRDefault="00245E19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>zpracování dodatečných informací k výzvě samostatně, pokud se týkají právních aspektů zadávacího řízení, resp. ve spolupráci se zadavatelem, pokud se týkají jiných než právních aspektů zadávacího řízení veřejné zakázky, včetně právní podpory při uveřejnění a distribuci dodatečných informací,</w:t>
      </w:r>
    </w:p>
    <w:p w14:paraId="3A8C6F53" w14:textId="77777777" w:rsidR="00245E19" w:rsidRPr="00245E19" w:rsidRDefault="00245E19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lastRenderedPageBreak/>
        <w:t>zajištění doručení dodatečných informací k zadávacím podmínkám všem zájemcům, kteří požádali o poskytnutí výzvy, nebo kterým byla výzva poskytnuta,</w:t>
      </w:r>
    </w:p>
    <w:p w14:paraId="3897889D" w14:textId="77777777" w:rsidR="00245E19" w:rsidRDefault="00245E19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příprava formulářů nutných a potřebných k řádnému průběhu otevírání obálek s žádostmi o účast v soutěžním </w:t>
      </w:r>
      <w:r w:rsidR="009E42EE">
        <w:rPr>
          <w:rFonts w:ascii="Times New Roman" w:hAnsi="Times New Roman"/>
        </w:rPr>
        <w:t>dialogu a posouzení kvalifikace,</w:t>
      </w:r>
    </w:p>
    <w:p w14:paraId="2860B120" w14:textId="77777777" w:rsidR="009E42EE" w:rsidRDefault="009E42EE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</w:t>
      </w:r>
      <w:r>
        <w:rPr>
          <w:rFonts w:ascii="Times New Roman" w:hAnsi="Times New Roman"/>
        </w:rPr>
        <w:t>finální podoby</w:t>
      </w:r>
      <w:r w:rsidRPr="00245E19">
        <w:rPr>
          <w:rFonts w:ascii="Times New Roman" w:hAnsi="Times New Roman"/>
        </w:rPr>
        <w:t xml:space="preserve"> dokumentace soutěžního dialogu a její konzultace se zadavatelem</w:t>
      </w:r>
      <w:r>
        <w:rPr>
          <w:rFonts w:ascii="Times New Roman" w:hAnsi="Times New Roman"/>
        </w:rPr>
        <w:t>.</w:t>
      </w:r>
    </w:p>
    <w:p w14:paraId="2077D40C" w14:textId="77777777" w:rsidR="00C40BA6" w:rsidRPr="00245E19" w:rsidRDefault="00C40BA6" w:rsidP="00C40BA6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245E19">
        <w:rPr>
          <w:rFonts w:ascii="Times New Roman" w:eastAsia="Cambria" w:hAnsi="Times New Roman"/>
          <w:b/>
          <w:bCs/>
          <w:i/>
        </w:rPr>
        <w:t>Činnosti spojené s</w:t>
      </w:r>
      <w:r>
        <w:rPr>
          <w:rFonts w:ascii="Times New Roman" w:eastAsia="Cambria" w:hAnsi="Times New Roman"/>
          <w:b/>
          <w:bCs/>
          <w:i/>
        </w:rPr>
        <w:t> přijímáním žádostí o účast v soutěžním dialogu a posouzením kvalifikace:</w:t>
      </w:r>
    </w:p>
    <w:p w14:paraId="300E8569" w14:textId="77777777" w:rsidR="00245E19" w:rsidRPr="00C40BA6" w:rsidRDefault="00245E19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40BA6">
        <w:rPr>
          <w:rFonts w:ascii="Times New Roman" w:hAnsi="Times New Roman"/>
        </w:rPr>
        <w:t>zajištění vlastního aktu otevírání obálek s žádostmi o účast v soutěžním dialogu jednotlivých zájemců, včetně zpracování protokolu z otevírání obálek</w:t>
      </w:r>
      <w:r w:rsidR="003811E6">
        <w:rPr>
          <w:rFonts w:ascii="Times New Roman" w:hAnsi="Times New Roman"/>
        </w:rPr>
        <w:t xml:space="preserve"> s </w:t>
      </w:r>
      <w:r w:rsidRPr="00C40BA6">
        <w:rPr>
          <w:rFonts w:ascii="Times New Roman" w:hAnsi="Times New Roman"/>
        </w:rPr>
        <w:t>žádostmi,</w:t>
      </w:r>
    </w:p>
    <w:p w14:paraId="3820D7B3" w14:textId="77777777" w:rsidR="00245E19" w:rsidRPr="00C40BA6" w:rsidRDefault="00C40BA6" w:rsidP="00245E19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40BA6">
        <w:rPr>
          <w:rFonts w:ascii="Times New Roman" w:hAnsi="Times New Roman"/>
        </w:rPr>
        <w:t>zajištění vlastního aktu posouzení kvalifikace včetně rozboru žádostí o účast zájemců z hlediska splnění kvalifikace</w:t>
      </w:r>
    </w:p>
    <w:p w14:paraId="5EFFBD9A" w14:textId="77777777" w:rsidR="00C40BA6" w:rsidRPr="00C40BA6" w:rsidRDefault="00C40BA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40BA6">
        <w:rPr>
          <w:rFonts w:ascii="Times New Roman" w:hAnsi="Times New Roman"/>
        </w:rPr>
        <w:t>zpracování protokolu o posouzení kvalifikace,</w:t>
      </w:r>
    </w:p>
    <w:p w14:paraId="1419930A" w14:textId="77777777" w:rsidR="00C40BA6" w:rsidRPr="00C40BA6" w:rsidRDefault="00C40BA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40BA6">
        <w:rPr>
          <w:rFonts w:ascii="Times New Roman" w:hAnsi="Times New Roman"/>
        </w:rPr>
        <w:t>vyhotovení žádosti o objasnění předložených informací či dokladů předložených k prokázání kvalifikace,</w:t>
      </w:r>
    </w:p>
    <w:p w14:paraId="342AB529" w14:textId="77777777" w:rsidR="00C40BA6" w:rsidRPr="00C40BA6" w:rsidRDefault="00C40BA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40BA6">
        <w:rPr>
          <w:rFonts w:ascii="Times New Roman" w:hAnsi="Times New Roman"/>
        </w:rPr>
        <w:t>zajištění oznámení rozhodnutí o vyloučení zájemců, kteří byli pro nesplnění kvalifikace z účasti v zadávacím řízení vyloučeni.</w:t>
      </w:r>
    </w:p>
    <w:p w14:paraId="6574A728" w14:textId="77777777" w:rsidR="00245E19" w:rsidRPr="00C40BA6" w:rsidRDefault="00C40BA6" w:rsidP="009E42EE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C40BA6">
        <w:rPr>
          <w:rFonts w:ascii="Times New Roman" w:eastAsia="Cambria" w:hAnsi="Times New Roman"/>
          <w:b/>
          <w:bCs/>
          <w:i/>
        </w:rPr>
        <w:t xml:space="preserve">Činnosti spojené s výzvou k účasti v soutěžním dialogu a </w:t>
      </w:r>
      <w:r w:rsidR="003811E6">
        <w:rPr>
          <w:rFonts w:ascii="Times New Roman" w:eastAsia="Cambria" w:hAnsi="Times New Roman"/>
          <w:b/>
          <w:bCs/>
          <w:i/>
        </w:rPr>
        <w:t>vedením jednání s vyzvanými zájemci</w:t>
      </w:r>
    </w:p>
    <w:p w14:paraId="473D8B63" w14:textId="77777777" w:rsidR="00C40BA6" w:rsidRDefault="00C40BA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</w:t>
      </w:r>
      <w:r>
        <w:rPr>
          <w:rFonts w:ascii="Times New Roman" w:hAnsi="Times New Roman"/>
        </w:rPr>
        <w:t xml:space="preserve">písemné </w:t>
      </w:r>
      <w:r w:rsidRPr="00245E19">
        <w:rPr>
          <w:rFonts w:ascii="Times New Roman" w:hAnsi="Times New Roman"/>
        </w:rPr>
        <w:t>výzvy k</w:t>
      </w:r>
      <w:r>
        <w:rPr>
          <w:rFonts w:ascii="Times New Roman" w:hAnsi="Times New Roman"/>
        </w:rPr>
        <w:t> účasti v soutěžním dialogu</w:t>
      </w:r>
      <w:r w:rsidRPr="00245E19">
        <w:rPr>
          <w:rFonts w:ascii="Times New Roman" w:hAnsi="Times New Roman"/>
        </w:rPr>
        <w:t xml:space="preserve"> (dále také jen „</w:t>
      </w:r>
      <w:r>
        <w:rPr>
          <w:rFonts w:ascii="Times New Roman" w:hAnsi="Times New Roman"/>
        </w:rPr>
        <w:t xml:space="preserve">písemná </w:t>
      </w:r>
      <w:r w:rsidRPr="00245E19">
        <w:rPr>
          <w:rFonts w:ascii="Times New Roman" w:hAnsi="Times New Roman"/>
        </w:rPr>
        <w:t>výzva“)</w:t>
      </w:r>
      <w:r w:rsidRPr="00C40BA6">
        <w:rPr>
          <w:rFonts w:ascii="Times New Roman" w:hAnsi="Times New Roman"/>
        </w:rPr>
        <w:t>,</w:t>
      </w:r>
    </w:p>
    <w:p w14:paraId="1F193759" w14:textId="77777777" w:rsidR="00983DB4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3811E6">
        <w:rPr>
          <w:rFonts w:ascii="Times New Roman" w:hAnsi="Times New Roman"/>
        </w:rPr>
        <w:t xml:space="preserve">řízení </w:t>
      </w:r>
      <w:r>
        <w:rPr>
          <w:rFonts w:ascii="Times New Roman" w:hAnsi="Times New Roman"/>
        </w:rPr>
        <w:t xml:space="preserve">jednotlivých vedených </w:t>
      </w:r>
      <w:r w:rsidRPr="003811E6">
        <w:rPr>
          <w:rFonts w:ascii="Times New Roman" w:hAnsi="Times New Roman"/>
        </w:rPr>
        <w:t xml:space="preserve">jednání </w:t>
      </w:r>
      <w:r>
        <w:rPr>
          <w:rFonts w:ascii="Times New Roman" w:hAnsi="Times New Roman"/>
        </w:rPr>
        <w:t>s vyzvanými zájemci</w:t>
      </w:r>
      <w:r w:rsidRPr="003811E6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průběhu soutěžního dialogu,</w:t>
      </w:r>
    </w:p>
    <w:p w14:paraId="256D17C4" w14:textId="77777777" w:rsidR="003811E6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protokolů</w:t>
      </w:r>
      <w:r w:rsidRPr="00C40BA6">
        <w:rPr>
          <w:rFonts w:ascii="Times New Roman" w:hAnsi="Times New Roman"/>
        </w:rPr>
        <w:t xml:space="preserve"> o </w:t>
      </w:r>
      <w:r>
        <w:rPr>
          <w:rFonts w:ascii="Times New Roman" w:hAnsi="Times New Roman"/>
        </w:rPr>
        <w:t>každém jednání v soutěžním dialogu, z nichž bude patrný předmět a výsledek jednání,</w:t>
      </w:r>
    </w:p>
    <w:p w14:paraId="65358A26" w14:textId="77777777" w:rsidR="003811E6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zpracování oznámení o ukončení jednání v soutěžním dialogu a </w:t>
      </w:r>
      <w:r w:rsidRPr="003811E6">
        <w:rPr>
          <w:rFonts w:ascii="Times New Roman" w:hAnsi="Times New Roman"/>
        </w:rPr>
        <w:t xml:space="preserve">zajištění odeslání </w:t>
      </w:r>
      <w:r>
        <w:rPr>
          <w:rFonts w:ascii="Times New Roman" w:hAnsi="Times New Roman"/>
        </w:rPr>
        <w:t xml:space="preserve">tohoto </w:t>
      </w:r>
      <w:r w:rsidRPr="003811E6">
        <w:rPr>
          <w:rFonts w:ascii="Times New Roman" w:hAnsi="Times New Roman"/>
        </w:rPr>
        <w:t xml:space="preserve">oznámení </w:t>
      </w:r>
      <w:r>
        <w:rPr>
          <w:rFonts w:ascii="Times New Roman" w:hAnsi="Times New Roman"/>
        </w:rPr>
        <w:t>všem zájemcům, kteří byli vyzváni k účasti v soutěžním dialogu,</w:t>
      </w:r>
    </w:p>
    <w:p w14:paraId="5201CCBD" w14:textId="77777777" w:rsidR="003811E6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3811E6">
        <w:rPr>
          <w:rFonts w:ascii="Times New Roman" w:hAnsi="Times New Roman"/>
        </w:rPr>
        <w:t xml:space="preserve">vypracování podkladů pro rozhodnutí zadavatele o </w:t>
      </w:r>
      <w:r>
        <w:rPr>
          <w:rFonts w:ascii="Times New Roman" w:hAnsi="Times New Roman"/>
        </w:rPr>
        <w:t>vhodnosti řešení každého ze zájemců včetně odůvodnění,</w:t>
      </w:r>
    </w:p>
    <w:p w14:paraId="2A184EF2" w14:textId="77777777" w:rsidR="003811E6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výzvy k podání nabídky,</w:t>
      </w:r>
    </w:p>
    <w:p w14:paraId="01995D0E" w14:textId="77777777" w:rsidR="003811E6" w:rsidRPr="003811E6" w:rsidRDefault="003811E6" w:rsidP="00C40BA6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zadávacích podmínek podle výsledků jednání v soutěžním dialogu a </w:t>
      </w:r>
      <w:r w:rsidR="00CC3E79">
        <w:rPr>
          <w:rFonts w:ascii="Times New Roman" w:hAnsi="Times New Roman"/>
        </w:rPr>
        <w:t>její konzultace se zadavatelem.</w:t>
      </w:r>
    </w:p>
    <w:p w14:paraId="73938BF8" w14:textId="77777777" w:rsidR="008755FA" w:rsidRPr="00CC3E79" w:rsidRDefault="008755FA" w:rsidP="004A61A3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CC3E79">
        <w:rPr>
          <w:rFonts w:ascii="Times New Roman" w:eastAsia="Cambria" w:hAnsi="Times New Roman"/>
          <w:b/>
          <w:bCs/>
          <w:i/>
        </w:rPr>
        <w:t>Činnosti spojené s průběhem lhůty pro podání nabídek:</w:t>
      </w:r>
    </w:p>
    <w:p w14:paraId="7E6D9789" w14:textId="77777777" w:rsidR="008755FA" w:rsidRPr="00CC3E79" w:rsidRDefault="008755FA" w:rsidP="004A61A3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C3E79">
        <w:rPr>
          <w:rFonts w:ascii="Times New Roman" w:hAnsi="Times New Roman"/>
        </w:rPr>
        <w:t>předání zadávací dokumentace uchazečům, včetně zajištění předávacích protokolů a potvrzení o předání a převzetí zadávací dokumentace (pokud je to s ohledem na charakter a obsah zadávací dokumentace relevantní),</w:t>
      </w:r>
    </w:p>
    <w:p w14:paraId="4D5B6478" w14:textId="77777777" w:rsidR="008755FA" w:rsidRPr="00CC3E79" w:rsidRDefault="008755FA" w:rsidP="004A61A3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C3E79">
        <w:rPr>
          <w:rFonts w:ascii="Times New Roman" w:hAnsi="Times New Roman"/>
        </w:rPr>
        <w:t>příprava formulářů nutných a potřebný</w:t>
      </w:r>
      <w:r w:rsidR="00CC3E79">
        <w:rPr>
          <w:rFonts w:ascii="Times New Roman" w:hAnsi="Times New Roman"/>
        </w:rPr>
        <w:t>ch k řádnému průběhu komise pro </w:t>
      </w:r>
      <w:r w:rsidRPr="00CC3E79">
        <w:rPr>
          <w:rFonts w:ascii="Times New Roman" w:hAnsi="Times New Roman"/>
        </w:rPr>
        <w:t>otevírání obálek s nabídkami,</w:t>
      </w:r>
    </w:p>
    <w:p w14:paraId="462A399E" w14:textId="77777777" w:rsidR="007252D0" w:rsidRPr="007252D0" w:rsidRDefault="008755FA" w:rsidP="007252D0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CC3E79">
        <w:rPr>
          <w:rFonts w:ascii="Times New Roman" w:hAnsi="Times New Roman"/>
        </w:rPr>
        <w:t>příprava formulářů a podkladů nutných a potřebných k ř</w:t>
      </w:r>
      <w:r w:rsidR="00F66470">
        <w:rPr>
          <w:rFonts w:ascii="Times New Roman" w:hAnsi="Times New Roman"/>
        </w:rPr>
        <w:t>ádnému průběhu hodnotící komise.</w:t>
      </w:r>
    </w:p>
    <w:p w14:paraId="5CF13D0F" w14:textId="77777777" w:rsidR="008755FA" w:rsidRPr="00F66470" w:rsidRDefault="008755FA" w:rsidP="00BF424B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F66470">
        <w:rPr>
          <w:rFonts w:ascii="Times New Roman" w:eastAsia="Cambria" w:hAnsi="Times New Roman"/>
          <w:b/>
          <w:bCs/>
          <w:i/>
        </w:rPr>
        <w:t>Činnosti spojené s průběhem zadávací lhůty:</w:t>
      </w:r>
    </w:p>
    <w:p w14:paraId="2DC06069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jednání komise pro otevírání obálek s nabídkami,</w:t>
      </w:r>
    </w:p>
    <w:p w14:paraId="483F6E91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vlastního aktu otevírání obálek s nabídkami jednotlivých uchazečů,</w:t>
      </w:r>
    </w:p>
    <w:p w14:paraId="44818306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zpracování protokolu o jednání komise pro otevírání obálek s nabídkami včetně všech náležitostí a příloh,</w:t>
      </w:r>
    </w:p>
    <w:p w14:paraId="378C488F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lastRenderedPageBreak/>
        <w:t>zajištění oznámení vyloučení uchazečům, jejichž nabídky komise pro otevírání obálek s nabídkami vyřadila z další účasti v zadávacím řízení,</w:t>
      </w:r>
    </w:p>
    <w:p w14:paraId="1BC86573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jednání hodnotící komise,</w:t>
      </w:r>
    </w:p>
    <w:p w14:paraId="71E8BBE6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řízení hodnotící komise v průběhu jejích jednotlivých jednání,</w:t>
      </w:r>
    </w:p>
    <w:p w14:paraId="087D5F91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průběhu posuzování nabídek,</w:t>
      </w:r>
    </w:p>
    <w:p w14:paraId="4CC7FEA3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rozbor nabídek z hlediska splnění zadávacích podmínek,</w:t>
      </w:r>
    </w:p>
    <w:p w14:paraId="2F809F90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zpracování protokolu/ů o jednání hodnotící komise,</w:t>
      </w:r>
    </w:p>
    <w:p w14:paraId="747623D0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vyhotovení žádosti o písemné vysvětlení nabídky,</w:t>
      </w:r>
    </w:p>
    <w:p w14:paraId="7348CDDB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vyhotovení žádosti o písemné zdůvodnění mimořádně nízké nabídkové ceny,</w:t>
      </w:r>
    </w:p>
    <w:p w14:paraId="4B0E4EF5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zpracování podkladů pro rozhodnutí zadavatele o vyloučení uchazečů,</w:t>
      </w:r>
    </w:p>
    <w:p w14:paraId="7EF7E557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oznámení vyloučení uchazečům, jejichž nabídky hodnotící komise vyřadila z další účasti v zadávacím řízení,</w:t>
      </w:r>
    </w:p>
    <w:p w14:paraId="072640BB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vyřízení event. námitek proti rozhodnutí o vyloučení uchazeče,</w:t>
      </w:r>
    </w:p>
    <w:p w14:paraId="618DFECD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rozbor nabídek z hlediska hodnotících kritérií,</w:t>
      </w:r>
    </w:p>
    <w:p w14:paraId="1F74F982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průběhu hodnocení nabídek,</w:t>
      </w:r>
    </w:p>
    <w:p w14:paraId="6594AD71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 xml:space="preserve">zabezpečení příslušných hodnotících tabulek dle jednotlivých dílčích hodnotících kritérií a tabulky celkového pořadí, </w:t>
      </w:r>
    </w:p>
    <w:p w14:paraId="13CEB141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zajištění všech dalších potřebných a nutných jednání hodnotící komise, včetně zpracování protokolů o jednání hodnotící komise,</w:t>
      </w:r>
    </w:p>
    <w:p w14:paraId="7B72BEFC" w14:textId="77777777" w:rsidR="008755FA" w:rsidRPr="00F66470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66470">
        <w:rPr>
          <w:rFonts w:ascii="Times New Roman" w:hAnsi="Times New Roman"/>
        </w:rPr>
        <w:t>vypracování zprávy o posouzení a hodnocení nabídek.</w:t>
      </w:r>
    </w:p>
    <w:p w14:paraId="7C15C879" w14:textId="77777777" w:rsidR="008755FA" w:rsidRPr="00FA4E01" w:rsidRDefault="008755FA" w:rsidP="00BF424B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ukončením zadávacího řízení:</w:t>
      </w:r>
    </w:p>
    <w:p w14:paraId="6AB8BEC5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vypracování podkladů pro rozhodnutí zadavatele o výběru nejvhodnější nabídky,</w:t>
      </w:r>
    </w:p>
    <w:p w14:paraId="4C7B6C4C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zpracování oznámení o výběru nejvhodnější nabídky, </w:t>
      </w:r>
    </w:p>
    <w:p w14:paraId="35F68C8E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zajištění doručení oznámení o výběru nejvhodnější nabídky uchazečům, kteří nebyli ze zadávacího řízení vyloučeni,</w:t>
      </w:r>
    </w:p>
    <w:p w14:paraId="4E7B0178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vyřízení event. námitek proti rozhodnutí o výběru nejvhodnější nabídky,</w:t>
      </w:r>
    </w:p>
    <w:p w14:paraId="5FF44949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vyhotovení oznámení o výsledku zadávacího řízení na předepsaném formuláři a vyhotovení objednávky k uveřejnění </w:t>
      </w:r>
      <w:r w:rsidR="00FA4E01">
        <w:rPr>
          <w:rFonts w:ascii="Times New Roman" w:hAnsi="Times New Roman"/>
        </w:rPr>
        <w:t>ve Věstníku veřejných zakázek a </w:t>
      </w:r>
      <w:r w:rsidRPr="00FA4E01">
        <w:rPr>
          <w:rFonts w:ascii="Times New Roman" w:hAnsi="Times New Roman"/>
        </w:rPr>
        <w:t>Úředním věstníku Evropské unie,</w:t>
      </w:r>
    </w:p>
    <w:p w14:paraId="39AC568D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zpracování písemné zprávy zadavatele o průběhu zadávacího řízení,</w:t>
      </w:r>
    </w:p>
    <w:p w14:paraId="238141AE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v případě zrušení zadávacího řízení zajištění zpracování oznámení o zrušení zadávacího řízení a zajištění jeho zveřejnění.</w:t>
      </w:r>
    </w:p>
    <w:p w14:paraId="30C17D9D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zpracování vyjádření zadavatele k podanému návrhu k Úřadu pro ochranu pro hospodářské soutěže, </w:t>
      </w:r>
    </w:p>
    <w:p w14:paraId="09FCBBDE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řešení návrhu s Úřadem pro ochranu hospodářské soutěže, </w:t>
      </w:r>
    </w:p>
    <w:p w14:paraId="3FBFE03B" w14:textId="77777777" w:rsidR="008755FA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ukončení zadávacího řízení po vydání rozhodnutí Úřadem pro ochranu hospodářské soutěže o podaném návrhu.</w:t>
      </w:r>
    </w:p>
    <w:p w14:paraId="3F0A1432" w14:textId="77777777" w:rsidR="008755FA" w:rsidRPr="00FA4E01" w:rsidRDefault="008755FA" w:rsidP="00BF424B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kompletací dokumentace o veřejné zakázce a s </w:t>
      </w:r>
      <w:proofErr w:type="spellStart"/>
      <w:r w:rsidRPr="00FA4E01">
        <w:rPr>
          <w:rFonts w:ascii="Times New Roman" w:eastAsia="Cambria" w:hAnsi="Times New Roman"/>
          <w:b/>
          <w:bCs/>
          <w:i/>
        </w:rPr>
        <w:t>uveřejňovacími</w:t>
      </w:r>
      <w:proofErr w:type="spellEnd"/>
      <w:r w:rsidRPr="00FA4E01">
        <w:rPr>
          <w:rFonts w:ascii="Times New Roman" w:eastAsia="Cambria" w:hAnsi="Times New Roman"/>
          <w:b/>
          <w:bCs/>
          <w:i/>
        </w:rPr>
        <w:t xml:space="preserve"> povinnostmi zadavatele:</w:t>
      </w:r>
    </w:p>
    <w:p w14:paraId="00B59710" w14:textId="77777777" w:rsidR="008755FA" w:rsidRPr="00FA4E01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kompletace, uspořádání a předání veškeré dokumentace z průběhu zadávacího řízení zadavateli,</w:t>
      </w:r>
    </w:p>
    <w:p w14:paraId="5170EC92" w14:textId="77777777" w:rsidR="008755FA" w:rsidRDefault="008755FA" w:rsidP="00BF424B">
      <w:pPr>
        <w:numPr>
          <w:ilvl w:val="0"/>
          <w:numId w:val="8"/>
        </w:numPr>
        <w:tabs>
          <w:tab w:val="num" w:pos="1985"/>
        </w:tabs>
        <w:spacing w:after="0" w:line="280" w:lineRule="atLeast"/>
        <w:ind w:left="1985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právní podpora při plnění </w:t>
      </w:r>
      <w:proofErr w:type="spellStart"/>
      <w:r w:rsidRPr="00FA4E01">
        <w:rPr>
          <w:rFonts w:ascii="Times New Roman" w:hAnsi="Times New Roman"/>
        </w:rPr>
        <w:t>uveřejňovací</w:t>
      </w:r>
      <w:proofErr w:type="spellEnd"/>
      <w:r w:rsidRPr="00FA4E01">
        <w:rPr>
          <w:rFonts w:ascii="Times New Roman" w:hAnsi="Times New Roman"/>
        </w:rPr>
        <w:t xml:space="preserve"> povinnosti zadavatele dle § 147a odst. 1 písm. a) </w:t>
      </w:r>
      <w:r w:rsidR="00FA4E01">
        <w:rPr>
          <w:rFonts w:ascii="Times New Roman" w:hAnsi="Times New Roman"/>
        </w:rPr>
        <w:t>ZVZ</w:t>
      </w:r>
      <w:r w:rsidRPr="00FA4E01">
        <w:rPr>
          <w:rFonts w:ascii="Times New Roman" w:hAnsi="Times New Roman"/>
        </w:rPr>
        <w:t>.</w:t>
      </w:r>
    </w:p>
    <w:p w14:paraId="743079E0" w14:textId="77777777" w:rsidR="007252D0" w:rsidRDefault="007252D0" w:rsidP="000A1CB9">
      <w:pPr>
        <w:pStyle w:val="Nadpis1"/>
        <w:numPr>
          <w:ilvl w:val="2"/>
          <w:numId w:val="19"/>
        </w:numPr>
        <w:tabs>
          <w:tab w:val="left" w:pos="0"/>
        </w:tabs>
        <w:spacing w:after="0" w:line="280" w:lineRule="atLeast"/>
        <w:ind w:left="1418" w:hanging="698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lastRenderedPageBreak/>
        <w:t>průběžná právní podpora zadavatele spočí</w:t>
      </w:r>
      <w:r>
        <w:rPr>
          <w:rFonts w:ascii="Times New Roman" w:hAnsi="Times New Roman"/>
          <w:b w:val="0"/>
          <w:bCs w:val="0"/>
          <w:sz w:val="22"/>
          <w:szCs w:val="20"/>
        </w:rPr>
        <w:t>vající v poskytování konzultací</w:t>
      </w:r>
      <w:r w:rsidR="003A6CEC">
        <w:rPr>
          <w:rFonts w:ascii="Times New Roman" w:hAnsi="Times New Roman"/>
          <w:b w:val="0"/>
          <w:bCs w:val="0"/>
          <w:sz w:val="22"/>
          <w:szCs w:val="20"/>
        </w:rPr>
        <w:t>, analýz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a</w:t>
      </w:r>
      <w:r w:rsidR="003A6CEC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právních stanovisek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souvisejících </w:t>
      </w:r>
      <w:r w:rsidR="003A6CEC">
        <w:rPr>
          <w:rFonts w:ascii="Times New Roman" w:hAnsi="Times New Roman"/>
          <w:b w:val="0"/>
          <w:bCs w:val="0"/>
          <w:sz w:val="22"/>
          <w:szCs w:val="20"/>
        </w:rPr>
        <w:t xml:space="preserve">jak </w:t>
      </w:r>
      <w:r>
        <w:rPr>
          <w:rFonts w:ascii="Times New Roman" w:hAnsi="Times New Roman"/>
          <w:b w:val="0"/>
          <w:bCs w:val="0"/>
          <w:sz w:val="22"/>
          <w:szCs w:val="20"/>
        </w:rPr>
        <w:t>se zadáním Veřejné zakázky</w:t>
      </w:r>
      <w:r w:rsidR="003A6CEC">
        <w:rPr>
          <w:rFonts w:ascii="Times New Roman" w:hAnsi="Times New Roman"/>
          <w:b w:val="0"/>
          <w:bCs w:val="0"/>
          <w:sz w:val="22"/>
          <w:szCs w:val="20"/>
        </w:rPr>
        <w:t xml:space="preserve"> tak obecně s 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řešením </w:t>
      </w:r>
      <w:r w:rsidRPr="007252D0">
        <w:rPr>
          <w:rFonts w:ascii="Times New Roman" w:hAnsi="Times New Roman"/>
          <w:b w:val="0"/>
          <w:sz w:val="22"/>
          <w:szCs w:val="20"/>
        </w:rPr>
        <w:t xml:space="preserve">agendových </w:t>
      </w:r>
      <w:r w:rsidR="003A6CEC">
        <w:rPr>
          <w:rFonts w:ascii="Times New Roman" w:hAnsi="Times New Roman"/>
          <w:b w:val="0"/>
          <w:sz w:val="22"/>
          <w:szCs w:val="20"/>
        </w:rPr>
        <w:t xml:space="preserve">a dalších souvisejících či navazujících </w:t>
      </w:r>
      <w:r w:rsidRPr="007252D0">
        <w:rPr>
          <w:rFonts w:ascii="Times New Roman" w:hAnsi="Times New Roman"/>
          <w:b w:val="0"/>
          <w:sz w:val="22"/>
          <w:szCs w:val="20"/>
        </w:rPr>
        <w:t>informačních systémů</w:t>
      </w:r>
      <w:r w:rsidR="003A6CEC">
        <w:rPr>
          <w:rFonts w:ascii="Times New Roman" w:hAnsi="Times New Roman"/>
          <w:b w:val="0"/>
          <w:sz w:val="22"/>
          <w:szCs w:val="20"/>
        </w:rPr>
        <w:t xml:space="preserve">, </w:t>
      </w:r>
      <w:r w:rsidR="003A6CEC">
        <w:rPr>
          <w:rFonts w:ascii="Times New Roman" w:hAnsi="Times New Roman"/>
          <w:b w:val="0"/>
          <w:bCs w:val="0"/>
          <w:sz w:val="22"/>
          <w:szCs w:val="20"/>
        </w:rPr>
        <w:t>a </w:t>
      </w:r>
      <w:r w:rsidRPr="003A6CEC">
        <w:rPr>
          <w:rFonts w:ascii="Times New Roman" w:hAnsi="Times New Roman"/>
          <w:b w:val="0"/>
          <w:bCs w:val="0"/>
          <w:sz w:val="22"/>
          <w:szCs w:val="20"/>
        </w:rPr>
        <w:t>to v rozsahu max. 150 hodin;</w:t>
      </w:r>
    </w:p>
    <w:p w14:paraId="02C06DB5" w14:textId="77777777" w:rsidR="0074122C" w:rsidRPr="00684880" w:rsidRDefault="0074122C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2B3D5873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>Odměna Poradce a platební podmínky</w:t>
      </w:r>
    </w:p>
    <w:p w14:paraId="6B77073F" w14:textId="77777777" w:rsidR="00977154" w:rsidRDefault="00977154" w:rsidP="0046017A">
      <w:pPr>
        <w:pStyle w:val="Nadpis1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 poskytování plnění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0A1CB9">
        <w:rPr>
          <w:rFonts w:ascii="Times New Roman" w:hAnsi="Times New Roman"/>
          <w:b w:val="0"/>
          <w:sz w:val="22"/>
          <w:szCs w:val="20"/>
        </w:rPr>
        <w:t>945.000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proofErr w:type="spellStart"/>
      <w:r w:rsidR="000A1CB9">
        <w:rPr>
          <w:rFonts w:ascii="Times New Roman" w:hAnsi="Times New Roman"/>
          <w:b w:val="0"/>
          <w:sz w:val="22"/>
          <w:szCs w:val="20"/>
        </w:rPr>
        <w:t>devětsetčtyřicetpěttisíc</w:t>
      </w:r>
      <w:proofErr w:type="spellEnd"/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0A1CB9">
        <w:rPr>
          <w:rFonts w:ascii="Times New Roman" w:hAnsi="Times New Roman"/>
          <w:b w:val="0"/>
          <w:sz w:val="22"/>
          <w:szCs w:val="20"/>
        </w:rPr>
        <w:t>1.143.459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proofErr w:type="spellStart"/>
      <w:r w:rsidR="000A1CB9">
        <w:rPr>
          <w:rFonts w:ascii="Times New Roman" w:hAnsi="Times New Roman"/>
          <w:b w:val="0"/>
          <w:sz w:val="22"/>
          <w:szCs w:val="20"/>
        </w:rPr>
        <w:t>jedenmilionjednostočtyřicettřitisícčtyřistapadesát</w:t>
      </w:r>
      <w:proofErr w:type="spellEnd"/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včetně DPH. Výše DPH při sazbě </w:t>
      </w:r>
      <w:r w:rsidR="000A1CB9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0A1CB9">
        <w:rPr>
          <w:rFonts w:ascii="Times New Roman" w:hAnsi="Times New Roman"/>
          <w:b w:val="0"/>
          <w:sz w:val="22"/>
          <w:szCs w:val="20"/>
        </w:rPr>
        <w:t>198.450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,- Kč (slovy: </w:t>
      </w:r>
      <w:proofErr w:type="spellStart"/>
      <w:r w:rsidR="000A1CB9">
        <w:rPr>
          <w:rFonts w:ascii="Times New Roman" w:hAnsi="Times New Roman"/>
          <w:b w:val="0"/>
          <w:sz w:val="22"/>
          <w:szCs w:val="20"/>
        </w:rPr>
        <w:t>stodevadesátosmtisícčtyřistapadesát</w:t>
      </w:r>
      <w:proofErr w:type="spellEnd"/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českých).</w:t>
      </w:r>
    </w:p>
    <w:p w14:paraId="505DFA11" w14:textId="77777777" w:rsidR="00977154" w:rsidRDefault="00977154" w:rsidP="000944C1">
      <w:pPr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  <w:r w:rsidRPr="00977154">
        <w:rPr>
          <w:rFonts w:ascii="Times New Roman" w:hAnsi="Times New Roman"/>
          <w:bCs/>
          <w:kern w:val="32"/>
          <w:szCs w:val="20"/>
          <w:lang w:eastAsia="cs-CZ"/>
        </w:rPr>
        <w:t>Výše uvedená celková cena vychází z jednotlivých cen uvedených v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 následující </w:t>
      </w:r>
      <w:r w:rsidRPr="00977154">
        <w:rPr>
          <w:rFonts w:ascii="Times New Roman" w:hAnsi="Times New Roman"/>
          <w:bCs/>
          <w:kern w:val="32"/>
          <w:szCs w:val="20"/>
          <w:lang w:eastAsia="cs-CZ"/>
        </w:rPr>
        <w:t>tabulce</w:t>
      </w:r>
      <w:r>
        <w:rPr>
          <w:rFonts w:ascii="Times New Roman" w:hAnsi="Times New Roman"/>
          <w:bCs/>
          <w:kern w:val="32"/>
          <w:szCs w:val="20"/>
          <w:lang w:eastAsia="cs-CZ"/>
        </w:rPr>
        <w:t>:</w:t>
      </w: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977154" w:rsidRPr="0076411B" w14:paraId="4249B75E" w14:textId="77777777" w:rsidTr="00221460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404F3385" w14:textId="77777777" w:rsidR="00977154" w:rsidRPr="00221460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9784AE3" w14:textId="77777777" w:rsidR="0076411B" w:rsidRPr="00221460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Jednotková cena </w:t>
            </w:r>
          </w:p>
          <w:p w14:paraId="56DDAA93" w14:textId="77777777" w:rsidR="00977154" w:rsidRPr="00221460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 w:rsidR="00BF4EFA"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0E5A784" w14:textId="77777777" w:rsidR="00977154" w:rsidRPr="00221460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582BD3" w14:textId="77777777" w:rsidR="00BF4EFA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Celková cena </w:t>
            </w:r>
          </w:p>
          <w:p w14:paraId="32961253" w14:textId="77777777" w:rsidR="00977154" w:rsidRPr="00221460" w:rsidRDefault="00977154" w:rsidP="0022146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 w:rsidR="00BF4EFA"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</w:tr>
      <w:tr w:rsidR="00DA63AD" w:rsidRPr="0076411B" w14:paraId="7F75A8A1" w14:textId="77777777" w:rsidTr="00221460">
        <w:tc>
          <w:tcPr>
            <w:tcW w:w="3129" w:type="dxa"/>
            <w:vAlign w:val="center"/>
          </w:tcPr>
          <w:p w14:paraId="210C7A5A" w14:textId="77777777" w:rsidR="00DA63AD" w:rsidRPr="00221460" w:rsidRDefault="00DA63AD" w:rsidP="00132E54">
            <w:pPr>
              <w:pStyle w:val="Zkladntext"/>
              <w:spacing w:before="60" w:after="60" w:line="280" w:lineRule="atLeast"/>
              <w:jc w:val="both"/>
              <w:rPr>
                <w:rFonts w:ascii="Times New Roman" w:hAnsi="Times New Roman"/>
              </w:rPr>
            </w:pPr>
            <w:r w:rsidRPr="00221460">
              <w:rPr>
                <w:rFonts w:ascii="Times New Roman" w:hAnsi="Times New Roman"/>
              </w:rPr>
              <w:t xml:space="preserve">Komplexní administrativní a právní </w:t>
            </w:r>
            <w:r w:rsidRPr="00132E54">
              <w:rPr>
                <w:rFonts w:ascii="Times New Roman" w:hAnsi="Times New Roman"/>
              </w:rPr>
              <w:t xml:space="preserve">zajištěním </w:t>
            </w:r>
            <w:r w:rsidR="00132E54" w:rsidRPr="00132E54">
              <w:rPr>
                <w:rFonts w:ascii="Times New Roman" w:hAnsi="Times New Roman"/>
                <w:b/>
              </w:rPr>
              <w:t>soutěžního dialogu</w:t>
            </w:r>
            <w:r w:rsidRPr="00132E54">
              <w:rPr>
                <w:rFonts w:ascii="Times New Roman" w:hAnsi="Times New Roman"/>
                <w:b/>
              </w:rPr>
              <w:t xml:space="preserve"> </w:t>
            </w:r>
            <w:r w:rsidRPr="00132E54">
              <w:rPr>
                <w:rFonts w:ascii="Times New Roman" w:hAnsi="Times New Roman"/>
              </w:rPr>
              <w:t xml:space="preserve">dle </w:t>
            </w:r>
            <w:r w:rsidR="003A6CEC">
              <w:rPr>
                <w:rFonts w:ascii="Times New Roman" w:hAnsi="Times New Roman"/>
              </w:rPr>
              <w:t>bodu 2.1.1.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76BE8311" w14:textId="77777777" w:rsidR="00DA63AD" w:rsidRPr="00221460" w:rsidRDefault="000A1CB9" w:rsidP="00B85C33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</w:t>
            </w:r>
            <w:r w:rsidR="00DA63AD">
              <w:rPr>
                <w:rFonts w:ascii="Times New Roman" w:hAnsi="Times New Roman"/>
                <w:color w:val="000000"/>
              </w:rPr>
              <w:t>,-</w:t>
            </w:r>
          </w:p>
        </w:tc>
        <w:tc>
          <w:tcPr>
            <w:tcW w:w="1701" w:type="dxa"/>
            <w:vAlign w:val="center"/>
          </w:tcPr>
          <w:p w14:paraId="05B7221C" w14:textId="77777777" w:rsidR="00DA63AD" w:rsidRPr="00221460" w:rsidRDefault="00DA63AD" w:rsidP="00B85C33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  <w:color w:val="000000"/>
              </w:rPr>
              <w:t>1 x</w:t>
            </w:r>
          </w:p>
        </w:tc>
        <w:tc>
          <w:tcPr>
            <w:tcW w:w="1701" w:type="dxa"/>
            <w:vAlign w:val="center"/>
          </w:tcPr>
          <w:p w14:paraId="5DA43442" w14:textId="77777777" w:rsidR="00DA63AD" w:rsidRPr="00221460" w:rsidRDefault="000A1CB9" w:rsidP="00B85C33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</w:t>
            </w:r>
            <w:r w:rsidR="00DA63AD">
              <w:rPr>
                <w:rFonts w:ascii="Times New Roman" w:hAnsi="Times New Roman"/>
                <w:color w:val="000000"/>
              </w:rPr>
              <w:t>,-</w:t>
            </w:r>
          </w:p>
        </w:tc>
      </w:tr>
      <w:tr w:rsidR="003A6CEC" w:rsidRPr="0076411B" w14:paraId="0CCC582F" w14:textId="77777777" w:rsidTr="00221460">
        <w:tc>
          <w:tcPr>
            <w:tcW w:w="3129" w:type="dxa"/>
            <w:vAlign w:val="center"/>
          </w:tcPr>
          <w:p w14:paraId="5FD334D4" w14:textId="77777777" w:rsidR="003A6CEC" w:rsidRPr="00221460" w:rsidRDefault="003A6CEC" w:rsidP="000E7D33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Právní podpora dle bodu 2.1.2.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449E8B19" w14:textId="77777777" w:rsidR="003A6CEC" w:rsidRPr="00221460" w:rsidRDefault="000A1CB9" w:rsidP="000E7D33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</w:t>
            </w:r>
            <w:r w:rsidR="003A6CEC">
              <w:rPr>
                <w:rFonts w:ascii="Times New Roman" w:hAnsi="Times New Roman"/>
                <w:color w:val="000000"/>
              </w:rPr>
              <w:t>,-</w:t>
            </w:r>
          </w:p>
        </w:tc>
        <w:tc>
          <w:tcPr>
            <w:tcW w:w="1701" w:type="dxa"/>
            <w:vAlign w:val="center"/>
          </w:tcPr>
          <w:p w14:paraId="114B0F02" w14:textId="77777777" w:rsidR="003A6CEC" w:rsidRPr="00221460" w:rsidRDefault="003A6CEC" w:rsidP="000E7D33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 w:rsidRPr="00221460">
              <w:rPr>
                <w:rFonts w:ascii="Times New Roman" w:hAnsi="Times New Roman"/>
                <w:color w:val="000000"/>
              </w:rPr>
              <w:t xml:space="preserve">150 hodin </w:t>
            </w:r>
          </w:p>
        </w:tc>
        <w:tc>
          <w:tcPr>
            <w:tcW w:w="1701" w:type="dxa"/>
            <w:vAlign w:val="center"/>
          </w:tcPr>
          <w:p w14:paraId="078B79CD" w14:textId="77777777" w:rsidR="003A6CEC" w:rsidRPr="00221460" w:rsidRDefault="000A1CB9" w:rsidP="000E7D33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375.000</w:t>
            </w:r>
            <w:r w:rsidR="003A6CEC">
              <w:rPr>
                <w:rFonts w:ascii="Times New Roman" w:hAnsi="Times New Roman"/>
                <w:color w:val="000000"/>
              </w:rPr>
              <w:t>,-</w:t>
            </w:r>
          </w:p>
        </w:tc>
      </w:tr>
      <w:tr w:rsidR="003A6CEC" w:rsidRPr="0076411B" w14:paraId="0C5150A0" w14:textId="77777777" w:rsidTr="00221460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165FCB15" w14:textId="77777777" w:rsidR="003A6CEC" w:rsidRPr="00221460" w:rsidRDefault="003A6CEC" w:rsidP="00FD5CC8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  <w:b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FEAD75" w14:textId="77777777" w:rsidR="003A6CEC" w:rsidRPr="00221460" w:rsidRDefault="000A1CB9" w:rsidP="00FD5CC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945.000</w:t>
            </w:r>
            <w:r w:rsidR="003A6CEC">
              <w:rPr>
                <w:rFonts w:ascii="Times New Roman" w:hAnsi="Times New Roman"/>
                <w:color w:val="000000"/>
              </w:rPr>
              <w:t>,-</w:t>
            </w:r>
          </w:p>
        </w:tc>
      </w:tr>
    </w:tbl>
    <w:p w14:paraId="268ECBFD" w14:textId="77777777" w:rsidR="00FD5CC8" w:rsidRPr="00FD5CC8" w:rsidRDefault="003A6CEC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3A6CEC">
        <w:rPr>
          <w:rFonts w:ascii="Times New Roman" w:hAnsi="Times New Roman"/>
          <w:b w:val="0"/>
          <w:sz w:val="22"/>
          <w:szCs w:val="22"/>
        </w:rPr>
        <w:t xml:space="preserve">Odměnu za právní služby </w:t>
      </w:r>
      <w:r w:rsidRPr="003A6CEC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komplexním administrativním a právním zajištěním zadávacího řízení (dle bodu </w:t>
      </w:r>
      <w:r>
        <w:rPr>
          <w:rFonts w:ascii="Times New Roman" w:hAnsi="Times New Roman"/>
          <w:b w:val="0"/>
          <w:sz w:val="22"/>
          <w:szCs w:val="22"/>
        </w:rPr>
        <w:t>2.1.1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. této Dílčí smlouvy) je poradce oprávněn účtovat po jejich poskytnutí, tj. po ukončení administrovaného zadávacího řízení (po předání veškeré dokumentace k tomuto zadávacímu řízení). </w:t>
      </w:r>
      <w:r w:rsidR="003B1998">
        <w:rPr>
          <w:rFonts w:ascii="Times New Roman" w:hAnsi="Times New Roman"/>
          <w:b w:val="0"/>
          <w:sz w:val="22"/>
          <w:szCs w:val="22"/>
        </w:rPr>
        <w:t>O</w:t>
      </w:r>
      <w:r w:rsidR="003B1998" w:rsidRPr="003B1998">
        <w:rPr>
          <w:rFonts w:ascii="Times New Roman" w:hAnsi="Times New Roman"/>
          <w:b w:val="0"/>
          <w:sz w:val="22"/>
          <w:szCs w:val="22"/>
        </w:rPr>
        <w:t>dměnu za poskytnutou právní podporu (dle bodu 2.1.2</w:t>
      </w:r>
      <w:r w:rsidR="003B1998">
        <w:rPr>
          <w:rFonts w:ascii="Times New Roman" w:hAnsi="Times New Roman"/>
          <w:b w:val="0"/>
          <w:sz w:val="22"/>
          <w:szCs w:val="22"/>
        </w:rPr>
        <w:t>.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>
        <w:rPr>
          <w:rFonts w:ascii="Times New Roman" w:hAnsi="Times New Roman"/>
          <w:b w:val="0"/>
          <w:sz w:val="22"/>
          <w:szCs w:val="22"/>
        </w:rPr>
        <w:t>),</w:t>
      </w:r>
      <w:r>
        <w:rPr>
          <w:rFonts w:ascii="Times New Roman" w:hAnsi="Times New Roman"/>
          <w:b w:val="0"/>
          <w:sz w:val="22"/>
          <w:szCs w:val="22"/>
        </w:rPr>
        <w:t xml:space="preserve"> je </w:t>
      </w:r>
      <w:r w:rsidR="003B1998">
        <w:rPr>
          <w:rFonts w:ascii="Times New Roman" w:hAnsi="Times New Roman"/>
          <w:b w:val="0"/>
          <w:sz w:val="22"/>
          <w:szCs w:val="22"/>
        </w:rPr>
        <w:t xml:space="preserve">poradce </w:t>
      </w:r>
      <w:r>
        <w:rPr>
          <w:rFonts w:ascii="Times New Roman" w:hAnsi="Times New Roman"/>
          <w:b w:val="0"/>
          <w:sz w:val="22"/>
          <w:szCs w:val="22"/>
        </w:rPr>
        <w:t xml:space="preserve">oprávněn účtovat </w:t>
      </w:r>
      <w:r w:rsidR="00FD5CC8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>
        <w:rPr>
          <w:rFonts w:ascii="Times New Roman" w:hAnsi="Times New Roman"/>
          <w:b w:val="0"/>
          <w:sz w:val="22"/>
          <w:szCs w:val="22"/>
        </w:rPr>
        <w:t>služby</w:t>
      </w:r>
      <w:r w:rsidR="00FD5CC8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měsíci. </w:t>
      </w:r>
    </w:p>
    <w:p w14:paraId="4F3475C9" w14:textId="77777777" w:rsidR="00DF1214" w:rsidRPr="00FD5CC8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a poradenství </w:t>
      </w:r>
      <w:r w:rsidR="00577226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2A9787CC" w14:textId="77777777" w:rsidR="003B1998" w:rsidRPr="003B1998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="003B1998" w:rsidRPr="003B1998">
        <w:rPr>
          <w:rFonts w:ascii="Times New Roman" w:hAnsi="Times New Roman"/>
          <w:b w:val="0"/>
          <w:sz w:val="22"/>
          <w:szCs w:val="22"/>
        </w:rPr>
        <w:t>komplexním administrativním a právním zajištěním zadávacího řízení (dle bodu 2.1.1. této Dílčí smlouvy)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Poradcem vystavena řádně v souladu s § 11 odst. 1 zákona č. 563/1991 Sb., o účetnictví, ve znění pozdějších předpisů a bude obsahovat náležitosti řádného daňového dokladu dle § 28 zákona č. 235/2004 Sb., o dani z přidané hodnoty, ve znění pozdějších předpisů. Faktury budou vždy označeny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„Uzavření rámcové smlouvy na poskytování právních služeb pro MPSV – 1.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Veřejné zakázky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A4E01" w:rsidRPr="003B1998">
        <w:rPr>
          <w:rFonts w:ascii="Times New Roman" w:hAnsi="Times New Roman"/>
          <w:b w:val="0"/>
          <w:bCs w:val="0"/>
          <w:sz w:val="22"/>
          <w:szCs w:val="22"/>
        </w:rPr>
        <w:t>dle bodu 2.1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této D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ílčí smlouvy.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1241668B" w14:textId="77777777" w:rsidR="00DF1214" w:rsidRPr="003B1998" w:rsidRDefault="003B1998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Faktury </w:t>
      </w:r>
      <w:r w:rsidRPr="003B1998">
        <w:rPr>
          <w:rFonts w:ascii="Times New Roman" w:hAnsi="Times New Roman"/>
          <w:b w:val="0"/>
          <w:sz w:val="22"/>
          <w:szCs w:val="22"/>
        </w:rPr>
        <w:t>za právní služby dle bodu 2.1.2</w:t>
      </w:r>
      <w:r>
        <w:rPr>
          <w:rFonts w:ascii="Times New Roman" w:hAnsi="Times New Roman"/>
          <w:b w:val="0"/>
          <w:sz w:val="22"/>
          <w:szCs w:val="22"/>
        </w:rPr>
        <w:t>.</w:t>
      </w:r>
      <w:r w:rsidRPr="003B1998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budou Poradcem vystaveny</w:t>
      </w:r>
      <w:r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 řádně v souladu s § 11 odst. 1 zákona č. 563/1991 Sb., o účetnictví,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bude obsahovat náležitosti řádného daňového dokladu dle § 28 zákona č. 235/2004 Sb., o dani z přidané hodnoty, ve znění pozdějších předpisů. </w:t>
      </w:r>
      <w:r w:rsidR="00DF1214"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Přílohou každé faktury bude </w:t>
      </w:r>
      <w:r w:rsidR="00881600"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výkaz skutečně odpracovaného času, </w:t>
      </w:r>
      <w:r w:rsidR="007B101E"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výkaz provedených činností, </w:t>
      </w:r>
      <w:r w:rsidR="00881600" w:rsidRPr="003B1998">
        <w:rPr>
          <w:rFonts w:ascii="Times New Roman" w:hAnsi="Times New Roman"/>
          <w:b w:val="0"/>
          <w:bCs w:val="0"/>
          <w:sz w:val="22"/>
          <w:szCs w:val="20"/>
        </w:rPr>
        <w:t xml:space="preserve">příp. </w:t>
      </w:r>
      <w:r w:rsidR="00DF1214" w:rsidRPr="003B1998">
        <w:rPr>
          <w:rFonts w:ascii="Times New Roman" w:hAnsi="Times New Roman"/>
          <w:b w:val="0"/>
          <w:bCs w:val="0"/>
          <w:sz w:val="22"/>
          <w:szCs w:val="20"/>
        </w:rPr>
        <w:t>podepsaný protokol o předání veškeré dokumentace.</w:t>
      </w:r>
    </w:p>
    <w:p w14:paraId="72079645" w14:textId="77777777" w:rsidR="00DF1214" w:rsidRPr="00FD5CC8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lastRenderedPageBreak/>
        <w:t>V případě, že faktura nebude mít náležitosti daňového dokladu nebo nebude obsahovat správné údaje, je Objednatel oprávněn takovou fakturu vrátit Poradci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281CC29D" w14:textId="77777777" w:rsidR="00DF1214" w:rsidRPr="00FD5CC8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 90 kalendářních dnů od jejího doručení. Faktura, je považována za uhrazenou dnem odepsání příslušné částky z účtu Objednatele a jejím přesměrováním na účet Poradce.</w:t>
      </w:r>
    </w:p>
    <w:p w14:paraId="7262CA16" w14:textId="77777777" w:rsidR="00DF1214" w:rsidRPr="00FD5CC8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 a poradenství.</w:t>
      </w:r>
    </w:p>
    <w:p w14:paraId="52EFB204" w14:textId="77777777" w:rsidR="00DF1214" w:rsidRDefault="00DF1214" w:rsidP="0046017A">
      <w:pPr>
        <w:pStyle w:val="Nadpis1"/>
        <w:keepNext w:val="0"/>
        <w:widowControl w:val="0"/>
        <w:numPr>
          <w:ilvl w:val="1"/>
          <w:numId w:val="2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V případě, že v průběhu plnění na základě této 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>ke dni podpisu této smlouvy, zvýšena nebo snížena, bude poskytovatel účtovat k ceně plnění daň podle aktuálního znění zákona.</w:t>
      </w:r>
    </w:p>
    <w:p w14:paraId="508D1F64" w14:textId="77777777" w:rsidR="008D6BD6" w:rsidRPr="00684880" w:rsidRDefault="008D6BD6" w:rsidP="00807D9C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50FA144C" w14:textId="77777777" w:rsidR="008D6BD6" w:rsidRPr="00977154" w:rsidRDefault="008D6BD6" w:rsidP="008D6BD6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24E980B3" w14:textId="77777777" w:rsidR="008D6BD6" w:rsidRPr="008D6BD6" w:rsidRDefault="008D6BD6" w:rsidP="000A1CB9">
      <w:pPr>
        <w:pStyle w:val="Nadpis1"/>
        <w:numPr>
          <w:ilvl w:val="1"/>
          <w:numId w:val="1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8D6BD6">
        <w:rPr>
          <w:rFonts w:ascii="Times New Roman" w:hAnsi="Times New Roman"/>
          <w:b w:val="0"/>
          <w:color w:val="000000"/>
          <w:sz w:val="22"/>
          <w:szCs w:val="22"/>
        </w:rPr>
        <w:t>Tato Smlouva se uzavírá na dobu určitou</w:t>
      </w:r>
      <w:r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do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ukončení administr</w:t>
      </w:r>
      <w:r>
        <w:rPr>
          <w:rFonts w:ascii="Times New Roman" w:hAnsi="Times New Roman"/>
          <w:b w:val="0"/>
          <w:color w:val="000000"/>
          <w:sz w:val="22"/>
          <w:szCs w:val="22"/>
        </w:rPr>
        <w:t>ovaného zadávací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h</w:t>
      </w:r>
      <w:r>
        <w:rPr>
          <w:rFonts w:ascii="Times New Roman" w:hAnsi="Times New Roman"/>
          <w:b w:val="0"/>
          <w:color w:val="000000"/>
          <w:sz w:val="22"/>
          <w:szCs w:val="22"/>
        </w:rPr>
        <w:t>o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řízení a splnění všech povinností </w:t>
      </w:r>
      <w:r>
        <w:rPr>
          <w:rFonts w:ascii="Times New Roman" w:hAnsi="Times New Roman"/>
          <w:b w:val="0"/>
          <w:color w:val="000000"/>
          <w:sz w:val="22"/>
          <w:szCs w:val="22"/>
        </w:rPr>
        <w:t>Poradce, tj. předání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dokumentace o </w:t>
      </w:r>
      <w:r>
        <w:rPr>
          <w:rFonts w:ascii="Times New Roman" w:hAnsi="Times New Roman"/>
          <w:b w:val="0"/>
          <w:color w:val="000000"/>
          <w:sz w:val="22"/>
          <w:szCs w:val="22"/>
        </w:rPr>
        <w:t>veřejné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zakáz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ce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a následným zaplacením odměny.</w:t>
      </w:r>
    </w:p>
    <w:p w14:paraId="2CFB2BBE" w14:textId="77777777" w:rsidR="00435358" w:rsidRPr="00684880" w:rsidRDefault="00435358" w:rsidP="00807D9C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3AC9F443" w14:textId="77777777" w:rsidR="00435358" w:rsidRPr="00977154" w:rsidRDefault="008D6BD6" w:rsidP="00435358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70AC78D1" w14:textId="77777777" w:rsidR="00435358" w:rsidRDefault="00786987" w:rsidP="000A1CB9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23A3D8E6" w14:textId="77777777" w:rsidR="00786987" w:rsidRDefault="00786987" w:rsidP="000A1CB9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>jeden (1) Poradce.</w:t>
      </w:r>
    </w:p>
    <w:p w14:paraId="5FC4A37A" w14:textId="77777777" w:rsidR="00786987" w:rsidRDefault="00786987" w:rsidP="000A1CB9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27C48BFA" w14:textId="77777777" w:rsidTr="00960EBE">
        <w:tc>
          <w:tcPr>
            <w:tcW w:w="4605" w:type="dxa"/>
          </w:tcPr>
          <w:p w14:paraId="15C07ACE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1433F181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Poradce</w:t>
            </w:r>
          </w:p>
        </w:tc>
      </w:tr>
      <w:tr w:rsidR="00960EBE" w14:paraId="4A3C4F1D" w14:textId="77777777" w:rsidTr="00960EBE">
        <w:tc>
          <w:tcPr>
            <w:tcW w:w="4605" w:type="dxa"/>
          </w:tcPr>
          <w:p w14:paraId="3A3AAC72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F654D9" w14:textId="77777777" w:rsidR="00960EBE" w:rsidRPr="00423B93" w:rsidRDefault="00960EBE" w:rsidP="000A1CB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0A1CB9">
              <w:rPr>
                <w:rFonts w:ascii="Times New Roman" w:hAnsi="Times New Roman"/>
              </w:rPr>
              <w:t>Praze dne 12.6</w:t>
            </w:r>
            <w:r w:rsidRPr="00423B93">
              <w:rPr>
                <w:rFonts w:ascii="Times New Roman" w:hAnsi="Times New Roman"/>
              </w:rPr>
              <w:t>.</w:t>
            </w:r>
            <w:r w:rsidR="000A1CB9">
              <w:rPr>
                <w:rFonts w:ascii="Times New Roman" w:hAnsi="Times New Roman"/>
              </w:rPr>
              <w:t>2013</w:t>
            </w:r>
          </w:p>
        </w:tc>
        <w:tc>
          <w:tcPr>
            <w:tcW w:w="4605" w:type="dxa"/>
          </w:tcPr>
          <w:p w14:paraId="4021F4F4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1BF12AC" w14:textId="77777777" w:rsidR="00960EBE" w:rsidRPr="00423B93" w:rsidRDefault="00960EBE" w:rsidP="000A1CB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0A1CB9">
              <w:rPr>
                <w:rFonts w:ascii="Times New Roman" w:hAnsi="Times New Roman"/>
              </w:rPr>
              <w:t>Praze dne 11.6.2013</w:t>
            </w:r>
          </w:p>
        </w:tc>
      </w:tr>
      <w:tr w:rsidR="00960EBE" w14:paraId="622F1AE1" w14:textId="77777777" w:rsidTr="00960EBE">
        <w:tc>
          <w:tcPr>
            <w:tcW w:w="4605" w:type="dxa"/>
          </w:tcPr>
          <w:p w14:paraId="06B3E47B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E50E719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0BE8E90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696FF40A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06F219A6" w14:textId="77777777" w:rsidR="00960EBE" w:rsidRPr="00423B93" w:rsidRDefault="00960EBE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Petr Krůček</w:t>
            </w:r>
          </w:p>
          <w:p w14:paraId="10CEAC01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A650B9">
              <w:rPr>
                <w:rFonts w:ascii="Times New Roman" w:hAnsi="Times New Roman"/>
                <w:sz w:val="24"/>
              </w:rPr>
              <w:t>I. náměst</w:t>
            </w:r>
            <w:r>
              <w:rPr>
                <w:rFonts w:ascii="Times New Roman" w:hAnsi="Times New Roman"/>
                <w:sz w:val="24"/>
              </w:rPr>
              <w:t>e</w:t>
            </w:r>
            <w:r w:rsidRPr="00A650B9">
              <w:rPr>
                <w:rFonts w:ascii="Times New Roman" w:hAnsi="Times New Roman"/>
                <w:sz w:val="24"/>
              </w:rPr>
              <w:t>k ministr</w:t>
            </w:r>
            <w:r>
              <w:rPr>
                <w:rFonts w:ascii="Times New Roman" w:hAnsi="Times New Roman"/>
                <w:sz w:val="24"/>
              </w:rPr>
              <w:t>yně</w:t>
            </w:r>
          </w:p>
        </w:tc>
        <w:tc>
          <w:tcPr>
            <w:tcW w:w="4605" w:type="dxa"/>
          </w:tcPr>
          <w:p w14:paraId="63A96CC4" w14:textId="77777777" w:rsidR="00960EBE" w:rsidRDefault="00960EBE" w:rsidP="000A1CB9">
            <w:pPr>
              <w:widowControl w:val="0"/>
              <w:spacing w:line="280" w:lineRule="atLeast"/>
              <w:rPr>
                <w:rFonts w:ascii="Times New Roman" w:hAnsi="Times New Roman"/>
              </w:rPr>
            </w:pPr>
          </w:p>
          <w:p w14:paraId="75BE8333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8BC403A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8F8BEEB" w14:textId="77777777" w:rsidR="000A1CB9" w:rsidRPr="000A1CB9" w:rsidRDefault="000A1CB9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0A1CB9">
              <w:rPr>
                <w:rFonts w:ascii="Times New Roman" w:hAnsi="Times New Roman"/>
                <w:b/>
                <w:bCs/>
                <w:iCs/>
              </w:rPr>
              <w:t>Havel, Holásek</w:t>
            </w:r>
            <w:r w:rsidRPr="000A1CB9">
              <w:rPr>
                <w:rFonts w:ascii="Times New Roman" w:hAnsi="Times New Roman"/>
                <w:b/>
                <w:szCs w:val="20"/>
              </w:rPr>
              <w:t xml:space="preserve">&amp; Partners s.r.o., </w:t>
            </w:r>
          </w:p>
          <w:p w14:paraId="59C13302" w14:textId="77777777" w:rsidR="00960EBE" w:rsidRPr="000A1CB9" w:rsidRDefault="000A1CB9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A1CB9">
              <w:rPr>
                <w:rFonts w:ascii="Times New Roman" w:hAnsi="Times New Roman"/>
                <w:b/>
                <w:szCs w:val="20"/>
              </w:rPr>
              <w:t>Advokátní kancelář</w:t>
            </w:r>
          </w:p>
          <w:p w14:paraId="63CEB44F" w14:textId="77777777" w:rsidR="00960EBE" w:rsidRPr="000A1CB9" w:rsidRDefault="000A1CB9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0A1CB9">
              <w:rPr>
                <w:rFonts w:ascii="Times New Roman" w:hAnsi="Times New Roman"/>
                <w:bCs/>
                <w:iCs/>
              </w:rPr>
              <w:t xml:space="preserve">Mgr. Robert </w:t>
            </w:r>
            <w:proofErr w:type="spellStart"/>
            <w:r w:rsidRPr="000A1CB9">
              <w:rPr>
                <w:rFonts w:ascii="Times New Roman" w:hAnsi="Times New Roman"/>
                <w:bCs/>
                <w:iCs/>
              </w:rPr>
              <w:t>Nešpůrek</w:t>
            </w:r>
            <w:proofErr w:type="spellEnd"/>
            <w:r w:rsidRPr="000A1CB9">
              <w:rPr>
                <w:rFonts w:ascii="Times New Roman" w:hAnsi="Times New Roman"/>
                <w:bCs/>
                <w:iCs/>
              </w:rPr>
              <w:t>, LL.M.</w:t>
            </w:r>
          </w:p>
          <w:p w14:paraId="0BE819B6" w14:textId="77777777" w:rsidR="000A1CB9" w:rsidRPr="00423B93" w:rsidRDefault="000A1CB9" w:rsidP="000A1CB9">
            <w:pPr>
              <w:widowControl w:val="0"/>
              <w:jc w:val="center"/>
              <w:rPr>
                <w:rFonts w:ascii="Times New Roman" w:hAnsi="Times New Roman"/>
              </w:rPr>
            </w:pPr>
            <w:r w:rsidRPr="000A1CB9">
              <w:rPr>
                <w:rFonts w:ascii="Times New Roman" w:hAnsi="Times New Roman"/>
                <w:bCs/>
                <w:iCs/>
              </w:rPr>
              <w:t>jednatel</w:t>
            </w:r>
          </w:p>
        </w:tc>
      </w:tr>
    </w:tbl>
    <w:p w14:paraId="442719AE" w14:textId="77777777" w:rsidR="00CE6755" w:rsidRPr="000A1CB9" w:rsidRDefault="00CE6755" w:rsidP="000A1CB9">
      <w:pPr>
        <w:pStyle w:val="Nadpis1"/>
        <w:widowControl w:val="0"/>
        <w:numPr>
          <w:ilvl w:val="0"/>
          <w:numId w:val="0"/>
        </w:numPr>
        <w:tabs>
          <w:tab w:val="left" w:pos="0"/>
        </w:tabs>
        <w:spacing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0A1CB9" w:rsidSect="00A74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0E6C" w14:textId="77777777" w:rsidR="0064560C" w:rsidRDefault="0064560C" w:rsidP="00BB0DF9">
      <w:pPr>
        <w:spacing w:after="0" w:line="240" w:lineRule="auto"/>
      </w:pPr>
      <w:r>
        <w:separator/>
      </w:r>
    </w:p>
  </w:endnote>
  <w:endnote w:type="continuationSeparator" w:id="0">
    <w:p w14:paraId="784E68DC" w14:textId="77777777" w:rsidR="0064560C" w:rsidRDefault="0064560C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9CEE0" w14:textId="77777777" w:rsidR="00A74D76" w:rsidRDefault="00A74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A8A443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7CB27F12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6017A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6017A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66C1CDF2" w14:textId="77777777" w:rsidR="000B7516" w:rsidRPr="000B7516" w:rsidRDefault="00622E17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3406B939" w14:textId="77777777" w:rsidR="000B7516" w:rsidRDefault="000B75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8B4E" w14:textId="77777777" w:rsidR="00A74D76" w:rsidRDefault="00A74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104A" w14:textId="77777777" w:rsidR="0064560C" w:rsidRDefault="0064560C" w:rsidP="00BB0DF9">
      <w:pPr>
        <w:spacing w:after="0" w:line="240" w:lineRule="auto"/>
      </w:pPr>
      <w:r>
        <w:separator/>
      </w:r>
    </w:p>
  </w:footnote>
  <w:footnote w:type="continuationSeparator" w:id="0">
    <w:p w14:paraId="55A8594E" w14:textId="77777777" w:rsidR="0064560C" w:rsidRDefault="0064560C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9457" w14:textId="77777777" w:rsidR="00A74D76" w:rsidRDefault="00A74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33BFD" w14:textId="77777777" w:rsidR="00A74D76" w:rsidRDefault="00A74D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D1C" w14:textId="77777777" w:rsidR="00BB0DF9" w:rsidRPr="001C4C46" w:rsidRDefault="00BB0DF9" w:rsidP="00BB0DF9">
    <w:pPr>
      <w:pStyle w:val="Zhlav"/>
      <w:jc w:val="center"/>
      <w:rPr>
        <w:rFonts w:ascii="Times New Roman" w:hAnsi="Times New Roman"/>
        <w:bCs/>
        <w:sz w:val="16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Pr="001C4C46">
      <w:rPr>
        <w:rFonts w:ascii="Times New Roman" w:hAnsi="Times New Roman"/>
        <w:bCs/>
        <w:sz w:val="16"/>
        <w:szCs w:val="20"/>
      </w:rPr>
      <w:t xml:space="preserve"> – 1. </w:t>
    </w:r>
    <w:r w:rsidRPr="001C4C46">
      <w:rPr>
        <w:rFonts w:ascii="Times New Roman" w:hAnsi="Times New Roman"/>
        <w:bCs/>
        <w:sz w:val="16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3A4812A5" w14:textId="77777777" w:rsidR="00BB0DF9" w:rsidRPr="00F112F6" w:rsidRDefault="00BB0DF9" w:rsidP="00BB0DF9">
    <w:pPr>
      <w:pStyle w:val="Zhlav"/>
      <w:jc w:val="center"/>
      <w:rPr>
        <w:rFonts w:ascii="Times New Roman" w:hAnsi="Times New Roman"/>
        <w:sz w:val="16"/>
        <w:szCs w:val="16"/>
      </w:rPr>
    </w:pPr>
    <w:r w:rsidRPr="00F112F6">
      <w:rPr>
        <w:rFonts w:ascii="Times New Roman" w:hAnsi="Times New Roman"/>
        <w:sz w:val="16"/>
        <w:szCs w:val="16"/>
      </w:rPr>
      <w:t xml:space="preserve">Minitendr </w:t>
    </w:r>
    <w:r w:rsidR="00F112F6">
      <w:rPr>
        <w:rFonts w:ascii="Times New Roman" w:hAnsi="Times New Roman"/>
        <w:sz w:val="16"/>
        <w:szCs w:val="16"/>
      </w:rPr>
      <w:t xml:space="preserve"> - </w:t>
    </w:r>
    <w:r w:rsidRPr="00F112F6">
      <w:rPr>
        <w:rFonts w:ascii="Times New Roman" w:hAnsi="Times New Roman"/>
        <w:sz w:val="16"/>
        <w:szCs w:val="16"/>
      </w:rPr>
      <w:t>„</w:t>
    </w:r>
    <w:r w:rsidR="00F112F6" w:rsidRPr="00F112F6">
      <w:rPr>
        <w:rFonts w:ascii="Times New Roman" w:hAnsi="Times New Roman"/>
        <w:sz w:val="16"/>
        <w:szCs w:val="16"/>
      </w:rPr>
      <w:t>Komplexní řešení agendových informačních systémů pro zpracování nepojistných sociálních dávek a dávek z oblasti státní politiky zaměstnanosti</w:t>
    </w:r>
    <w:r w:rsidRPr="00F112F6">
      <w:rPr>
        <w:rFonts w:ascii="Times New Roman" w:hAnsi="Times New Roman"/>
        <w:sz w:val="16"/>
        <w:szCs w:val="16"/>
      </w:rPr>
      <w:t>“</w:t>
    </w:r>
  </w:p>
  <w:p w14:paraId="7A00128A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264E"/>
    <w:multiLevelType w:val="multilevel"/>
    <w:tmpl w:val="6AE8A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12B28"/>
    <w:multiLevelType w:val="multilevel"/>
    <w:tmpl w:val="948A1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4479D8"/>
    <w:multiLevelType w:val="multilevel"/>
    <w:tmpl w:val="4C26D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AD65AE"/>
    <w:multiLevelType w:val="multilevel"/>
    <w:tmpl w:val="0CE2B8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11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DF9"/>
    <w:rsid w:val="000944C1"/>
    <w:rsid w:val="000A1CB9"/>
    <w:rsid w:val="000B7516"/>
    <w:rsid w:val="00132E54"/>
    <w:rsid w:val="00141F18"/>
    <w:rsid w:val="001C185F"/>
    <w:rsid w:val="001C38B3"/>
    <w:rsid w:val="0021630F"/>
    <w:rsid w:val="00221460"/>
    <w:rsid w:val="00223F07"/>
    <w:rsid w:val="00245E19"/>
    <w:rsid w:val="00305E7D"/>
    <w:rsid w:val="00356865"/>
    <w:rsid w:val="003811E6"/>
    <w:rsid w:val="00394491"/>
    <w:rsid w:val="003A6CEC"/>
    <w:rsid w:val="003B1998"/>
    <w:rsid w:val="00414850"/>
    <w:rsid w:val="00435358"/>
    <w:rsid w:val="0046017A"/>
    <w:rsid w:val="004A61A3"/>
    <w:rsid w:val="004F569C"/>
    <w:rsid w:val="00533831"/>
    <w:rsid w:val="00577226"/>
    <w:rsid w:val="00622E17"/>
    <w:rsid w:val="0064560C"/>
    <w:rsid w:val="00661FBE"/>
    <w:rsid w:val="00672620"/>
    <w:rsid w:val="00714B57"/>
    <w:rsid w:val="007252D0"/>
    <w:rsid w:val="0074122C"/>
    <w:rsid w:val="0076411B"/>
    <w:rsid w:val="00786987"/>
    <w:rsid w:val="00792C67"/>
    <w:rsid w:val="007B101E"/>
    <w:rsid w:val="007B6B1A"/>
    <w:rsid w:val="007D4586"/>
    <w:rsid w:val="00807D9C"/>
    <w:rsid w:val="008755FA"/>
    <w:rsid w:val="00881600"/>
    <w:rsid w:val="008A2B29"/>
    <w:rsid w:val="008D6BD6"/>
    <w:rsid w:val="008F1523"/>
    <w:rsid w:val="00925136"/>
    <w:rsid w:val="0093315E"/>
    <w:rsid w:val="00960EBE"/>
    <w:rsid w:val="00977154"/>
    <w:rsid w:val="00983DB4"/>
    <w:rsid w:val="00985EAC"/>
    <w:rsid w:val="009903F4"/>
    <w:rsid w:val="009E42EE"/>
    <w:rsid w:val="009F3439"/>
    <w:rsid w:val="00A74D76"/>
    <w:rsid w:val="00B509C9"/>
    <w:rsid w:val="00BB0DF9"/>
    <w:rsid w:val="00BB4F5E"/>
    <w:rsid w:val="00BF12D0"/>
    <w:rsid w:val="00BF424B"/>
    <w:rsid w:val="00BF4EFA"/>
    <w:rsid w:val="00C40BA6"/>
    <w:rsid w:val="00C53A99"/>
    <w:rsid w:val="00C53B65"/>
    <w:rsid w:val="00CC2D7E"/>
    <w:rsid w:val="00CC3E79"/>
    <w:rsid w:val="00CE6755"/>
    <w:rsid w:val="00CF209D"/>
    <w:rsid w:val="00D5499F"/>
    <w:rsid w:val="00DA63AD"/>
    <w:rsid w:val="00DF1214"/>
    <w:rsid w:val="00E33F71"/>
    <w:rsid w:val="00E53487"/>
    <w:rsid w:val="00F112F6"/>
    <w:rsid w:val="00F66470"/>
    <w:rsid w:val="00FA4E01"/>
    <w:rsid w:val="00FD2087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1429CF"/>
  <w15:docId w15:val="{B3233FE8-4D3D-4606-BEE3-D5BB1C5C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1974</Words>
  <Characters>11653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2013-05-27T09:05:00Z</cp:lastPrinted>
  <dcterms:created xsi:type="dcterms:W3CDTF">2021-03-12T07:58:00Z</dcterms:created>
  <dcterms:modified xsi:type="dcterms:W3CDTF">2021-03-12T07:58:00Z</dcterms:modified>
</cp:coreProperties>
</file>