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73" w:h="377" w:hRule="exact" w:wrap="none" w:vAnchor="page" w:hAnchor="page" w:x="1299" w:y="2158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Příkazní smlouva</w:t>
      </w:r>
      <w:bookmarkEnd w:id="0"/>
    </w:p>
    <w:p>
      <w:pPr>
        <w:pStyle w:val="Style5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left"/>
        <w:spacing w:before="0" w:after="428" w:line="220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uvedené smluvní strany:</w:t>
      </w:r>
    </w:p>
    <w:p>
      <w:pPr>
        <w:pStyle w:val="Style7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Františku, příspěvková organizace</w:t>
      </w:r>
      <w:bookmarkEnd w:id="1"/>
    </w:p>
    <w:p>
      <w:pPr>
        <w:pStyle w:val="Style5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Na Františku 847/8,110 00 Praha 1 - Staré Město</w:t>
        <w:br/>
        <w:t>IČ: 00879444, DIČ: CZ00879444</w:t>
      </w:r>
    </w:p>
    <w:p>
      <w:pPr>
        <w:pStyle w:val="Style5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left"/>
        <w:spacing w:before="0" w:after="526" w:line="42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</w:t>
      </w:r>
      <w:r>
        <w:rPr>
          <w:rStyle w:val="CharStyle9"/>
        </w:rPr>
        <w:t>..............</w:t>
      </w:r>
      <w:r>
        <w:rPr>
          <w:rStyle w:val="CharStyle10"/>
        </w:rPr>
        <w:t>...</w:t>
      </w:r>
      <w:r>
        <w:rPr>
          <w:rStyle w:val="CharStyle9"/>
        </w:rPr>
        <w:t>​.....</w:t>
      </w:r>
      <w:r>
        <w:rPr>
          <w:rStyle w:val="CharStyle10"/>
        </w:rPr>
        <w:t>.......</w:t>
      </w:r>
      <w:r>
        <w:rPr>
          <w:rStyle w:val="CharStyle9"/>
        </w:rPr>
        <w:t>​</w:t>
      </w:r>
      <w:r>
        <w:rPr>
          <w:rStyle w:val="CharStyle11"/>
        </w:rPr>
        <w:t>.......</w:t>
      </w:r>
      <w:r>
        <w:rPr>
          <w:rStyle w:val="CharStyle9"/>
        </w:rPr>
        <w:t>​....</w:t>
      </w:r>
      <w:r>
        <w:rPr>
          <w:rStyle w:val="CharStyle10"/>
        </w:rPr>
        <w:t>..........</w:t>
      </w:r>
      <w:r>
        <w:rPr>
          <w:rStyle w:val="CharStyle9"/>
        </w:rPr>
        <w:t>​</w:t>
      </w:r>
      <w:r>
        <w:rPr>
          <w:rStyle w:val="CharStyle10"/>
        </w:rPr>
        <w:t>.......</w:t>
      </w:r>
      <w:r>
        <w:rPr>
          <w:rStyle w:val="CharStyle12"/>
        </w:rPr>
        <w:t>...</w:t>
      </w:r>
      <w:r>
        <w:rPr>
          <w:rStyle w:val="CharStyle9"/>
        </w:rPr>
        <w:t>​</w:t>
      </w:r>
      <w:r>
        <w:rPr>
          <w:rStyle w:val="CharStyle13"/>
        </w:rPr>
        <w:t>.....</w:t>
      </w:r>
      <w:r>
        <w:rPr>
          <w:rStyle w:val="CharStyle9"/>
        </w:rPr>
        <w:t>​</w:t>
      </w:r>
      <w:r>
        <w:rPr>
          <w:rStyle w:val="CharStyle13"/>
        </w:rPr>
        <w:t>.......</w:t>
      </w:r>
      <w:r>
        <w:rPr>
          <w:rStyle w:val="CharStyle11"/>
        </w:rPr>
        <w:t>...</w:t>
      </w:r>
      <w:r>
        <w:rPr>
          <w:rStyle w:val="CharStyle9"/>
        </w:rPr>
        <w:t>​</w:t>
      </w:r>
      <w:r>
        <w:rPr>
          <w:rStyle w:val="CharStyle14"/>
        </w:rPr>
        <w:t>...</w:t>
      </w:r>
      <w:r>
        <w:rPr>
          <w:rStyle w:val="CharStyle9"/>
        </w:rPr>
        <w:t>​</w:t>
      </w:r>
      <w:r>
        <w:rPr>
          <w:rStyle w:val="CharStyle15"/>
        </w:rPr>
        <w:t>....</w:t>
      </w:r>
      <w:r>
        <w:rPr>
          <w:rStyle w:val="CharStyle16"/>
        </w:rPr>
        <w:t>...</w:t>
      </w:r>
      <w:r>
        <w:rPr>
          <w:rStyle w:val="CharStyle9"/>
        </w:rPr>
        <w:t>​</w:t>
      </w:r>
      <w:r>
        <w:rPr>
          <w:rStyle w:val="CharStyle12"/>
        </w:rPr>
        <w:t>.................</w:t>
      </w:r>
      <w:r>
        <w:rPr>
          <w:rStyle w:val="CharStyle13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 xml:space="preserve">Zastoupená: </w:t>
      </w:r>
      <w:r>
        <w:rPr>
          <w:rStyle w:val="CharStyle9"/>
        </w:rPr>
        <w:t>............​</w:t>
      </w:r>
      <w:r>
        <w:rPr>
          <w:rStyle w:val="CharStyle12"/>
        </w:rPr>
        <w:t>........</w:t>
      </w:r>
      <w:r>
        <w:rPr>
          <w:rStyle w:val="CharStyle13"/>
        </w:rPr>
        <w:t>..</w:t>
      </w:r>
      <w:r>
        <w:rPr>
          <w:rStyle w:val="CharStyle9"/>
        </w:rPr>
        <w:t>​</w:t>
      </w:r>
      <w:r>
        <w:rPr>
          <w:rStyle w:val="CharStyle10"/>
        </w:rPr>
        <w:t>....</w:t>
      </w:r>
      <w:r>
        <w:rPr>
          <w:rStyle w:val="CharStyle12"/>
        </w:rPr>
        <w:t>........</w:t>
      </w:r>
      <w:r>
        <w:rPr>
          <w:rStyle w:val="CharStyle9"/>
        </w:rPr>
        <w:t>​</w:t>
      </w:r>
      <w:r>
        <w:rPr>
          <w:rStyle w:val="CharStyle14"/>
        </w:rPr>
        <w:t>........</w:t>
      </w:r>
      <w:r>
        <w:rPr>
          <w:rStyle w:val="CharStyle15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 xml:space="preserve">(dále jen </w:t>
      </w:r>
      <w:r>
        <w:rPr>
          <w:rStyle w:val="CharStyle17"/>
        </w:rPr>
        <w:t>„Příkazce")</w:t>
      </w:r>
    </w:p>
    <w:p>
      <w:pPr>
        <w:pStyle w:val="Style5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left"/>
        <w:spacing w:before="0" w:after="432" w:line="22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7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Grant Help, s.r.o.,</w:t>
      </w:r>
      <w:bookmarkEnd w:id="2"/>
    </w:p>
    <w:p>
      <w:pPr>
        <w:pStyle w:val="Style5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Václavské náměstí 828/23,110 00 Praha 1,</w:t>
      </w:r>
    </w:p>
    <w:p>
      <w:pPr>
        <w:pStyle w:val="Style5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IČ:276 45 240, DIČ: CZ27645240,</w:t>
      </w:r>
    </w:p>
    <w:p>
      <w:pPr>
        <w:pStyle w:val="Style5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left"/>
        <w:spacing w:before="0" w:after="526" w:line="427" w:lineRule="exact"/>
        <w:ind w:left="0" w:right="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 u Městského soudu v Praze, oddíl C, vložka 121203,</w:t>
        <w:br/>
        <w:t xml:space="preserve">zastoupená: </w:t>
      </w:r>
      <w:r>
        <w:rPr>
          <w:rStyle w:val="CharStyle15"/>
        </w:rPr>
        <w:t>........</w:t>
      </w:r>
      <w:r>
        <w:rPr>
          <w:rStyle w:val="CharStyle9"/>
        </w:rPr>
        <w:t>​</w:t>
      </w:r>
      <w:r>
        <w:rPr>
          <w:rStyle w:val="CharStyle10"/>
        </w:rPr>
        <w:t>.........</w:t>
      </w:r>
      <w:r>
        <w:rPr>
          <w:rStyle w:val="CharStyle12"/>
        </w:rPr>
        <w:t>.</w:t>
      </w:r>
      <w:r>
        <w:rPr>
          <w:rStyle w:val="CharStyle9"/>
        </w:rPr>
        <w:t>​</w:t>
      </w:r>
      <w:r>
        <w:rPr>
          <w:rStyle w:val="CharStyle12"/>
        </w:rPr>
        <w:t>......</w:t>
      </w:r>
      <w:r>
        <w:rPr>
          <w:rStyle w:val="CharStyle13"/>
        </w:rPr>
        <w:t>...</w:t>
      </w:r>
      <w:r>
        <w:rPr>
          <w:rStyle w:val="CharStyle9"/>
        </w:rPr>
        <w:t>​</w:t>
      </w:r>
      <w:r>
        <w:rPr>
          <w:rStyle w:val="CharStyle12"/>
        </w:rPr>
        <w:t>.............</w:t>
      </w:r>
      <w:r>
        <w:rPr>
          <w:rStyle w:val="CharStyle13"/>
        </w:rPr>
        <w:t>.</w:t>
      </w:r>
      <w:r>
        <w:rPr>
          <w:rStyle w:val="CharStyle9"/>
        </w:rPr>
        <w:t>​....</w:t>
      </w:r>
      <w:r>
        <w:rPr>
          <w:rStyle w:val="CharStyle10"/>
        </w:rPr>
        <w:t>...............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 xml:space="preserve">(dále jen </w:t>
      </w:r>
      <w:r>
        <w:rPr>
          <w:rStyle w:val="CharStyle17"/>
        </w:rPr>
        <w:t>„Příkazník“)</w:t>
      </w:r>
    </w:p>
    <w:p>
      <w:pPr>
        <w:pStyle w:val="Style5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left"/>
        <w:spacing w:before="0" w:after="529" w:line="220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Příkazce a Příkazník dále též jednotlivě jako </w:t>
      </w:r>
      <w:r>
        <w:rPr>
          <w:rStyle w:val="CharStyle17"/>
        </w:rPr>
        <w:t xml:space="preserve">„Smluvní strana"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nebo společně </w:t>
      </w:r>
      <w:r>
        <w:rPr>
          <w:rStyle w:val="CharStyle17"/>
        </w:rPr>
        <w:t>„Smluvní strany"</w:t>
      </w:r>
    </w:p>
    <w:p>
      <w:pPr>
        <w:pStyle w:val="Style5"/>
        <w:framePr w:w="9173" w:h="9497" w:hRule="exact" w:wrap="none" w:vAnchor="page" w:hAnchor="page" w:x="1299" w:y="3558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uzavřely níže uvedeného dne, měsíce a roku ve smyslu § 2430 a násl. zákona č. 89/2012 Sb.,</w:t>
        <w:br/>
        <w:t xml:space="preserve">občanského zákoníku, ve znění pozdějších předpisů (dále jen </w:t>
      </w:r>
      <w:r>
        <w:rPr>
          <w:rStyle w:val="CharStyle17"/>
        </w:rPr>
        <w:t xml:space="preserve">„občanský zákoník")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příkazní</w:t>
        <w:br/>
        <w:t xml:space="preserve">smlouvu následujícího znění (dále jen </w:t>
      </w:r>
      <w:r>
        <w:rPr>
          <w:rStyle w:val="CharStyle17"/>
        </w:rPr>
        <w:t>„Smlouva“):</w:t>
      </w:r>
    </w:p>
    <w:p>
      <w:pPr>
        <w:pStyle w:val="Style18"/>
        <w:framePr w:w="9173" w:h="672" w:hRule="exact" w:wrap="none" w:vAnchor="page" w:hAnchor="page" w:x="1299" w:y="14078"/>
        <w:widowControl w:val="0"/>
        <w:keepNext w:val="0"/>
        <w:keepLines w:val="0"/>
        <w:shd w:val="clear" w:color="auto" w:fill="auto"/>
        <w:bidi w:val="0"/>
        <w:spacing w:before="0" w:after="194" w:line="14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color w:val="000000"/>
          <w:position w:val="0"/>
        </w:rPr>
        <w:t>I.</w:t>
      </w:r>
      <w:bookmarkEnd w:id="3"/>
    </w:p>
    <w:p>
      <w:pPr>
        <w:pStyle w:val="Style20"/>
        <w:framePr w:w="9173" w:h="672" w:hRule="exact" w:wrap="none" w:vAnchor="page" w:hAnchor="page" w:x="1299" w:y="1407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Vymezení pojmů</w:t>
      </w:r>
    </w:p>
    <w:p>
      <w:pPr>
        <w:pStyle w:val="Style5"/>
        <w:numPr>
          <w:ilvl w:val="0"/>
          <w:numId w:val="1"/>
        </w:numPr>
        <w:framePr w:w="9173" w:h="606" w:hRule="exact" w:wrap="none" w:vAnchor="page" w:hAnchor="page" w:x="1299" w:y="15164"/>
        <w:tabs>
          <w:tab w:leader="none" w:pos="4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účely této Smlouvy a jejího výkladu mají níže uvedené pojmy a skutečnosti následující</w:t>
        <w:br/>
        <w:t>význam: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rap="none" w:vAnchor="page" w:hAnchor="page" w:x="10750" w:y="105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</w:t>
      </w:r>
    </w:p>
    <w:p>
      <w:pPr>
        <w:pStyle w:val="Style5"/>
        <w:framePr w:w="9173" w:h="676" w:hRule="exact" w:wrap="none" w:vAnchor="page" w:hAnchor="page" w:x="1299" w:y="1716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80" w:right="0" w:firstLine="0"/>
      </w:pPr>
      <w:r>
        <w:rPr>
          <w:rStyle w:val="CharStyle17"/>
        </w:rPr>
        <w:t xml:space="preserve">„Dotace“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znamená finanční dotaci nebo obdobnou finanční podporu či grant poskytovaný</w:t>
        <w:br/>
        <w:t>v rámci Grantového programu za účelem financování realizace Projektu.</w:t>
      </w:r>
    </w:p>
    <w:p>
      <w:pPr>
        <w:pStyle w:val="Style5"/>
        <w:framePr w:w="9173" w:h="681" w:hRule="exact" w:wrap="none" w:vAnchor="page" w:hAnchor="page" w:x="1299" w:y="2874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80" w:right="0" w:firstLine="0"/>
      </w:pPr>
      <w:r>
        <w:rPr>
          <w:rStyle w:val="CharStyle17"/>
        </w:rPr>
        <w:t xml:space="preserve">„Grantový program“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znamená program na poskytování finanční podpory na částečnou nebo</w:t>
        <w:br/>
        <w:t>úplnou realizaci Projektu, kde finanční podpora je poskytována z prostředků ESF/ERDF.</w:t>
      </w:r>
    </w:p>
    <w:p>
      <w:pPr>
        <w:pStyle w:val="Style5"/>
        <w:framePr w:w="9173" w:h="998" w:hRule="exact" w:wrap="none" w:vAnchor="page" w:hAnchor="page" w:x="1299" w:y="4036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80" w:right="0" w:firstLine="0"/>
      </w:pPr>
      <w:r>
        <w:rPr>
          <w:rStyle w:val="CharStyle17"/>
        </w:rPr>
        <w:t xml:space="preserve">„Implementační agentura“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znamená agenturu nebo instituci přebírající Žádost, popř.</w:t>
        <w:br/>
        <w:t>obdobný subjekt, který přijímá Žádost do Grantového programu a zprostředkovává dotace</w:t>
        <w:br/>
        <w:t>v rámci Grantového programu.</w:t>
      </w:r>
    </w:p>
    <w:p>
      <w:pPr>
        <w:pStyle w:val="Style5"/>
        <w:framePr w:w="9173" w:h="1296" w:hRule="exact" w:wrap="none" w:vAnchor="page" w:hAnchor="page" w:x="1299" w:y="5518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80" w:right="0" w:firstLine="0"/>
      </w:pPr>
      <w:r>
        <w:rPr>
          <w:rStyle w:val="CharStyle17"/>
        </w:rPr>
        <w:t xml:space="preserve">„Podklady“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znamenají veškeré údaje, data nebo informace, které slouží pro Vypracování</w:t>
        <w:br/>
        <w:t>Žádosti nebo které jsou nebo mohou být nezbytné pro řádné a včasné provedení všech</w:t>
        <w:br/>
        <w:t>činností spojených s Vypracováním Žádosti a předání vypracované Žádosti Příkazci nebo</w:t>
        <w:br/>
        <w:t>Předání Žádosti.</w:t>
      </w:r>
    </w:p>
    <w:p>
      <w:pPr>
        <w:pStyle w:val="Style5"/>
        <w:framePr w:w="9173" w:h="994" w:hRule="exact" w:wrap="none" w:vAnchor="page" w:hAnchor="page" w:x="1299" w:y="7294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80" w:right="0" w:firstLine="0"/>
      </w:pPr>
      <w:r>
        <w:rPr>
          <w:rStyle w:val="CharStyle17"/>
        </w:rPr>
        <w:t xml:space="preserve">„Projekt“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znamená projekt s pracovním názvem Modernizace přístrojového vybavení</w:t>
        <w:br/>
        <w:t>v Nemocnici Na Františku, jehož obsahem je nákup zařízení a pro jehož realizaci je nebo může</w:t>
        <w:br/>
        <w:t>být poskytnuta Dotace v rámci Grantového programu.</w:t>
      </w:r>
    </w:p>
    <w:p>
      <w:pPr>
        <w:pStyle w:val="Style5"/>
        <w:framePr w:w="9173" w:h="1910" w:hRule="exact" w:wrap="none" w:vAnchor="page" w:hAnchor="page" w:x="1299" w:y="8768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80" w:right="0" w:firstLine="0"/>
      </w:pPr>
      <w:r>
        <w:rPr>
          <w:rStyle w:val="CharStyle17"/>
        </w:rPr>
        <w:t xml:space="preserve">„Předání Žádosti“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znamená předání Žádosti Implementační agentuře ve lhůtě a dle zadaných</w:t>
        <w:br/>
        <w:t>podmínek Grantového programu, které provede Příkazník na základě písemného pokynu</w:t>
        <w:br/>
        <w:t>Příkazce. Zpravidla probíhá elektronicky, nahráním projektu do systému ISKP. Udělil-li Příkazce</w:t>
        <w:br/>
        <w:t>písemný pokyn k takovému předání, považuje se dnem Předání Žádosti Implementační</w:t>
        <w:br/>
        <w:t>agentuře Žádost za řádně a včasně protokolárně předanou Příkazci s důsledky dle této</w:t>
        <w:br/>
        <w:t>Smlouvy, přičemž platí, že Příkazce vůči jejímu obsahu nemá výhrad.</w:t>
      </w:r>
    </w:p>
    <w:p>
      <w:pPr>
        <w:pStyle w:val="Style5"/>
        <w:framePr w:w="9173" w:h="672" w:hRule="exact" w:wrap="none" w:vAnchor="page" w:hAnchor="page" w:x="1299" w:y="11172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80" w:right="0" w:firstLine="0"/>
      </w:pPr>
      <w:r>
        <w:rPr>
          <w:rStyle w:val="CharStyle17"/>
        </w:rPr>
        <w:t xml:space="preserve">„Smlouva o poskytnutí dotace“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znamená smlouvu, která je uzavírána mezi Příkazcem na</w:t>
        <w:br/>
        <w:t>straně jedné a Implementační agenturou na straně druhé za účelem poskytnutí Dotace.</w:t>
      </w:r>
    </w:p>
    <w:p>
      <w:pPr>
        <w:pStyle w:val="Style5"/>
        <w:framePr w:w="9173" w:h="2218" w:hRule="exact" w:wrap="none" w:vAnchor="page" w:hAnchor="page" w:x="1299" w:y="12334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80" w:right="0" w:firstLine="0"/>
      </w:pPr>
      <w:r>
        <w:rPr>
          <w:rStyle w:val="CharStyle17"/>
        </w:rPr>
        <w:t xml:space="preserve">„Uznání Žádosti“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znamená přiznání Dotace Příkazci v rámci Grantového programu, jež je</w:t>
        <w:br/>
        <w:t>předpokladem uzavření Smlouvy o poskytnutí dotace. Uznání Žádosti je doloženo listinou</w:t>
        <w:br/>
        <w:t>Implementační agentury, která je adresována některé ze Smluvních stran, nebo rozhodnutím</w:t>
        <w:br/>
        <w:t>Implementační agentury o schválení Projektu k financování v rámci Grantového programu</w:t>
        <w:br/>
        <w:t>zveřejněným na relevantních internetových stránkách, na kterých Implementační agentura</w:t>
        <w:br/>
        <w:t>zveřejňuje svá rozhodnutí nebo na kterých jsou rozhodnutí Implementační agentury dostupné</w:t>
        <w:br/>
        <w:t>(dále též jen „Relevantníwebové stránky“)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173" w:h="2213" w:hRule="exact" w:wrap="none" w:vAnchor="page" w:hAnchor="page" w:x="1299" w:y="1414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80" w:right="0" w:firstLine="0"/>
      </w:pPr>
      <w:r>
        <w:rPr>
          <w:rStyle w:val="CharStyle17"/>
        </w:rPr>
        <w:t xml:space="preserve">„Vypracování Žádosti“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znamená vytvoření Žádosti a veškeré související dokumentace dle</w:t>
        <w:br/>
        <w:t>zadání a kritérií Grantového programu s podchycením prvků prioritních oblastí podpor</w:t>
        <w:br/>
        <w:t>konkrétního programu v rámci Projektu a vytvoření detailního projektového plánu - časového</w:t>
        <w:br/>
        <w:t>a organizačního plánu, sestavení vyváženého a reálného rozpočtu celého Projektu v souladu</w:t>
        <w:br/>
        <w:t>s kritérii Grantového programu, sběr všech potřebných dat a dokumentů a vyplnění aplikačních</w:t>
        <w:br/>
        <w:t>forem, korekce obsahu Žádosti v souladu se všemi požadavky a náležitostmi aplikačních forem</w:t>
        <w:br/>
        <w:t>a grafická úprava Žádosti, jejich případný tisk a kompletace.</w:t>
      </w:r>
    </w:p>
    <w:p>
      <w:pPr>
        <w:pStyle w:val="Style5"/>
        <w:framePr w:w="9173" w:h="672" w:hRule="exact" w:wrap="none" w:vAnchor="page" w:hAnchor="page" w:x="1299" w:y="4121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60" w:right="0" w:firstLine="0"/>
      </w:pPr>
      <w:r>
        <w:rPr>
          <w:rStyle w:val="CharStyle17"/>
        </w:rPr>
        <w:t xml:space="preserve">„Žádost“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znamená žádost o Dotaci, vypracovanou Příkazníkem na základě této Smlouvy, na</w:t>
        <w:br/>
        <w:t>jejímž základě bude Implementační agentura rozhodovat o přiznání Dotace Příkazci.</w:t>
      </w:r>
    </w:p>
    <w:p>
      <w:pPr>
        <w:pStyle w:val="Style24"/>
        <w:framePr w:w="9173" w:h="677" w:hRule="exact" w:wrap="none" w:vAnchor="page" w:hAnchor="page" w:x="1299" w:y="5817"/>
        <w:widowControl w:val="0"/>
        <w:keepNext w:val="0"/>
        <w:keepLines w:val="0"/>
        <w:shd w:val="clear" w:color="auto" w:fill="auto"/>
        <w:bidi w:val="0"/>
        <w:spacing w:before="0" w:after="157" w:line="170" w:lineRule="exact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</w:p>
    <w:p>
      <w:pPr>
        <w:pStyle w:val="Style20"/>
        <w:framePr w:w="9173" w:h="677" w:hRule="exact" w:wrap="none" w:vAnchor="page" w:hAnchor="page" w:x="1299" w:y="581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Účel a předmět Smlouvy</w:t>
      </w:r>
    </w:p>
    <w:p>
      <w:pPr>
        <w:pStyle w:val="Style5"/>
        <w:numPr>
          <w:ilvl w:val="0"/>
          <w:numId w:val="3"/>
        </w:numPr>
        <w:framePr w:w="9173" w:h="600" w:hRule="exact" w:wrap="none" w:vAnchor="page" w:hAnchor="page" w:x="1299" w:y="6912"/>
        <w:tabs>
          <w:tab w:leader="none" w:pos="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Účelem této smlouvy je upravit vzájemné vztahy mezi Smluvními stranami a stanovit</w:t>
        <w:br/>
        <w:t>podmínky, za kterých Příkazník provede pro Příkazce Vypracování Žádosti.</w:t>
      </w:r>
    </w:p>
    <w:p>
      <w:pPr>
        <w:pStyle w:val="Style5"/>
        <w:numPr>
          <w:ilvl w:val="0"/>
          <w:numId w:val="3"/>
        </w:numPr>
        <w:framePr w:w="9173" w:h="869" w:hRule="exact" w:wrap="none" w:vAnchor="page" w:hAnchor="page" w:x="1299" w:y="7872"/>
        <w:tabs>
          <w:tab w:leader="none" w:pos="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Touto Smlouvou se Příkazník zavazuje, že pro Příkazce na jeho účet zařídí za úplatu právní</w:t>
        <w:br/>
        <w:t>jednání a činnosti spočívající ve Vypracování Žádosti a Příkazce se zavazuje zaplatit mu za to</w:t>
        <w:br/>
        <w:t>dohodnutou úplatu.</w:t>
      </w:r>
    </w:p>
    <w:p>
      <w:pPr>
        <w:pStyle w:val="Style7"/>
        <w:framePr w:w="9173" w:h="293" w:hRule="exact" w:wrap="none" w:vAnchor="page" w:hAnchor="page" w:x="1299" w:y="9686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8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Termín Vypracování Žádosti</w:t>
      </w:r>
      <w:bookmarkEnd w:id="4"/>
    </w:p>
    <w:p>
      <w:pPr>
        <w:pStyle w:val="Style5"/>
        <w:numPr>
          <w:ilvl w:val="0"/>
          <w:numId w:val="5"/>
        </w:numPr>
        <w:framePr w:w="9173" w:h="865" w:hRule="exact" w:wrap="none" w:vAnchor="page" w:hAnchor="page" w:x="1299" w:y="10392"/>
        <w:tabs>
          <w:tab w:leader="none" w:pos="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se zavazuje provést Vypracování Žádosti včetně jejího předání Příkazci nejpozději</w:t>
        <w:br/>
        <w:t>k Datu uzávěrky nebo dle pokynu Příkazce Předání Žádosti v souladu s Grantovým programem.</w:t>
        <w:br/>
        <w:t>Tím není dotčeno ujednání o Předání Žádosti dle čl. I této Smlouvy.</w:t>
      </w:r>
    </w:p>
    <w:p>
      <w:pPr>
        <w:pStyle w:val="Style7"/>
        <w:framePr w:w="9173" w:h="714" w:hRule="exact" w:wrap="none" w:vAnchor="page" w:hAnchor="page" w:x="1299" w:y="12217"/>
        <w:widowControl w:val="0"/>
        <w:keepNext w:val="0"/>
        <w:keepLines w:val="0"/>
        <w:shd w:val="clear" w:color="auto" w:fill="auto"/>
        <w:bidi w:val="0"/>
        <w:jc w:val="left"/>
        <w:spacing w:before="0" w:after="118" w:line="220" w:lineRule="exact"/>
        <w:ind w:left="448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  <w:bookmarkEnd w:id="5"/>
    </w:p>
    <w:p>
      <w:pPr>
        <w:pStyle w:val="Style7"/>
        <w:framePr w:w="9173" w:h="714" w:hRule="exact" w:wrap="none" w:vAnchor="page" w:hAnchor="page" w:x="1299" w:y="12217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smluvních stran</w:t>
      </w:r>
      <w:bookmarkEnd w:id="6"/>
    </w:p>
    <w:p>
      <w:pPr>
        <w:pStyle w:val="Style5"/>
        <w:numPr>
          <w:ilvl w:val="0"/>
          <w:numId w:val="7"/>
        </w:numPr>
        <w:framePr w:w="9173" w:h="1675" w:hRule="exact" w:wrap="none" w:vAnchor="page" w:hAnchor="page" w:x="1299" w:y="13363"/>
        <w:tabs>
          <w:tab w:leader="none" w:pos="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povinen při provádění činností dle této Smlouvy postupovat poctivě, pečlivě a s</w:t>
        <w:br/>
        <w:t>odbornou péčí s použitím každého prostředku, kterého vyžaduje povaha obstarávané</w:t>
        <w:br/>
        <w:t>záležitosti, podle pokynů Příkazce a v souladu s jeho zájmy, které jsou Příkazníkovi známy. Od</w:t>
        <w:br/>
        <w:t>Příkazcových pokynů se Příkazník může odchýlit, pokud to je nezbytné v zájmu Příkazce a</w:t>
        <w:br/>
        <w:t>pokud nemůže včas obdržet jeho souhlas. Obdrží-li Příkazník od Příkazce pokyn zřejmě</w:t>
        <w:br/>
        <w:t>nesprávný, upozorní ho na to a splní takový pokyn je tehdy, když na něm Příkazce trvá.</w:t>
      </w:r>
    </w:p>
    <w:p>
      <w:pPr>
        <w:pStyle w:val="Style5"/>
        <w:numPr>
          <w:ilvl w:val="0"/>
          <w:numId w:val="7"/>
        </w:numPr>
        <w:framePr w:wrap="none" w:vAnchor="page" w:hAnchor="page" w:x="1299" w:y="15462"/>
        <w:tabs>
          <w:tab w:leader="none" w:pos="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povinen bez zbytečného odkladu oznámit Příkazci všechny okolnosti, které zjistil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144" w:h="2107" w:hRule="exact" w:wrap="none" w:vAnchor="page" w:hAnchor="page" w:x="1313" w:y="1425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0" w:line="264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zařizování záležitosti dle této Smlouvy a které mohou mít vliv na změnu pokynů nebo zájmů</w:t>
        <w:br/>
        <w:t>Příkazce.</w:t>
      </w:r>
    </w:p>
    <w:p>
      <w:pPr>
        <w:pStyle w:val="Style5"/>
        <w:numPr>
          <w:ilvl w:val="0"/>
          <w:numId w:val="7"/>
        </w:numPr>
        <w:framePr w:w="9144" w:h="2107" w:hRule="exact" w:wrap="none" w:vAnchor="page" w:hAnchor="page" w:x="1313" w:y="1425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by Žádost byla Implementační agenturou vyřazena z procesu rozhodování o</w:t>
        <w:br/>
        <w:t>přidělení Dotace nebo bylo přidělení Dotace Implementační agenturou zamítnuto z důvodu</w:t>
        <w:br/>
        <w:t>formální obsahové vady Žádosti zaviněné Příkazníkem, kterou Implementační agentura</w:t>
        <w:br/>
        <w:t>konstatuje, nenáleží Příkazníkovi nárok na odměnu.</w:t>
      </w:r>
    </w:p>
    <w:p>
      <w:pPr>
        <w:pStyle w:val="Style5"/>
        <w:numPr>
          <w:ilvl w:val="0"/>
          <w:numId w:val="7"/>
        </w:numPr>
        <w:framePr w:w="9144" w:h="1128" w:hRule="exact" w:wrap="none" w:vAnchor="page" w:hAnchor="page" w:x="1313" w:y="3926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se zavazuje poskytovat Příkazníkovi veškerou součinnost potřebnou pro Vypracování</w:t>
        <w:br/>
        <w:t>Žádosti, zejména se zavazuje předat Příkazníkovi veškeré Podklady. Podklady budou</w:t>
        <w:br/>
        <w:t>Příkazníkovi předány zachycené na hmotném nosiči informací v tištěné či elektronické podobě</w:t>
        <w:br/>
        <w:t>nebo zaslány prostřednictvím elektronické pošty.</w:t>
      </w:r>
    </w:p>
    <w:p>
      <w:pPr>
        <w:pStyle w:val="Style5"/>
        <w:numPr>
          <w:ilvl w:val="0"/>
          <w:numId w:val="7"/>
        </w:numPr>
        <w:framePr w:w="9144" w:h="1930" w:hRule="exact" w:wrap="none" w:vAnchor="page" w:hAnchor="page" w:x="1313" w:y="5409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se zavazuje Příkazníkovi předat veškeré Podklady nejpozději do pěti pracovních dnů</w:t>
        <w:br/>
        <w:t>ode dne uzavření této Smlouvy. O předání Podkladů bude sepsán předávací protokol, který</w:t>
        <w:br/>
        <w:t>bude Příkazníkem potvrzen. V případě, že údaje, data nebo informace poskytnuté Příkazcem</w:t>
        <w:br/>
        <w:t>byly neúplné, nepřesné či nepravdivé, zavazuje se Příkazce poskytnout Příkazníkovi veškeré</w:t>
        <w:br/>
        <w:t>Podklady bez zbytečného odkladu od chvíle, kdy tuto skutečnost zjistil nebo měl zjistit při</w:t>
        <w:br/>
        <w:t>vynaložení řádné péče, tak aby Příkazník mohl provést veškeré činnosti spojené</w:t>
        <w:br/>
        <w:t>s Vypracováním Žádosti řádně a včas, a to na výzvu Příkazníka i bez této výzvy.</w:t>
      </w:r>
    </w:p>
    <w:p>
      <w:pPr>
        <w:pStyle w:val="Style5"/>
        <w:numPr>
          <w:ilvl w:val="0"/>
          <w:numId w:val="7"/>
        </w:numPr>
        <w:framePr w:w="9144" w:h="1815" w:hRule="exact" w:wrap="none" w:vAnchor="page" w:hAnchor="page" w:x="1313" w:y="7756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08" w:line="220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má právo být informován o průběhu provádění činností dle této Smlouvy.</w:t>
      </w:r>
    </w:p>
    <w:p>
      <w:pPr>
        <w:pStyle w:val="Style5"/>
        <w:numPr>
          <w:ilvl w:val="0"/>
          <w:numId w:val="7"/>
        </w:numPr>
        <w:framePr w:w="9144" w:h="1815" w:hRule="exact" w:wrap="none" w:vAnchor="page" w:hAnchor="page" w:x="1313" w:y="7756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má povinnost informovat Příkazníka neprodleně o všech skutečnostech, které by</w:t>
        <w:br/>
        <w:t>mohly mít vliv na provádění činností Příkazníka při Vypracování Žádosti. Nebude-li dohodnuto</w:t>
        <w:br/>
        <w:t>jinak, budou informace mezi Smluvními stranami předávány písemně prostřednictvím</w:t>
        <w:br/>
        <w:t>korespondence či elektronické pošty, a to i zprávami bez zaručeného elektronického podpisu.</w:t>
      </w:r>
    </w:p>
    <w:p>
      <w:pPr>
        <w:pStyle w:val="Style5"/>
        <w:numPr>
          <w:ilvl w:val="0"/>
          <w:numId w:val="7"/>
        </w:numPr>
        <w:framePr w:w="9144" w:h="873" w:hRule="exact" w:wrap="none" w:vAnchor="page" w:hAnchor="page" w:x="1313" w:y="9950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zavazují při Vypracování žádosti vzájemně spolupracovat a v případě</w:t>
        <w:br/>
        <w:t>překážek řádného a včasného Vypracování žádosti podniknout společně anebo samostatně</w:t>
        <w:br/>
        <w:t>veškeré kroky k jejich účinnému překonání, které lze po nich spravedlivě požadovat.</w:t>
      </w:r>
    </w:p>
    <w:p>
      <w:pPr>
        <w:pStyle w:val="Style5"/>
        <w:numPr>
          <w:ilvl w:val="0"/>
          <w:numId w:val="7"/>
        </w:numPr>
        <w:framePr w:w="9144" w:h="1676" w:hRule="exact" w:wrap="none" w:vAnchor="page" w:hAnchor="page" w:x="1313" w:y="11208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se zavazuje informovat Příkazce o prioritách Grantového programu a o jejich vlivu na</w:t>
        <w:br/>
        <w:t>postavení Příkazce v souvislosti s Projektem. Považuje-li to Příkazník za vhodné, doporučí</w:t>
        <w:br/>
        <w:t>Příkazci specifický postup jednání související s Projektem. Toto doporučení bude učiněno</w:t>
        <w:br/>
        <w:t>písemně, prostřednictvím korespondence či elektronické pošty, a to i zprávou bez zaručeného</w:t>
        <w:br/>
        <w:t>elektronického podpisu. Pokud se Příkazce při svém jednání nebude řídit doporučeními</w:t>
        <w:br/>
        <w:t>Příkazníka, nenese Příkazník odpovědnost za důsledky takového jednání Příkazce.</w:t>
      </w:r>
    </w:p>
    <w:p>
      <w:pPr>
        <w:pStyle w:val="Style5"/>
        <w:numPr>
          <w:ilvl w:val="0"/>
          <w:numId w:val="7"/>
        </w:numPr>
        <w:framePr w:w="9144" w:h="1392" w:hRule="exact" w:wrap="none" w:vAnchor="page" w:hAnchor="page" w:x="1313" w:y="13266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se zavazuje Příkazníka neprodleně informovat o Uznání Žádosti a předat Příkazníkovi</w:t>
        <w:br/>
        <w:t>kopii listiny Implementační agentury, která uznání Žádosti dokládá, nejpozději do jednoho</w:t>
        <w:br/>
        <w:t>týdne od jejího obdržení. Příkazce se dále zavazuje Příkazníkovi prokázat v případě podpoření</w:t>
        <w:br/>
        <w:t>Žádosti, že mezi ním a Implementační agenturou byla uzavřena Smlouva o poskytnutí dotace,</w:t>
        <w:br/>
        <w:t>a to nejpozději do jednoho týdne od jejího uzavření.</w:t>
      </w:r>
    </w:p>
    <w:p>
      <w:pPr>
        <w:pStyle w:val="Style5"/>
        <w:numPr>
          <w:ilvl w:val="0"/>
          <w:numId w:val="7"/>
        </w:numPr>
        <w:framePr w:w="9144" w:h="600" w:hRule="exact" w:wrap="none" w:vAnchor="page" w:hAnchor="page" w:x="1313" w:y="15058"/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se zavazuje po dobu provádění činnosti Příkazníkem dle této Smlouvy Příkazníka</w:t>
        <w:br/>
        <w:t>neprodleně informovat o veškerých termínech a obsahu veškerých jednání, která budou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163" w:h="874" w:hRule="exact" w:wrap="none" w:vAnchor="page" w:hAnchor="page" w:x="1304" w:y="1603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probíhat mezi Příkazcem a Implementační agenturou, a Příkazník má právo kdykoli nahlížet do</w:t>
        <w:br/>
        <w:t>dokumentace, jež byla v souvislosti s těmito jednáními vyhotovena, a Příkazce má povinnost</w:t>
        <w:br/>
        <w:t>tuto dokumentaci Příkazníkovi neprodleně poskytnout k nahlédnutí.</w:t>
      </w:r>
    </w:p>
    <w:p>
      <w:pPr>
        <w:pStyle w:val="Style5"/>
        <w:numPr>
          <w:ilvl w:val="0"/>
          <w:numId w:val="7"/>
        </w:numPr>
        <w:framePr w:w="9163" w:h="4075" w:hRule="exact" w:wrap="none" w:vAnchor="page" w:hAnchor="page" w:x="1304" w:y="2870"/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informace, které souvisejí s plněním této Smlouvy (zejména pak poznatky</w:t>
        <w:br/>
        <w:t>o pracovních postupech Smluvních stran, hospodářských výsledcích, dodavatelsko-</w:t>
        <w:br/>
        <w:t>odběratelských vztazích, organizační struktuře a veškeré další informace, poskytnuté</w:t>
        <w:br/>
        <w:t>s odkazem na tuto Smlouvu jednou Smluvní stranou druhé Smluvní straně, jakož i informace,</w:t>
        <w:br/>
        <w:t>které Příkazník zjistí při výkonu činností dle této Smlouvy), které jsou příslušnou Smluvní</w:t>
        <w:br/>
        <w:t>stranou označeny za důvěrné, jsou informacemi důvěrnými. Obsah Žádosti Smluvní strany</w:t>
        <w:br/>
        <w:t>považují za důvěrný vždy. O důvěrné informaci se Smluvní strany zavazují zachovávat</w:t>
        <w:br/>
        <w:t>mlčenlivost. Tím není dotčeno oprávnění Smluvních stran sdělovat tyto informace svým</w:t>
        <w:br/>
        <w:t>advokátům, daňovým poradcům, auditorům nebo jiným osobám vázaným na základě</w:t>
        <w:br/>
        <w:t>zvláštního právního předpisu povinností mlčenlivosti; tyto osoby musí být na důvěrnost</w:t>
        <w:br/>
        <w:t>informací upozorněny. Povinnost mlčenlivosti trvá i po předání Žádosti Příkazci nebo Předání</w:t>
        <w:br/>
        <w:t>Žádosti, a to až do doby, kdy se obsah důvěrných informací stane veřejně dostupným, pokud</w:t>
        <w:br/>
        <w:t>ktomu nedošlo porušením povinnosti dle této Smlouvy. V případě porušení povinnosti</w:t>
        <w:br/>
        <w:t>mlčenlivosti ve vztahu k informaci označené za důvěrnou, odpovídá Smluvní strana, která tuto</w:t>
        <w:br/>
        <w:t>povinnost porušila druhé Smluvní straně za škodu takovým jednáním způsobenou.</w:t>
      </w:r>
    </w:p>
    <w:p>
      <w:pPr>
        <w:pStyle w:val="Style5"/>
        <w:numPr>
          <w:ilvl w:val="0"/>
          <w:numId w:val="7"/>
        </w:numPr>
        <w:framePr w:w="9163" w:h="1138" w:hRule="exact" w:wrap="none" w:vAnchor="page" w:hAnchor="page" w:x="1304" w:y="7329"/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neodpovídá za nemožnost splnit tuto Smlouvu řádně a včas a za případnou škodu</w:t>
        <w:br/>
        <w:t>z toho vzniklou v případě, že Příkazce včas neposkytl Příkazníkovi potřebnou součinnost nebo</w:t>
        <w:br/>
        <w:t>Podklady, zejména pokud Příkazce předal Příkazníkovi takové údaje, data, informace nebo</w:t>
        <w:br/>
        <w:t>Podklady sloužící pro Vypracování Žádosti, které jsou nepravdivé, neúplné či nevhodné.</w:t>
      </w:r>
    </w:p>
    <w:p>
      <w:pPr>
        <w:pStyle w:val="Style5"/>
        <w:numPr>
          <w:ilvl w:val="0"/>
          <w:numId w:val="7"/>
        </w:numPr>
        <w:framePr w:w="9163" w:h="586" w:hRule="exact" w:wrap="none" w:vAnchor="page" w:hAnchor="page" w:x="1304" w:y="8860"/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Vyžaduje-li obstarání záležitosti dle této Smlouvy, aby Příkazník za Příkazce právně jednal, je</w:t>
        <w:br/>
        <w:t>Příkazce povinen Příkazníkovi vystavit včas písemnou plnou moc.</w:t>
      </w:r>
    </w:p>
    <w:p>
      <w:pPr>
        <w:pStyle w:val="Style5"/>
        <w:numPr>
          <w:ilvl w:val="0"/>
          <w:numId w:val="7"/>
        </w:numPr>
        <w:framePr w:w="9163" w:h="1411" w:hRule="exact" w:wrap="none" w:vAnchor="page" w:hAnchor="page" w:x="1304" w:y="9831"/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použije všechny Podklady, které obdrží od Příkazce v souvislosti s plněním ze</w:t>
        <w:br/>
        <w:t>Smlouvy výhradně za plněním účelu Smlouvy. Příkazník je povinen vrátit Příkazci do 14 dnů od</w:t>
        <w:br/>
        <w:t>Předání Žádosti nebo od předání Žádosti Příkazci veškeré Podklady, které mu za účelem plnění</w:t>
        <w:br/>
        <w:t>předmětu této Smlouvy byly Příkazcem předány, vyjma Podkladů, které Příkazník předal při</w:t>
        <w:br/>
        <w:t>Předání Žádosti Implementační agentuře.</w:t>
      </w:r>
    </w:p>
    <w:p>
      <w:pPr>
        <w:pStyle w:val="Style5"/>
        <w:numPr>
          <w:ilvl w:val="0"/>
          <w:numId w:val="7"/>
        </w:numPr>
        <w:framePr w:w="9163" w:h="595" w:hRule="exact" w:wrap="none" w:vAnchor="page" w:hAnchor="page" w:x="1304" w:y="11630"/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je povinen vyplatit dle ustanovení této Smlouvy včas a ve stanovené výši Příkazníkovi</w:t>
        <w:br/>
        <w:t>odměnu dle této Smlouvy.</w:t>
      </w:r>
    </w:p>
    <w:p>
      <w:pPr>
        <w:pStyle w:val="Style7"/>
        <w:framePr w:wrap="none" w:vAnchor="page" w:hAnchor="page" w:x="1304" w:y="1274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36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V.</w:t>
      </w:r>
      <w:bookmarkEnd w:id="7"/>
    </w:p>
    <w:p>
      <w:pPr>
        <w:pStyle w:val="Style7"/>
        <w:framePr w:w="9163" w:h="277" w:hRule="exact" w:wrap="none" w:vAnchor="page" w:hAnchor="page" w:x="1304" w:y="13182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8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Odměna</w:t>
      </w:r>
      <w:bookmarkEnd w:id="8"/>
    </w:p>
    <w:p>
      <w:pPr>
        <w:pStyle w:val="Style5"/>
        <w:numPr>
          <w:ilvl w:val="0"/>
          <w:numId w:val="9"/>
        </w:numPr>
        <w:framePr w:w="9163" w:h="605" w:hRule="exact" w:wrap="none" w:vAnchor="page" w:hAnchor="page" w:x="1304" w:y="13897"/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Vypracování Žádosti je Příkazce v případě Uznání Žádosti povinen zaplatit Příkazníkovi</w:t>
        <w:br/>
        <w:t>smluvenou odměnu.</w:t>
      </w:r>
    </w:p>
    <w:p>
      <w:pPr>
        <w:pStyle w:val="Style5"/>
        <w:numPr>
          <w:ilvl w:val="0"/>
          <w:numId w:val="9"/>
        </w:numPr>
        <w:framePr w:w="9163" w:h="865" w:hRule="exact" w:wrap="none" w:vAnchor="page" w:hAnchor="page" w:x="1304" w:y="14885"/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Odměna za Vypracování Žádosti se sjednává ve výši: 295 000,- Kč (slovy dvěstědevadesátpět</w:t>
        <w:br/>
        <w:t>tisíc korun českých). Ke smluvené odměně bude připočtena daň z přidané hodnoty podle</w:t>
        <w:br/>
        <w:t>příslušných právních předpisů.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9"/>
        </w:numPr>
        <w:framePr w:w="9139" w:h="2516" w:hRule="exact" w:wrap="none" w:vAnchor="page" w:hAnchor="page" w:x="1316" w:y="1757"/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15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Sjednaná cena je stanovena jako cena konečná, nejvýše přípustná a nepřekročitelná, zahrnující</w:t>
        <w:br/>
        <w:t>celou odměnu a veškeré náklady poskytovatele související s předmětem plnění.</w:t>
      </w:r>
    </w:p>
    <w:p>
      <w:pPr>
        <w:pStyle w:val="Style5"/>
        <w:numPr>
          <w:ilvl w:val="0"/>
          <w:numId w:val="9"/>
        </w:numPr>
        <w:framePr w:w="9139" w:h="2516" w:hRule="exact" w:wrap="none" w:vAnchor="page" w:hAnchor="page" w:x="1316" w:y="1757"/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94" w:line="220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Splatnost odměny je stanovena na 14 dnů ode dne doručení faktury Příkazci.</w:t>
      </w:r>
    </w:p>
    <w:p>
      <w:pPr>
        <w:pStyle w:val="Style5"/>
        <w:numPr>
          <w:ilvl w:val="0"/>
          <w:numId w:val="3"/>
        </w:numPr>
        <w:framePr w:w="9139" w:h="2516" w:hRule="exact" w:wrap="none" w:vAnchor="page" w:hAnchor="page" w:x="1316" w:y="1757"/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částky se považují za splacené okamžikem jejich připsání na účet Příkazníka. Jednotlivé</w:t>
        <w:br/>
        <w:t>platby budou realizovány v korunách českých, ledaže bude Smluvními stranami dohodnuto</w:t>
        <w:br/>
        <w:t>jinak.</w:t>
      </w:r>
    </w:p>
    <w:p>
      <w:pPr>
        <w:pStyle w:val="Style7"/>
        <w:framePr w:w="9139" w:h="714" w:hRule="exact" w:wrap="none" w:vAnchor="page" w:hAnchor="page" w:x="1316" w:y="4796"/>
        <w:widowControl w:val="0"/>
        <w:keepNext w:val="0"/>
        <w:keepLines w:val="0"/>
        <w:shd w:val="clear" w:color="auto" w:fill="auto"/>
        <w:bidi w:val="0"/>
        <w:jc w:val="left"/>
        <w:spacing w:before="0" w:after="142" w:line="220" w:lineRule="exact"/>
        <w:ind w:left="428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VI.</w:t>
      </w:r>
      <w:bookmarkEnd w:id="9"/>
    </w:p>
    <w:p>
      <w:pPr>
        <w:pStyle w:val="Style20"/>
        <w:framePr w:w="9139" w:h="714" w:hRule="exact" w:wrap="none" w:vAnchor="page" w:hAnchor="page" w:x="1316" w:y="479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Účinnost a trvání Smlouvy</w:t>
      </w:r>
    </w:p>
    <w:p>
      <w:pPr>
        <w:pStyle w:val="Style5"/>
        <w:numPr>
          <w:ilvl w:val="0"/>
          <w:numId w:val="11"/>
        </w:numPr>
        <w:framePr w:w="9139" w:h="1267" w:hRule="exact" w:wrap="none" w:vAnchor="page" w:hAnchor="page" w:x="1316" w:y="5985"/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03" w:line="220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a účinnosti dnem jejího podpisu oběma Smluvními stranami.</w:t>
      </w:r>
    </w:p>
    <w:p>
      <w:pPr>
        <w:pStyle w:val="Style5"/>
        <w:numPr>
          <w:ilvl w:val="0"/>
          <w:numId w:val="11"/>
        </w:numPr>
        <w:framePr w:w="9139" w:h="1267" w:hRule="exact" w:wrap="none" w:vAnchor="page" w:hAnchor="page" w:x="1316" w:y="5985"/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uzavírá na dobu určitou. Její platnost končí předáním Žádosti Příkazci nebo</w:t>
        <w:br/>
        <w:t>předáním Žádosti.</w:t>
      </w:r>
    </w:p>
    <w:p>
      <w:pPr>
        <w:pStyle w:val="Style7"/>
        <w:framePr w:w="9139" w:h="709" w:hRule="exact" w:wrap="none" w:vAnchor="page" w:hAnchor="page" w:x="1316" w:y="8209"/>
        <w:widowControl w:val="0"/>
        <w:keepNext w:val="0"/>
        <w:keepLines w:val="0"/>
        <w:shd w:val="clear" w:color="auto" w:fill="auto"/>
        <w:bidi w:val="0"/>
        <w:jc w:val="left"/>
        <w:spacing w:before="0" w:after="114" w:line="220" w:lineRule="exact"/>
        <w:ind w:left="428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VII.</w:t>
      </w:r>
      <w:bookmarkEnd w:id="10"/>
    </w:p>
    <w:p>
      <w:pPr>
        <w:pStyle w:val="Style7"/>
        <w:framePr w:w="9139" w:h="709" w:hRule="exact" w:wrap="none" w:vAnchor="page" w:hAnchor="page" w:x="1316" w:y="8209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8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Ukončení Smlouvy</w:t>
      </w:r>
      <w:bookmarkEnd w:id="11"/>
    </w:p>
    <w:p>
      <w:pPr>
        <w:pStyle w:val="Style5"/>
        <w:framePr w:w="9139" w:h="864" w:hRule="exact" w:wrap="none" w:vAnchor="page" w:hAnchor="page" w:x="1316" w:y="9355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1) V případě, že ze strany Příkazníka dojde k podstatnému porušení povinností vyplývajících z</w:t>
        <w:br/>
        <w:t>této Smlouvy, je Příkazce oprávněn od této Smlouvy odstoupit. Podstatným porušením</w:t>
        <w:br/>
        <w:t>Smlouvy ze strany Příkazníka je prodlení při Předání Žádosti nebo při předání Žádosti Příkazci.</w:t>
      </w:r>
    </w:p>
    <w:p>
      <w:pPr>
        <w:pStyle w:val="Style5"/>
        <w:numPr>
          <w:ilvl w:val="0"/>
          <w:numId w:val="5"/>
        </w:numPr>
        <w:framePr w:w="9139" w:h="586" w:hRule="exact" w:wrap="none" w:vAnchor="page" w:hAnchor="page" w:x="1316" w:y="10607"/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je dále oprávněn odstoupit od Smlouvy v případě, že proti Příkazníkovi bude vedeno</w:t>
        <w:br/>
        <w:t>insolvenční řízení.</w:t>
      </w:r>
    </w:p>
    <w:p>
      <w:pPr>
        <w:pStyle w:val="Style5"/>
        <w:numPr>
          <w:ilvl w:val="0"/>
          <w:numId w:val="5"/>
        </w:numPr>
        <w:framePr w:w="9139" w:h="1392" w:hRule="exact" w:wrap="none" w:vAnchor="page" w:hAnchor="page" w:x="1316" w:y="11596"/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oprávněn od Smlouvy odstoupit v případě, že mu Příkazce neposkytuje potřebnou</w:t>
        <w:br/>
        <w:t>součinnost pro naplnění účelu této Smlouvy, přestože k tomu byl Příkazníkem písemně vyzván</w:t>
        <w:br/>
        <w:t>a na možnost odstoupení od Smlouvy upozorněn. Příkazník je dále oprávněn odstoupit</w:t>
        <w:br/>
        <w:t>v případě, že proti Příkazci bude vedeno insolvenční řízení, a dále v případě prodlení Příkazce</w:t>
        <w:br/>
        <w:t>s úhradou jakéhokoliv peněžitého plnění dle této Smlouvy po dobu delší než 30 dní.</w:t>
      </w:r>
    </w:p>
    <w:p>
      <w:pPr>
        <w:pStyle w:val="Style5"/>
        <w:numPr>
          <w:ilvl w:val="0"/>
          <w:numId w:val="5"/>
        </w:numPr>
        <w:framePr w:w="9139" w:h="2358" w:hRule="exact" w:wrap="none" w:vAnchor="page" w:hAnchor="page" w:x="1316" w:y="13406"/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3" w:line="220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mohou tuto Smlouvu ukončit též způsobem stanoveným zákonem.</w:t>
      </w:r>
    </w:p>
    <w:p>
      <w:pPr>
        <w:pStyle w:val="Style5"/>
        <w:numPr>
          <w:ilvl w:val="0"/>
          <w:numId w:val="5"/>
        </w:numPr>
        <w:framePr w:w="9139" w:h="2358" w:hRule="exact" w:wrap="none" w:vAnchor="page" w:hAnchor="page" w:x="1316" w:y="13406"/>
        <w:tabs>
          <w:tab w:leader="none" w:pos="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60" w:right="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Veškerá právní jednání vedoucí k ukončení Smlouvy musí být písemná a musí být prokazatelně</w:t>
        <w:br/>
        <w:t>podáno k poštovní přepravě. Jsou-li pochybnosti o datu doručení, má se za to, že podání se</w:t>
        <w:br/>
        <w:t>považují za doručená třetím pracovním dnem ode dne jejich prokazatelného podání k poštovní</w:t>
        <w:br/>
        <w:t>přepravě. Takové podání je doručováno na adresu sídla Smluvní strany, jež je uvedena v záhlaví</w:t>
        <w:br/>
        <w:t>této Smlouvy. Před touto adresou má přednost údaj o sídle Smluvní strany zveřejněný ke dni</w:t>
        <w:br/>
        <w:t>odeslání odstoupení v obchodním rejstříku.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5"/>
        </w:numPr>
        <w:framePr w:w="9178" w:h="1929" w:hRule="exact" w:wrap="none" w:vAnchor="page" w:hAnchor="page" w:x="1297" w:y="1800"/>
        <w:tabs>
          <w:tab w:leader="none" w:pos="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ukončení smlouvy podle odstavců 2 a 3 má Příkazník nárok na poměrnou část</w:t>
        <w:br/>
        <w:t>Odměny za činnosti vykonané Příkazníkem do okamžiku odstoupení od Smlouvy. Poměrná</w:t>
        <w:br/>
        <w:t>část odměny se vypočítá jako součin počtu hodin provádění činností dle této Smlouvy a výše</w:t>
        <w:br/>
        <w:t>hodinové odměny Příkazníka, která se pro tyto účely stanovuje dohodou Smluvních stran ve</w:t>
        <w:br/>
        <w:t>výši: 500,- Kč (slovy: pět set korun českých) bez DPH za hodinu maximálně však 33 000,- Kč</w:t>
        <w:br/>
        <w:t>(slovy: třicet pět tisíc korun českých). Tento nárok musí být ze strany Příkazníka doložen</w:t>
        <w:br/>
        <w:t>hodinovým výkazem provedených činností dle jeho informačního systému.</w:t>
      </w:r>
    </w:p>
    <w:p>
      <w:pPr>
        <w:pStyle w:val="Style26"/>
        <w:framePr w:w="9178" w:h="673" w:hRule="exact" w:wrap="none" w:vAnchor="page" w:hAnchor="page" w:x="1297" w:y="4295"/>
        <w:widowControl w:val="0"/>
        <w:keepNext w:val="0"/>
        <w:keepLines w:val="0"/>
        <w:shd w:val="clear" w:color="auto" w:fill="auto"/>
        <w:bidi w:val="0"/>
        <w:jc w:val="left"/>
        <w:spacing w:before="0" w:after="184" w:line="170" w:lineRule="exact"/>
        <w:ind w:left="4260" w:right="0" w:firstLine="0"/>
      </w:pPr>
      <w:bookmarkStart w:id="12" w:name="bookmark12"/>
      <w:r>
        <w:rPr>
          <w:lang w:val="cs-CZ" w:eastAsia="cs-CZ" w:bidi="cs-CZ"/>
          <w:w w:val="100"/>
          <w:color w:val="000000"/>
          <w:position w:val="0"/>
        </w:rPr>
        <w:t>Vlil.</w:t>
      </w:r>
      <w:bookmarkEnd w:id="12"/>
    </w:p>
    <w:p>
      <w:pPr>
        <w:pStyle w:val="Style7"/>
        <w:framePr w:w="9178" w:h="673" w:hRule="exact" w:wrap="none" w:vAnchor="page" w:hAnchor="page" w:x="1297" w:y="429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10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Sankce</w:t>
      </w:r>
      <w:bookmarkEnd w:id="13"/>
    </w:p>
    <w:p>
      <w:pPr>
        <w:pStyle w:val="Style5"/>
        <w:framePr w:w="9178" w:h="1406" w:hRule="exact" w:wrap="none" w:vAnchor="page" w:hAnchor="page" w:x="1297" w:y="5401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1) V případě prodlení Příkazce s úhradou jakéhokoliv peněžitého plnění, jež má povinnost plnit</w:t>
        <w:br/>
        <w:t>dle této Smlouvy nebo v souvislostí s ní, je Příkazce povinen zaplatit Příkazníkovi smluvní</w:t>
        <w:br/>
        <w:t>pokutu ve výši 0,1 % z dlužné částky za každý den prodlení. Smluvní pokuta je splatná</w:t>
        <w:br/>
        <w:t>bezhotovostním převodem do 7 dnů na výzvu Příkazníka. Uhrazením smluvní pokuty není</w:t>
        <w:br/>
        <w:t>dotčen nárok Příkazníka na úhradu vzniklé škody v celé výši.</w:t>
      </w:r>
    </w:p>
    <w:p>
      <w:pPr>
        <w:pStyle w:val="Style7"/>
        <w:framePr w:w="9178" w:h="710" w:hRule="exact" w:wrap="none" w:vAnchor="page" w:hAnchor="page" w:x="1297" w:y="7762"/>
        <w:widowControl w:val="0"/>
        <w:keepNext w:val="0"/>
        <w:keepLines w:val="0"/>
        <w:shd w:val="clear" w:color="auto" w:fill="auto"/>
        <w:bidi w:val="0"/>
        <w:jc w:val="left"/>
        <w:spacing w:before="0" w:after="174" w:line="220" w:lineRule="exact"/>
        <w:ind w:left="4260" w:righ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IX.</w:t>
      </w:r>
      <w:bookmarkEnd w:id="14"/>
    </w:p>
    <w:p>
      <w:pPr>
        <w:pStyle w:val="Style7"/>
        <w:framePr w:w="9178" w:h="710" w:hRule="exact" w:wrap="none" w:vAnchor="page" w:hAnchor="page" w:x="1297" w:y="776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480" w:right="0" w:firstLine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Závěrečná ujednání</w:t>
      </w:r>
      <w:bookmarkEnd w:id="15"/>
    </w:p>
    <w:p>
      <w:pPr>
        <w:pStyle w:val="Style5"/>
        <w:framePr w:w="9178" w:h="864" w:hRule="exact" w:wrap="none" w:vAnchor="page" w:hAnchor="page" w:x="1297" w:y="8905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1) Příkazce bere na vědomí, že na získání Dotace není právní nárok a že Příkazník nenese</w:t>
        <w:br/>
        <w:t>odpovědnost za obsahovou správnost a pravdivost údajů, dat nebo informací a Podkladů,</w:t>
        <w:br/>
        <w:t>které mu Příkazce za účelem Vypracování Žádosti předal.</w:t>
      </w:r>
    </w:p>
    <w:p>
      <w:pPr>
        <w:pStyle w:val="Style5"/>
        <w:framePr w:w="9178" w:h="869" w:hRule="exact" w:wrap="none" w:vAnchor="page" w:hAnchor="page" w:x="1297" w:y="10152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2) Vzájemná práva a povinnosti Smluvních stran a ostatní záležitosti, které nejsou touto</w:t>
        <w:br/>
        <w:t>Smlouvou výslovně upraveny, se řídí příslušnými ustanoveními občanského zákoníku a dále</w:t>
        <w:br/>
        <w:t>ostatními ustanoveními příslušných právních předpisů.</w:t>
      </w:r>
    </w:p>
    <w:p>
      <w:pPr>
        <w:pStyle w:val="Style5"/>
        <w:numPr>
          <w:ilvl w:val="0"/>
          <w:numId w:val="11"/>
        </w:numPr>
        <w:framePr w:w="9178" w:h="4357" w:hRule="exact" w:wrap="none" w:vAnchor="page" w:hAnchor="page" w:x="1297" w:y="11405"/>
        <w:tabs>
          <w:tab w:leader="none" w:pos="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9" w:line="269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dvou vyhotoveních, z nichž každá ze Smluvních stran obdrží</w:t>
        <w:br/>
        <w:t>po jednom z nich.</w:t>
      </w:r>
    </w:p>
    <w:p>
      <w:pPr>
        <w:pStyle w:val="Style5"/>
        <w:numPr>
          <w:ilvl w:val="0"/>
          <w:numId w:val="11"/>
        </w:numPr>
        <w:framePr w:w="9178" w:h="4357" w:hRule="exact" w:wrap="none" w:vAnchor="page" w:hAnchor="page" w:x="1297" w:y="11405"/>
        <w:tabs>
          <w:tab w:leader="none" w:pos="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5" w:line="220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Tuto Smlouvu lze doplňovat či měnit pouze písemnými, vzestupně číslovanými dodatky.</w:t>
      </w:r>
    </w:p>
    <w:p>
      <w:pPr>
        <w:pStyle w:val="Style5"/>
        <w:numPr>
          <w:ilvl w:val="0"/>
          <w:numId w:val="11"/>
        </w:numPr>
        <w:framePr w:w="9178" w:h="4357" w:hRule="exact" w:wrap="none" w:vAnchor="page" w:hAnchor="page" w:x="1297" w:y="11405"/>
        <w:tabs>
          <w:tab w:leader="none" w:pos="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8" w:line="274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z této Smlouvy nelze platně a účinně postoupit na třetí osobu bez</w:t>
        <w:br/>
        <w:t>předchozího písemného souhlasu druhé Smluvní strany.</w:t>
      </w:r>
    </w:p>
    <w:p>
      <w:pPr>
        <w:pStyle w:val="Style5"/>
        <w:numPr>
          <w:ilvl w:val="0"/>
          <w:numId w:val="11"/>
        </w:numPr>
        <w:framePr w:w="9178" w:h="4357" w:hRule="exact" w:wrap="none" w:vAnchor="page" w:hAnchor="page" w:x="1297" w:y="11405"/>
        <w:tabs>
          <w:tab w:leader="none" w:pos="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kterékoliv ustanovení (či jakákoliv jeho část) této Smlouvy bude z jakéhokoli</w:t>
        <w:br/>
        <w:t>důvodu absolutně neplatné nebo se jím stane nebo bude považováno za neplatné či</w:t>
        <w:br/>
        <w:t>nevynutitelné, budou veškerá ostatní ustanovení (včetně zbývající části dotčeného stanovení)</w:t>
        <w:br/>
        <w:t>této Smlouvy považována za platná a vynutitelná nebo zůstanou i nadále platná a vynutitelná</w:t>
        <w:br/>
        <w:t>v maximálním možném rozsahu. Pro takový případ se Smluvní strany tímto zavazují, že v dobré</w:t>
        <w:br/>
        <w:t>víře vyvinou maximální úsilí k dojednání náhradního ustanovení, jež bude platné, vynutitelné a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460" w:y="73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7pt;height:72pt;">
            <v:imagedata r:id="rId5" r:href="rId6"/>
          </v:shape>
        </w:pict>
      </w:r>
    </w:p>
    <w:p>
      <w:pPr>
        <w:pStyle w:val="Style28"/>
        <w:framePr w:wrap="none" w:vAnchor="page" w:hAnchor="page" w:x="1000" w:y="217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7) Smluvní strany se tímto dohodly, že vynaloží veškeré své úsilí k řešení všech sporů vzniklých</w:t>
      </w:r>
    </w:p>
    <w:p>
      <w:pPr>
        <w:pStyle w:val="Style5"/>
        <w:framePr w:w="9994" w:h="3095" w:hRule="exact" w:wrap="none" w:vAnchor="page" w:hAnchor="page" w:x="1009" w:y="2410"/>
        <w:widowControl w:val="0"/>
        <w:keepNext w:val="0"/>
        <w:keepLines w:val="0"/>
        <w:shd w:val="clear" w:color="auto" w:fill="auto"/>
        <w:bidi w:val="0"/>
        <w:jc w:val="left"/>
        <w:spacing w:before="0" w:after="424" w:line="269" w:lineRule="exact"/>
        <w:ind w:left="460" w:right="9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této Smlouvy nebo v souvislosti s ní zásadně smírnou cestou. K řešení sporů vyplývajících</w:t>
        <w:br/>
        <w:t>z této Smlouvy jsou příslušné obecné soudy ČR.</w:t>
      </w:r>
    </w:p>
    <w:p>
      <w:pPr>
        <w:pStyle w:val="Style5"/>
        <w:numPr>
          <w:ilvl w:val="0"/>
          <w:numId w:val="13"/>
        </w:numPr>
        <w:framePr w:w="9994" w:h="3095" w:hRule="exact" w:wrap="none" w:vAnchor="page" w:hAnchor="page" w:x="1009" w:y="2410"/>
        <w:tabs>
          <w:tab w:leader="none" w:pos="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5" w:line="264" w:lineRule="exact"/>
        <w:ind w:left="460" w:right="920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na důkaz souhlasu a porozumění shora uvedenému připojují své podpisy níže.</w:t>
        <w:br/>
        <w:t>Smluvní strany dále prohlašují, každá samostatně, že jsou oprávněny tuto Smlouvu uzavřít a</w:t>
        <w:br/>
        <w:t>plnit. Na důkaz toho, že smluvní strany s obsahem této Smlouvy souhlasí, rozumí jí a zavazují</w:t>
        <w:br/>
        <w:t>se k jejímu plnění, připojují své podpisy a prohlašují, že tato smlouva byla uzavřena podle jejich</w:t>
        <w:br/>
        <w:t>svobodné a vážné vůle.</w:t>
      </w:r>
    </w:p>
    <w:p>
      <w:pPr>
        <w:pStyle w:val="Style5"/>
        <w:numPr>
          <w:ilvl w:val="0"/>
          <w:numId w:val="13"/>
        </w:numPr>
        <w:framePr w:w="9994" w:h="3095" w:hRule="exact" w:wrap="none" w:vAnchor="page" w:hAnchor="page" w:x="1009" w:y="2410"/>
        <w:tabs>
          <w:tab w:leader="none" w:pos="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60" w:right="873" w:hanging="4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Součástí této Smlouvy je i vzor předávacího protokolu o předání a převzetí Vypracované</w:t>
      </w:r>
    </w:p>
    <w:p>
      <w:pPr>
        <w:pStyle w:val="Style5"/>
        <w:framePr w:wrap="none" w:vAnchor="page" w:hAnchor="page" w:x="1432" w:y="547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Žádosti.</w:t>
      </w:r>
    </w:p>
    <w:p>
      <w:pPr>
        <w:pStyle w:val="Style5"/>
        <w:framePr w:wrap="none" w:vAnchor="page" w:hAnchor="page" w:x="1004" w:y="69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Praze, dne ...</w:t>
      </w:r>
    </w:p>
    <w:p>
      <w:pPr>
        <w:pStyle w:val="Style5"/>
        <w:framePr w:wrap="none" w:vAnchor="page" w:hAnchor="page" w:x="5958" w:y="715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Praze, dne</w:t>
      </w:r>
    </w:p>
    <w:p>
      <w:pPr>
        <w:pStyle w:val="Style30"/>
        <w:framePr w:wrap="none" w:vAnchor="page" w:hAnchor="page" w:x="7220" w:y="6965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bookmarkStart w:id="16" w:name="bookmark16"/>
      <w:r>
        <w:rPr>
          <w:rStyle w:val="CharStyle32"/>
          <w:i/>
          <w:iCs/>
        </w:rPr>
        <w:t>A</w:t>
      </w:r>
      <w:r>
        <w:rPr>
          <w:rStyle w:val="CharStyle33"/>
          <w:i w:val="0"/>
          <w:iCs w:val="0"/>
        </w:rPr>
        <w:t xml:space="preserve"> . </w:t>
      </w:r>
      <w:r>
        <w:rPr>
          <w:rStyle w:val="CharStyle34"/>
          <w:i/>
          <w:iCs/>
        </w:rPr>
        <w:t>7oza</w:t>
      </w:r>
      <w:bookmarkEnd w:id="16"/>
    </w:p>
    <w:p>
      <w:pPr>
        <w:pStyle w:val="Style5"/>
        <w:framePr w:wrap="none" w:vAnchor="page" w:hAnchor="page" w:x="1019" w:y="800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Příkazce:</w:t>
      </w:r>
    </w:p>
    <w:p>
      <w:pPr>
        <w:pStyle w:val="Style5"/>
        <w:framePr w:w="9994" w:h="277" w:hRule="exact" w:wrap="none" w:vAnchor="page" w:hAnchor="page" w:x="1009" w:y="8013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4963" w:right="4109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Příkazník:</w:t>
      </w:r>
    </w:p>
    <w:p>
      <w:pPr>
        <w:framePr w:wrap="none" w:vAnchor="page" w:hAnchor="page" w:x="1283" w:y="8458"/>
        <w:widowControl w:val="0"/>
        <w:rPr>
          <w:sz w:val="2"/>
          <w:szCs w:val="2"/>
        </w:rPr>
      </w:pPr>
      <w:r>
        <w:pict>
          <v:shape id="_x0000_s1027" type="#_x0000_t75" style="width:163pt;height:83pt;">
            <v:imagedata r:id="rId7" r:href="rId8"/>
          </v:shape>
        </w:pict>
      </w:r>
    </w:p>
    <w:p>
      <w:pPr>
        <w:framePr w:wrap="none" w:vAnchor="page" w:hAnchor="page" w:x="6985" w:y="8779"/>
        <w:widowControl w:val="0"/>
        <w:rPr>
          <w:sz w:val="2"/>
          <w:szCs w:val="2"/>
        </w:rPr>
      </w:pPr>
      <w:r>
        <w:pict>
          <v:shape id="_x0000_s1028" type="#_x0000_t75" style="width:169pt;height:57pt;">
            <v:imagedata r:id="rId9" r:href="rId10"/>
          </v:shape>
        </w:pict>
      </w:r>
    </w:p>
    <w:p>
      <w:pPr>
        <w:pStyle w:val="Style35"/>
        <w:framePr w:wrap="none" w:vAnchor="page" w:hAnchor="page" w:x="1019" w:y="1014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37"/>
          <w:b/>
          <w:bCs/>
        </w:rPr>
        <w:t>....</w:t>
      </w:r>
      <w:r>
        <w:rPr>
          <w:rStyle w:val="CharStyle38"/>
          <w:b/>
          <w:bCs/>
        </w:rPr>
        <w:t>...............</w:t>
      </w:r>
      <w:r>
        <w:rPr>
          <w:rStyle w:val="CharStyle39"/>
          <w:b/>
          <w:bCs/>
        </w:rPr>
        <w:t>​</w:t>
      </w:r>
      <w:r>
        <w:rPr>
          <w:rStyle w:val="CharStyle40"/>
          <w:b/>
          <w:bCs/>
        </w:rPr>
        <w:t>...</w:t>
      </w:r>
      <w:r>
        <w:rPr>
          <w:rStyle w:val="CharStyle41"/>
          <w:b/>
          <w:bCs/>
        </w:rPr>
        <w:t>..</w:t>
      </w:r>
      <w:r>
        <w:rPr>
          <w:rStyle w:val="CharStyle39"/>
          <w:b/>
          <w:bCs/>
        </w:rPr>
        <w:t>​................</w:t>
      </w:r>
    </w:p>
    <w:p>
      <w:pPr>
        <w:pStyle w:val="Style42"/>
        <w:framePr w:wrap="none" w:vAnchor="page" w:hAnchor="page" w:x="1024" w:y="1057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44"/>
        </w:rPr>
        <w:t>............​</w:t>
      </w:r>
      <w:r>
        <w:rPr>
          <w:rStyle w:val="CharStyle45"/>
        </w:rPr>
        <w:t>........</w:t>
      </w:r>
      <w:r>
        <w:rPr>
          <w:rStyle w:val="CharStyle46"/>
        </w:rPr>
        <w:t>..</w:t>
      </w:r>
      <w:r>
        <w:rPr>
          <w:rStyle w:val="CharStyle44"/>
        </w:rPr>
        <w:t>​</w:t>
      </w:r>
      <w:r>
        <w:rPr>
          <w:rStyle w:val="CharStyle47"/>
        </w:rPr>
        <w:t>....</w:t>
      </w:r>
      <w:r>
        <w:rPr>
          <w:rStyle w:val="CharStyle45"/>
        </w:rPr>
        <w:t>........</w:t>
      </w:r>
      <w:r>
        <w:rPr>
          <w:rStyle w:val="CharStyle44"/>
        </w:rPr>
        <w:t>​</w:t>
      </w:r>
      <w:r>
        <w:rPr>
          <w:rStyle w:val="CharStyle48"/>
        </w:rPr>
        <w:t>........</w:t>
      </w:r>
      <w:r>
        <w:rPr>
          <w:rStyle w:val="CharStyle49"/>
        </w:rPr>
        <w:t>..</w:t>
      </w:r>
    </w:p>
    <w:p>
      <w:pPr>
        <w:pStyle w:val="Style7"/>
        <w:framePr w:w="2357" w:h="262" w:hRule="exact" w:wrap="none" w:vAnchor="page" w:hAnchor="page" w:x="5968" w:y="1014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50"/>
          <w:b/>
          <w:bCs/>
        </w:rPr>
        <w:t>.</w:t>
      </w:r>
      <w:r>
        <w:rPr>
          <w:rStyle w:val="CharStyle51"/>
          <w:b/>
          <w:bCs/>
        </w:rPr>
        <w:t>.........</w:t>
      </w:r>
      <w:r>
        <w:rPr>
          <w:rStyle w:val="CharStyle52"/>
          <w:b/>
          <w:bCs/>
        </w:rPr>
        <w:t>​</w:t>
      </w:r>
      <w:r>
        <w:rPr>
          <w:rStyle w:val="CharStyle53"/>
          <w:b/>
          <w:bCs/>
        </w:rPr>
        <w:t>.........</w:t>
      </w:r>
      <w:r>
        <w:rPr>
          <w:rStyle w:val="CharStyle52"/>
          <w:b/>
          <w:bCs/>
        </w:rPr>
        <w:t>​</w:t>
      </w:r>
      <w:r>
        <w:rPr>
          <w:rStyle w:val="CharStyle54"/>
          <w:b/>
          <w:bCs/>
        </w:rPr>
        <w:t>....</w:t>
      </w:r>
      <w:r>
        <w:rPr>
          <w:rStyle w:val="CharStyle50"/>
          <w:b/>
          <w:bCs/>
        </w:rPr>
        <w:t>....</w:t>
      </w:r>
    </w:p>
    <w:p>
      <w:pPr>
        <w:pStyle w:val="Style42"/>
        <w:framePr w:w="2357" w:h="253" w:hRule="exact" w:wrap="none" w:vAnchor="page" w:hAnchor="page" w:x="5968" w:y="1061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49"/>
        </w:rPr>
        <w:t>........</w:t>
      </w:r>
      <w:r>
        <w:rPr>
          <w:rStyle w:val="CharStyle44"/>
        </w:rPr>
        <w:t>​</w:t>
      </w:r>
      <w:r>
        <w:rPr>
          <w:rStyle w:val="CharStyle47"/>
        </w:rPr>
        <w:t>.........</w:t>
      </w:r>
      <w:r>
        <w:rPr>
          <w:rStyle w:val="CharStyle45"/>
        </w:rPr>
        <w:t>.</w:t>
      </w:r>
      <w:r>
        <w:rPr>
          <w:rStyle w:val="CharStyle44"/>
        </w:rPr>
        <w:t>​</w:t>
      </w:r>
      <w:r>
        <w:rPr>
          <w:rStyle w:val="CharStyle45"/>
        </w:rPr>
        <w:t>......</w:t>
      </w:r>
      <w:r>
        <w:rPr>
          <w:rStyle w:val="CharStyle46"/>
        </w:rPr>
        <w:t>...</w:t>
      </w:r>
      <w:r>
        <w:rPr>
          <w:rStyle w:val="CharStyle44"/>
        </w:rPr>
        <w:t>​</w:t>
      </w:r>
      <w:r>
        <w:rPr>
          <w:rStyle w:val="CharStyle45"/>
        </w:rPr>
        <w:t>...</w:t>
      </w:r>
      <w:r>
        <w:rPr>
          <w:rStyle w:val="CharStyle46"/>
        </w:rPr>
        <w:t>..........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ndara" w:eastAsia="Candara" w:hAnsi="Candara" w:cs="Candar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ndara" w:eastAsia="Candara" w:hAnsi="Candara" w:cs="Candar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ndara" w:eastAsia="Candara" w:hAnsi="Candara" w:cs="Candar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ndara" w:eastAsia="Candara" w:hAnsi="Candara" w:cs="Candar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ndara" w:eastAsia="Candara" w:hAnsi="Candara" w:cs="Candara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ndara" w:eastAsia="Candara" w:hAnsi="Candara" w:cs="Candara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8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ndara" w:eastAsia="Candara" w:hAnsi="Candara" w:cs="Candar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Candara" w:eastAsia="Candara" w:hAnsi="Candara" w:cs="Candara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character" w:customStyle="1" w:styleId="CharStyle8">
    <w:name w:val="Nadpis #5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character" w:customStyle="1" w:styleId="CharStyle9">
    <w:name w:val="Základní text (2)"/>
    <w:basedOn w:val="CharStyle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Základní text (2) + Řádkování 0 pt"/>
    <w:basedOn w:val="CharStyle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Základní text (2) + Řádkování 0 pt"/>
    <w:basedOn w:val="CharStyle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0 pt"/>
    <w:basedOn w:val="CharStyle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3">
    <w:name w:val="Základní text (2) + Řádkování 0 pt"/>
    <w:basedOn w:val="CharStyle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4">
    <w:name w:val="Základní text (2) + Řádkování 0 pt"/>
    <w:basedOn w:val="CharStyle6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0 pt"/>
    <w:basedOn w:val="CharStyle6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6">
    <w:name w:val="Základní text (2) + Řádkování 0 pt"/>
    <w:basedOn w:val="CharStyle6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7">
    <w:name w:val="Základní text (2) +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9">
    <w:name w:val="Nadpis #3_"/>
    <w:basedOn w:val="DefaultParagraphFont"/>
    <w:link w:val="Style18"/>
    <w:rPr>
      <w:b/>
      <w:bCs/>
      <w:i w:val="0"/>
      <w:iCs w:val="0"/>
      <w:u w:val="none"/>
      <w:strike w:val="0"/>
      <w:smallCaps w:val="0"/>
      <w:sz w:val="14"/>
      <w:szCs w:val="14"/>
      <w:rFonts w:ascii="Candara" w:eastAsia="Candara" w:hAnsi="Candara" w:cs="Candara"/>
      <w:spacing w:val="10"/>
    </w:rPr>
  </w:style>
  <w:style w:type="character" w:customStyle="1" w:styleId="CharStyle21">
    <w:name w:val="Základní text (3)_"/>
    <w:basedOn w:val="DefaultParagraphFont"/>
    <w:link w:val="Style20"/>
    <w:rPr>
      <w:b/>
      <w:bCs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character" w:customStyle="1" w:styleId="CharStyle23">
    <w:name w:val="Záhlaví nebo Zápatí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8"/>
      <w:szCs w:val="8"/>
      <w:rFonts w:ascii="Franklin Gothic Book" w:eastAsia="Franklin Gothic Book" w:hAnsi="Franklin Gothic Book" w:cs="Franklin Gothic Book"/>
    </w:rPr>
  </w:style>
  <w:style w:type="character" w:customStyle="1" w:styleId="CharStyle25">
    <w:name w:val="Základní text (4)_"/>
    <w:basedOn w:val="DefaultParagraphFont"/>
    <w:link w:val="Style24"/>
    <w:rPr>
      <w:b/>
      <w:bCs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character" w:customStyle="1" w:styleId="CharStyle27">
    <w:name w:val="Nadpis #4_"/>
    <w:basedOn w:val="DefaultParagraphFont"/>
    <w:link w:val="Style26"/>
    <w:rPr>
      <w:b/>
      <w:bCs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  <w:spacing w:val="10"/>
    </w:rPr>
  </w:style>
  <w:style w:type="character" w:customStyle="1" w:styleId="CharStyle29">
    <w:name w:val="Titulek obrázku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character" w:customStyle="1" w:styleId="CharStyle31">
    <w:name w:val="Nadpis #2_"/>
    <w:basedOn w:val="DefaultParagraphFont"/>
    <w:link w:val="Style30"/>
    <w:rPr>
      <w:b w:val="0"/>
      <w:bCs w:val="0"/>
      <w:i/>
      <w:iCs/>
      <w:u w:val="none"/>
      <w:strike w:val="0"/>
      <w:smallCaps w:val="0"/>
      <w:sz w:val="34"/>
      <w:szCs w:val="34"/>
      <w:rFonts w:ascii="Franklin Gothic Book" w:eastAsia="Franklin Gothic Book" w:hAnsi="Franklin Gothic Book" w:cs="Franklin Gothic Book"/>
      <w:spacing w:val="20"/>
    </w:rPr>
  </w:style>
  <w:style w:type="character" w:customStyle="1" w:styleId="CharStyle32">
    <w:name w:val="Nadpis #2"/>
    <w:basedOn w:val="CharStyle31"/>
    <w:rPr>
      <w:lang w:val="cs-CZ" w:eastAsia="cs-CZ" w:bidi="cs-CZ"/>
      <w:w w:val="100"/>
      <w:color w:val="000000"/>
      <w:position w:val="0"/>
    </w:rPr>
  </w:style>
  <w:style w:type="character" w:customStyle="1" w:styleId="CharStyle33">
    <w:name w:val="Nadpis #2 + Candara,12 pt,Tučné,Ne kurzíva,Řádkování 0 pt"/>
    <w:basedOn w:val="CharStyle31"/>
    <w:rPr>
      <w:lang w:val="cs-CZ" w:eastAsia="cs-CZ" w:bidi="cs-CZ"/>
      <w:b/>
      <w:bCs/>
      <w:i/>
      <w:iCs/>
      <w:sz w:val="24"/>
      <w:szCs w:val="24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34">
    <w:name w:val="Nadpis #2 + Malá písmena"/>
    <w:basedOn w:val="CharStyle31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36">
    <w:name w:val="Titulek obrázku (2)_"/>
    <w:basedOn w:val="DefaultParagraphFont"/>
    <w:link w:val="Style35"/>
    <w:rPr>
      <w:b/>
      <w:bCs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character" w:customStyle="1" w:styleId="CharStyle37">
    <w:name w:val="Titulek obrázku (2) + Řádkování 0 pt"/>
    <w:basedOn w:val="CharStyle3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38">
    <w:name w:val="Titulek obrázku (2) + Řádkování 0 pt"/>
    <w:basedOn w:val="CharStyle3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39">
    <w:name w:val="Titulek obrázku (2)"/>
    <w:basedOn w:val="CharStyle3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0">
    <w:name w:val="Titulek obrázku (2) + Řádkování 0 pt"/>
    <w:basedOn w:val="CharStyle36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41">
    <w:name w:val="Titulek obrázku (2) + Řádkování 0 pt"/>
    <w:basedOn w:val="CharStyle36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43">
    <w:name w:val="Záhlaví nebo Zápatí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character" w:customStyle="1" w:styleId="CharStyle44">
    <w:name w:val="Záhlaví nebo Zápatí"/>
    <w:basedOn w:val="CharStyle43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5">
    <w:name w:val="Záhlaví nebo Zápatí + Řádkování 0 pt"/>
    <w:basedOn w:val="CharStyle43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46">
    <w:name w:val="Záhlaví nebo Zápatí + Řádkování 0 pt"/>
    <w:basedOn w:val="CharStyle43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47">
    <w:name w:val="Záhlaví nebo Zápatí + Řádkování 0 pt"/>
    <w:basedOn w:val="CharStyle43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48">
    <w:name w:val="Záhlaví nebo Zápatí + Řádkování 0 pt"/>
    <w:basedOn w:val="CharStyle43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49">
    <w:name w:val="Záhlaví nebo Zápatí + Řádkování 0 pt"/>
    <w:basedOn w:val="CharStyle43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50">
    <w:name w:val="Nadpis #5 + Řádkování 0 pt"/>
    <w:basedOn w:val="CharStyle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51">
    <w:name w:val="Nadpis #5 + Řádkování 0 pt"/>
    <w:basedOn w:val="CharStyle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52">
    <w:name w:val="Nadpis #5"/>
    <w:basedOn w:val="CharStyle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53">
    <w:name w:val="Nadpis #5 + Řádkování 0 pt"/>
    <w:basedOn w:val="CharStyle8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54">
    <w:name w:val="Nadpis #5 + Řádkování 0 pt"/>
    <w:basedOn w:val="CharStyle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jc w:val="center"/>
      <w:outlineLvl w:val="0"/>
      <w:spacing w:after="114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ndara" w:eastAsia="Candara" w:hAnsi="Candara" w:cs="Candara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before="1140" w:after="660" w:line="0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paragraph" w:customStyle="1" w:styleId="Style7">
    <w:name w:val="Nadpis #5"/>
    <w:basedOn w:val="Normal"/>
    <w:link w:val="CharStyle8"/>
    <w:pPr>
      <w:widowControl w:val="0"/>
      <w:shd w:val="clear" w:color="auto" w:fill="FFFFFF"/>
      <w:outlineLvl w:val="4"/>
      <w:spacing w:before="660" w:line="427" w:lineRule="exact"/>
      <w:ind w:hanging="480"/>
    </w:pPr>
    <w:rPr>
      <w:b/>
      <w:bCs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FFFFFF"/>
      <w:jc w:val="center"/>
      <w:outlineLvl w:val="2"/>
      <w:spacing w:before="900" w:after="240"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Candara" w:eastAsia="Candara" w:hAnsi="Candara" w:cs="Candara"/>
      <w:spacing w:val="10"/>
    </w:rPr>
  </w:style>
  <w:style w:type="paragraph" w:customStyle="1" w:styleId="Style20">
    <w:name w:val="Základní text (3)"/>
    <w:basedOn w:val="Normal"/>
    <w:link w:val="CharStyle21"/>
    <w:pPr>
      <w:widowControl w:val="0"/>
      <w:shd w:val="clear" w:color="auto" w:fill="FFFFFF"/>
      <w:jc w:val="center"/>
      <w:spacing w:before="240"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paragraph" w:customStyle="1" w:styleId="Style22">
    <w:name w:val="Záhlaví nebo Zápatí (2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Franklin Gothic Book" w:eastAsia="Franklin Gothic Book" w:hAnsi="Franklin Gothic Book" w:cs="Franklin Gothic Book"/>
    </w:rPr>
  </w:style>
  <w:style w:type="paragraph" w:customStyle="1" w:styleId="Style24">
    <w:name w:val="Základní text (4)"/>
    <w:basedOn w:val="Normal"/>
    <w:link w:val="CharStyle25"/>
    <w:pPr>
      <w:widowControl w:val="0"/>
      <w:shd w:val="clear" w:color="auto" w:fill="FFFFFF"/>
      <w:jc w:val="center"/>
      <w:spacing w:before="900" w:after="18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paragraph" w:customStyle="1" w:styleId="Style26">
    <w:name w:val="Nadpis #4"/>
    <w:basedOn w:val="Normal"/>
    <w:link w:val="CharStyle27"/>
    <w:pPr>
      <w:widowControl w:val="0"/>
      <w:shd w:val="clear" w:color="auto" w:fill="FFFFFF"/>
      <w:outlineLvl w:val="3"/>
      <w:spacing w:before="540" w:after="24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  <w:spacing w:val="10"/>
    </w:rPr>
  </w:style>
  <w:style w:type="paragraph" w:customStyle="1" w:styleId="Style28">
    <w:name w:val="Titulek obrázku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paragraph" w:customStyle="1" w:styleId="Style30">
    <w:name w:val="Nadpis #2"/>
    <w:basedOn w:val="Normal"/>
    <w:link w:val="CharStyle31"/>
    <w:pPr>
      <w:widowControl w:val="0"/>
      <w:shd w:val="clear" w:color="auto" w:fill="FFFFFF"/>
      <w:outlineLvl w:val="1"/>
      <w:spacing w:line="0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Franklin Gothic Book" w:eastAsia="Franklin Gothic Book" w:hAnsi="Franklin Gothic Book" w:cs="Franklin Gothic Book"/>
      <w:spacing w:val="20"/>
    </w:rPr>
  </w:style>
  <w:style w:type="paragraph" w:customStyle="1" w:styleId="Style35">
    <w:name w:val="Titulek obrázku (2)"/>
    <w:basedOn w:val="Normal"/>
    <w:link w:val="CharStyle3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  <w:style w:type="paragraph" w:customStyle="1" w:styleId="Style42">
    <w:name w:val="Záhlaví nebo Zápatí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ndara" w:eastAsia="Candara" w:hAnsi="Candara" w:cs="Candar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