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02" w:rsidRDefault="00BE5D34">
      <w:pPr>
        <w:pBdr>
          <w:top w:val="nil"/>
          <w:left w:val="nil"/>
          <w:bottom w:val="nil"/>
          <w:right w:val="nil"/>
          <w:between w:val="nil"/>
        </w:pBdr>
        <w:spacing w:line="240" w:lineRule="auto"/>
        <w:ind w:left="2" w:hanging="4"/>
        <w:jc w:val="center"/>
        <w:rPr>
          <w:color w:val="000000"/>
        </w:rPr>
      </w:pPr>
      <w:r>
        <w:rPr>
          <w:b/>
          <w:color w:val="000000"/>
          <w:sz w:val="36"/>
          <w:szCs w:val="36"/>
        </w:rPr>
        <w:t>Kupní smlouva</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ind w:left="0" w:hanging="2"/>
        <w:jc w:val="center"/>
      </w:pPr>
      <w:r>
        <w:t>uzavřená v souladu se zákonem č. 89/2012 Sb., občanský zákoník v platném znění</w:t>
      </w:r>
    </w:p>
    <w:p w:rsidR="00CB2902" w:rsidRDefault="00CB2902">
      <w:pPr>
        <w:ind w:left="0" w:hanging="2"/>
        <w:jc w:val="center"/>
      </w:pP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jc w:val="center"/>
        <w:rPr>
          <w:b/>
          <w:color w:val="000000"/>
        </w:rPr>
      </w:pPr>
      <w:r>
        <w:rPr>
          <w:b/>
          <w:color w:val="000000"/>
        </w:rPr>
        <w:t>I. Smluvní strany</w:t>
      </w:r>
    </w:p>
    <w:p w:rsidR="00CB2902" w:rsidRDefault="00CB2902">
      <w:pPr>
        <w:pBdr>
          <w:top w:val="nil"/>
          <w:left w:val="nil"/>
          <w:bottom w:val="nil"/>
          <w:right w:val="nil"/>
          <w:between w:val="nil"/>
        </w:pBdr>
        <w:spacing w:line="240" w:lineRule="auto"/>
        <w:ind w:left="0" w:hanging="2"/>
        <w:jc w:val="center"/>
        <w:rPr>
          <w:b/>
        </w:rPr>
      </w:pPr>
    </w:p>
    <w:p w:rsidR="00CB2902" w:rsidRDefault="00CB2902">
      <w:pPr>
        <w:pBdr>
          <w:top w:val="nil"/>
          <w:left w:val="nil"/>
          <w:bottom w:val="nil"/>
          <w:right w:val="nil"/>
          <w:between w:val="nil"/>
        </w:pBdr>
        <w:spacing w:line="240" w:lineRule="auto"/>
        <w:ind w:left="0" w:hanging="2"/>
        <w:jc w:val="center"/>
        <w:rPr>
          <w:b/>
        </w:rPr>
      </w:pP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BE5D34">
      <w:pPr>
        <w:ind w:left="0" w:hanging="2"/>
      </w:pPr>
      <w:r>
        <w:rPr>
          <w:b/>
        </w:rPr>
        <w:t>Prodávající</w:t>
      </w:r>
      <w:r>
        <w:t xml:space="preserve">           </w:t>
      </w:r>
      <w:r>
        <w:tab/>
      </w:r>
      <w:r>
        <w:rPr>
          <w:b/>
        </w:rPr>
        <w:t xml:space="preserve">TGB </w:t>
      </w:r>
      <w:proofErr w:type="spellStart"/>
      <w:r>
        <w:rPr>
          <w:b/>
        </w:rPr>
        <w:t>entrance</w:t>
      </w:r>
      <w:proofErr w:type="spellEnd"/>
      <w:r>
        <w:rPr>
          <w:b/>
        </w:rPr>
        <w:t xml:space="preserve">, s r.o. </w:t>
      </w:r>
      <w:r>
        <w:tab/>
      </w:r>
    </w:p>
    <w:p w:rsidR="00CB2902" w:rsidRDefault="00BE5D34">
      <w:pPr>
        <w:ind w:left="0" w:hanging="2"/>
      </w:pPr>
      <w:r>
        <w:t>Korunní 2569/108</w:t>
      </w:r>
      <w:r>
        <w:tab/>
      </w:r>
      <w:r>
        <w:tab/>
      </w:r>
      <w:r>
        <w:tab/>
      </w:r>
      <w:r>
        <w:tab/>
      </w:r>
    </w:p>
    <w:p w:rsidR="00CB2902" w:rsidRDefault="00BE5D34">
      <w:pPr>
        <w:tabs>
          <w:tab w:val="left" w:pos="708"/>
          <w:tab w:val="left" w:pos="1416"/>
          <w:tab w:val="left" w:pos="2124"/>
          <w:tab w:val="left" w:pos="2832"/>
          <w:tab w:val="left" w:pos="3540"/>
          <w:tab w:val="left" w:pos="4248"/>
          <w:tab w:val="left" w:pos="4956"/>
          <w:tab w:val="left" w:pos="5550"/>
        </w:tabs>
        <w:ind w:left="0" w:hanging="2"/>
      </w:pPr>
      <w:r>
        <w:tab/>
      </w:r>
      <w:r>
        <w:tab/>
      </w:r>
      <w:r>
        <w:tab/>
        <w:t>101 00 Praha 10</w:t>
      </w:r>
    </w:p>
    <w:p w:rsidR="00CB2902" w:rsidRDefault="00BE5D34">
      <w:pPr>
        <w:ind w:left="0" w:hanging="2"/>
      </w:pPr>
      <w:r>
        <w:tab/>
      </w:r>
      <w:r>
        <w:tab/>
      </w:r>
      <w:r>
        <w:tab/>
        <w:t>IČ</w:t>
      </w:r>
      <w:r w:rsidR="00793D59">
        <w:t>O</w:t>
      </w:r>
      <w:r>
        <w:t>: 07362552</w:t>
      </w:r>
    </w:p>
    <w:p w:rsidR="00CB2902" w:rsidRDefault="00BE5D34">
      <w:pPr>
        <w:ind w:left="0" w:hanging="2"/>
      </w:pPr>
      <w:r>
        <w:t>DIČ: CZ07362552</w:t>
      </w:r>
      <w:r>
        <w:tab/>
        <w:t xml:space="preserve"> </w:t>
      </w:r>
    </w:p>
    <w:p w:rsidR="00CB2902" w:rsidRDefault="00BE5D34">
      <w:pPr>
        <w:ind w:left="0" w:hanging="2"/>
      </w:pPr>
      <w:r>
        <w:t xml:space="preserve">bank. </w:t>
      </w:r>
      <w:proofErr w:type="gramStart"/>
      <w:r>
        <w:t>spoj</w:t>
      </w:r>
      <w:proofErr w:type="gramEnd"/>
      <w:r>
        <w:t xml:space="preserve">.: </w:t>
      </w:r>
      <w:proofErr w:type="spellStart"/>
      <w:r w:rsidR="00CD4A8B">
        <w:t>xxx</w:t>
      </w:r>
      <w:proofErr w:type="spellEnd"/>
    </w:p>
    <w:p w:rsidR="00CB2902" w:rsidRDefault="00BE5D34">
      <w:pPr>
        <w:ind w:left="0" w:hanging="2"/>
      </w:pPr>
      <w:proofErr w:type="gramStart"/>
      <w:r>
        <w:t>Č.j.</w:t>
      </w:r>
      <w:proofErr w:type="gramEnd"/>
      <w:r>
        <w:t xml:space="preserve">: </w:t>
      </w:r>
      <w:proofErr w:type="spellStart"/>
      <w:r>
        <w:t>SoD</w:t>
      </w:r>
      <w:proofErr w:type="spellEnd"/>
      <w:r>
        <w:t>: 2021_003</w:t>
      </w:r>
    </w:p>
    <w:p w:rsidR="00CB2902" w:rsidRDefault="00CB2902">
      <w:pPr>
        <w:ind w:left="0" w:hanging="2"/>
      </w:pPr>
    </w:p>
    <w:p w:rsidR="00CB2902" w:rsidRDefault="00BE5D34">
      <w:pPr>
        <w:ind w:left="0" w:hanging="2"/>
        <w:rPr>
          <w:color w:val="000000"/>
        </w:rPr>
      </w:pPr>
      <w:r>
        <w:rPr>
          <w:b/>
          <w:color w:val="000000"/>
        </w:rPr>
        <w:t xml:space="preserve">Zastoupený:         </w:t>
      </w:r>
      <w:r>
        <w:rPr>
          <w:b/>
          <w:color w:val="000000"/>
        </w:rPr>
        <w:tab/>
      </w:r>
      <w:r>
        <w:t xml:space="preserve">Ing. Martinem </w:t>
      </w:r>
      <w:proofErr w:type="spellStart"/>
      <w:r>
        <w:t>Ochozkou</w:t>
      </w:r>
      <w:proofErr w:type="spellEnd"/>
      <w:r>
        <w:t>, ředitelem společnosti</w:t>
      </w: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76" w:lineRule="auto"/>
        <w:ind w:left="0" w:hanging="2"/>
        <w:rPr>
          <w:color w:val="000000"/>
        </w:rPr>
      </w:pPr>
      <w:r>
        <w:rPr>
          <w:b/>
          <w:color w:val="000000"/>
        </w:rPr>
        <w:t xml:space="preserve">Kupující                </w:t>
      </w:r>
      <w:r>
        <w:rPr>
          <w:b/>
          <w:color w:val="000000"/>
        </w:rPr>
        <w:tab/>
        <w:t>Knihovna AV ČR, v. v. i.</w:t>
      </w:r>
    </w:p>
    <w:p w:rsidR="00CB2902" w:rsidRDefault="00BE5D34">
      <w:pPr>
        <w:pBdr>
          <w:top w:val="nil"/>
          <w:left w:val="nil"/>
          <w:bottom w:val="nil"/>
          <w:right w:val="nil"/>
          <w:between w:val="nil"/>
        </w:pBdr>
        <w:spacing w:line="276" w:lineRule="auto"/>
        <w:ind w:left="0" w:hanging="2"/>
        <w:rPr>
          <w:color w:val="000000"/>
        </w:rPr>
      </w:pPr>
      <w:r>
        <w:rPr>
          <w:color w:val="000000"/>
        </w:rPr>
        <w:t xml:space="preserve">                               </w:t>
      </w:r>
      <w:r>
        <w:rPr>
          <w:color w:val="000000"/>
        </w:rPr>
        <w:tab/>
        <w:t xml:space="preserve">Národní 1009/3 </w:t>
      </w:r>
    </w:p>
    <w:p w:rsidR="00CB2902" w:rsidRDefault="00BE5D34">
      <w:pPr>
        <w:pBdr>
          <w:top w:val="nil"/>
          <w:left w:val="nil"/>
          <w:bottom w:val="nil"/>
          <w:right w:val="nil"/>
          <w:between w:val="nil"/>
        </w:pBdr>
        <w:spacing w:line="276" w:lineRule="auto"/>
        <w:ind w:left="0" w:hanging="2"/>
        <w:rPr>
          <w:color w:val="000000"/>
        </w:rPr>
      </w:pPr>
      <w:r>
        <w:rPr>
          <w:color w:val="000000"/>
        </w:rPr>
        <w:tab/>
      </w:r>
      <w:r>
        <w:rPr>
          <w:color w:val="000000"/>
        </w:rPr>
        <w:tab/>
      </w:r>
      <w:r>
        <w:rPr>
          <w:color w:val="000000"/>
        </w:rPr>
        <w:tab/>
      </w:r>
      <w:r>
        <w:rPr>
          <w:color w:val="000000"/>
        </w:rPr>
        <w:tab/>
        <w:t xml:space="preserve">115 22 Praha 1                               </w:t>
      </w:r>
    </w:p>
    <w:p w:rsidR="00CB2902" w:rsidRDefault="00BE5D34">
      <w:pPr>
        <w:pBdr>
          <w:top w:val="nil"/>
          <w:left w:val="nil"/>
          <w:bottom w:val="nil"/>
          <w:right w:val="nil"/>
          <w:between w:val="nil"/>
        </w:pBdr>
        <w:spacing w:line="276" w:lineRule="auto"/>
        <w:ind w:left="0" w:hanging="2"/>
        <w:rPr>
          <w:color w:val="000000"/>
        </w:rPr>
      </w:pPr>
      <w:r>
        <w:rPr>
          <w:color w:val="000000"/>
        </w:rPr>
        <w:t xml:space="preserve">                               </w:t>
      </w:r>
      <w:r>
        <w:rPr>
          <w:color w:val="000000"/>
        </w:rPr>
        <w:tab/>
        <w:t>IČ</w:t>
      </w:r>
      <w:r w:rsidR="00793D59">
        <w:rPr>
          <w:color w:val="000000"/>
        </w:rPr>
        <w:t>O</w:t>
      </w:r>
      <w:r>
        <w:rPr>
          <w:color w:val="000000"/>
        </w:rPr>
        <w:t>: 67985971</w:t>
      </w:r>
    </w:p>
    <w:p w:rsidR="00CB2902" w:rsidRDefault="00BE5D34">
      <w:pPr>
        <w:spacing w:line="276" w:lineRule="auto"/>
        <w:ind w:left="0" w:hanging="2"/>
      </w:pPr>
      <w:r>
        <w:t>DIČ: CZ67985971</w:t>
      </w:r>
    </w:p>
    <w:p w:rsidR="00CB2902" w:rsidRDefault="00BE5D34">
      <w:pPr>
        <w:spacing w:line="276" w:lineRule="auto"/>
        <w:ind w:left="0" w:hanging="2"/>
      </w:pPr>
      <w:r>
        <w:t xml:space="preserve">bank. </w:t>
      </w:r>
      <w:proofErr w:type="gramStart"/>
      <w:r>
        <w:t>spoj</w:t>
      </w:r>
      <w:proofErr w:type="gramEnd"/>
      <w:r>
        <w:t xml:space="preserve">.: </w:t>
      </w:r>
      <w:proofErr w:type="spellStart"/>
      <w:r w:rsidR="00CD4A8B">
        <w:t>xxx</w:t>
      </w:r>
      <w:proofErr w:type="spellEnd"/>
    </w:p>
    <w:p w:rsidR="00CB2902" w:rsidRDefault="00BE5D34">
      <w:pPr>
        <w:spacing w:line="276" w:lineRule="auto"/>
        <w:ind w:left="0" w:hanging="2"/>
      </w:pPr>
      <w:proofErr w:type="gramStart"/>
      <w:r>
        <w:t>Č.j.</w:t>
      </w:r>
      <w:proofErr w:type="gramEnd"/>
      <w:r>
        <w:t>: KNAV-</w:t>
      </w:r>
      <w:r w:rsidR="002C3636">
        <w:t>406</w:t>
      </w:r>
      <w:r>
        <w:t>/2021</w:t>
      </w:r>
    </w:p>
    <w:p w:rsidR="00CB2902" w:rsidRDefault="00BE5D34">
      <w:pPr>
        <w:pBdr>
          <w:top w:val="nil"/>
          <w:left w:val="nil"/>
          <w:bottom w:val="nil"/>
          <w:right w:val="nil"/>
          <w:between w:val="nil"/>
        </w:pBdr>
        <w:spacing w:line="240" w:lineRule="auto"/>
        <w:ind w:left="0" w:hanging="2"/>
        <w:rPr>
          <w:color w:val="000000"/>
        </w:rPr>
      </w:pPr>
      <w:r>
        <w:rPr>
          <w:color w:val="000000"/>
        </w:rPr>
        <w:t xml:space="preserve">                              </w:t>
      </w:r>
    </w:p>
    <w:p w:rsidR="00CB2902" w:rsidRDefault="00BE5D34">
      <w:pPr>
        <w:pBdr>
          <w:top w:val="nil"/>
          <w:left w:val="nil"/>
          <w:bottom w:val="nil"/>
          <w:right w:val="nil"/>
          <w:between w:val="nil"/>
        </w:pBdr>
        <w:spacing w:line="240" w:lineRule="auto"/>
        <w:ind w:left="0" w:hanging="2"/>
        <w:rPr>
          <w:color w:val="000000"/>
        </w:rPr>
      </w:pPr>
      <w:r>
        <w:rPr>
          <w:b/>
          <w:color w:val="000000"/>
        </w:rPr>
        <w:t>Zastoupený:</w:t>
      </w:r>
      <w:r>
        <w:rPr>
          <w:color w:val="000000"/>
        </w:rPr>
        <w:t xml:space="preserve">         </w:t>
      </w:r>
      <w:r>
        <w:rPr>
          <w:color w:val="000000"/>
        </w:rPr>
        <w:tab/>
        <w:t xml:space="preserve">Ing. Magdalénou </w:t>
      </w:r>
      <w:proofErr w:type="spellStart"/>
      <w:r>
        <w:rPr>
          <w:color w:val="000000"/>
        </w:rPr>
        <w:t>Veckovou</w:t>
      </w:r>
      <w:proofErr w:type="spellEnd"/>
      <w:r>
        <w:rPr>
          <w:color w:val="000000"/>
        </w:rPr>
        <w:t>, ředitelkou knihovny</w:t>
      </w: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color w:val="000000"/>
        </w:rPr>
        <w:t>II. Předmět plnění</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pPr>
      <w:r>
        <w:rPr>
          <w:color w:val="000000"/>
        </w:rPr>
        <w:t xml:space="preserve">Předmětem plnění je dodávka, instalace a zprovoznění </w:t>
      </w:r>
      <w:r>
        <w:t>senzorové bariéry dle nabídky NMO21_086a, která je přílohou č. 1 této smlouvy.</w:t>
      </w:r>
    </w:p>
    <w:p w:rsidR="00CB2902" w:rsidRDefault="00CB2902">
      <w:pPr>
        <w:pBdr>
          <w:top w:val="nil"/>
          <w:left w:val="nil"/>
          <w:bottom w:val="nil"/>
          <w:right w:val="nil"/>
          <w:between w:val="nil"/>
        </w:pBdr>
        <w:spacing w:line="240" w:lineRule="auto"/>
        <w:ind w:left="0" w:hanging="2"/>
      </w:pP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color w:val="000000"/>
        </w:rPr>
        <w:t>III. Termín a místo plnění</w:t>
      </w: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rPr>
          <w:color w:val="000000"/>
        </w:rPr>
      </w:pPr>
      <w:r>
        <w:rPr>
          <w:b/>
          <w:color w:val="000000"/>
        </w:rPr>
        <w:t xml:space="preserve">Termín plnění: </w:t>
      </w:r>
      <w:r>
        <w:rPr>
          <w:color w:val="000000"/>
        </w:rPr>
        <w:t xml:space="preserve"> od 16. 8. 2021 </w:t>
      </w:r>
      <w:proofErr w:type="gramStart"/>
      <w:r>
        <w:t>d</w:t>
      </w:r>
      <w:r>
        <w:rPr>
          <w:color w:val="000000"/>
        </w:rPr>
        <w:t>o</w:t>
      </w:r>
      <w:bookmarkStart w:id="0" w:name="_GoBack"/>
      <w:bookmarkEnd w:id="0"/>
      <w:proofErr w:type="gramEnd"/>
      <w:r>
        <w:rPr>
          <w:color w:val="000000"/>
        </w:rPr>
        <w:t>: 2</w:t>
      </w:r>
      <w:r>
        <w:t>0</w:t>
      </w:r>
      <w:r>
        <w:rPr>
          <w:color w:val="000000"/>
        </w:rPr>
        <w:t xml:space="preserve">. </w:t>
      </w:r>
      <w:r>
        <w:t>8</w:t>
      </w:r>
      <w:r>
        <w:rPr>
          <w:color w:val="000000"/>
        </w:rPr>
        <w:t>. 20</w:t>
      </w:r>
      <w:r>
        <w:t>21</w:t>
      </w:r>
    </w:p>
    <w:p w:rsidR="00CB2902" w:rsidRDefault="00BE5D34">
      <w:pPr>
        <w:pBdr>
          <w:top w:val="nil"/>
          <w:left w:val="nil"/>
          <w:bottom w:val="nil"/>
          <w:right w:val="nil"/>
          <w:between w:val="nil"/>
        </w:pBdr>
        <w:spacing w:line="240" w:lineRule="auto"/>
        <w:ind w:left="0" w:hanging="2"/>
        <w:rPr>
          <w:color w:val="000000"/>
        </w:rPr>
      </w:pPr>
      <w:r>
        <w:t>Součástí plnění je i</w:t>
      </w:r>
      <w:r>
        <w:rPr>
          <w:color w:val="000000"/>
        </w:rPr>
        <w:t>nstalace, nastavení, oživení a zaškolení</w:t>
      </w:r>
      <w:r>
        <w:t xml:space="preserve"> a uvedení do trvalého provozu.</w:t>
      </w:r>
    </w:p>
    <w:p w:rsidR="00CB2902" w:rsidRDefault="00BE5D34">
      <w:pPr>
        <w:pBdr>
          <w:top w:val="nil"/>
          <w:left w:val="nil"/>
          <w:bottom w:val="nil"/>
          <w:right w:val="nil"/>
          <w:between w:val="nil"/>
        </w:pBdr>
        <w:spacing w:line="240" w:lineRule="auto"/>
        <w:ind w:left="0" w:hanging="2"/>
        <w:rPr>
          <w:color w:val="000000"/>
        </w:rPr>
      </w:pPr>
      <w:r>
        <w:rPr>
          <w:b/>
          <w:color w:val="000000"/>
        </w:rPr>
        <w:t>Místo plnění:</w:t>
      </w:r>
      <w:r>
        <w:rPr>
          <w:color w:val="000000"/>
        </w:rPr>
        <w:t xml:space="preserve"> Budova Knihovny AV ČR, Národní 1009/3, Praha 1       </w:t>
      </w:r>
    </w:p>
    <w:p w:rsidR="00CB2902" w:rsidRDefault="00CB2902">
      <w:pPr>
        <w:pBdr>
          <w:top w:val="nil"/>
          <w:left w:val="nil"/>
          <w:bottom w:val="nil"/>
          <w:right w:val="nil"/>
          <w:between w:val="nil"/>
        </w:pBdr>
        <w:spacing w:line="240" w:lineRule="auto"/>
        <w:ind w:left="0" w:hanging="2"/>
      </w:pPr>
    </w:p>
    <w:p w:rsidR="00CB2902" w:rsidRDefault="00CB2902">
      <w:pPr>
        <w:pBdr>
          <w:top w:val="nil"/>
          <w:left w:val="nil"/>
          <w:bottom w:val="nil"/>
          <w:right w:val="nil"/>
          <w:between w:val="nil"/>
        </w:pBdr>
        <w:spacing w:line="240" w:lineRule="auto"/>
        <w:ind w:left="0" w:hanging="2"/>
      </w:pPr>
    </w:p>
    <w:p w:rsidR="00CB2902" w:rsidRDefault="00BE5D34">
      <w:pPr>
        <w:pBdr>
          <w:top w:val="nil"/>
          <w:left w:val="nil"/>
          <w:bottom w:val="nil"/>
          <w:right w:val="nil"/>
          <w:between w:val="nil"/>
        </w:pBdr>
        <w:spacing w:line="240" w:lineRule="auto"/>
        <w:ind w:left="0" w:hanging="2"/>
        <w:rPr>
          <w:color w:val="000000"/>
        </w:rPr>
      </w:pPr>
      <w:r>
        <w:rPr>
          <w:color w:val="000000"/>
        </w:rPr>
        <w:t xml:space="preserve">                        </w:t>
      </w:r>
    </w:p>
    <w:p w:rsidR="00CB2902" w:rsidRDefault="00BE5D34">
      <w:pPr>
        <w:pBdr>
          <w:top w:val="nil"/>
          <w:left w:val="nil"/>
          <w:bottom w:val="nil"/>
          <w:right w:val="nil"/>
          <w:between w:val="nil"/>
        </w:pBdr>
        <w:spacing w:line="240" w:lineRule="auto"/>
        <w:ind w:left="0" w:hanging="2"/>
        <w:rPr>
          <w:color w:val="000000"/>
        </w:rPr>
      </w:pPr>
      <w:r>
        <w:rPr>
          <w:color w:val="000000"/>
        </w:rPr>
        <w:t xml:space="preserve">                               </w:t>
      </w:r>
    </w:p>
    <w:p w:rsidR="00CB2902" w:rsidRDefault="00BE5D34">
      <w:pPr>
        <w:pBdr>
          <w:top w:val="nil"/>
          <w:left w:val="nil"/>
          <w:bottom w:val="nil"/>
          <w:right w:val="nil"/>
          <w:between w:val="nil"/>
        </w:pBdr>
        <w:spacing w:line="240" w:lineRule="auto"/>
        <w:ind w:left="0" w:hanging="2"/>
        <w:jc w:val="center"/>
        <w:rPr>
          <w:color w:val="000000"/>
        </w:rPr>
      </w:pPr>
      <w:r>
        <w:rPr>
          <w:b/>
          <w:color w:val="000000"/>
        </w:rPr>
        <w:lastRenderedPageBreak/>
        <w:t>IV. Cena předmětu plnění</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Cena celkem bez DPH:</w:t>
      </w:r>
      <w:r>
        <w:tab/>
        <w:t>230.690</w:t>
      </w:r>
      <w:r>
        <w:rPr>
          <w:color w:val="000000"/>
        </w:rPr>
        <w:t xml:space="preserve"> Kč</w:t>
      </w:r>
    </w:p>
    <w:p w:rsidR="00CB2902" w:rsidRDefault="00BE5D34">
      <w:pPr>
        <w:pBdr>
          <w:top w:val="nil"/>
          <w:left w:val="nil"/>
          <w:bottom w:val="nil"/>
          <w:right w:val="nil"/>
          <w:between w:val="nil"/>
        </w:pBdr>
        <w:spacing w:line="240" w:lineRule="auto"/>
        <w:ind w:left="0" w:hanging="2"/>
        <w:rPr>
          <w:color w:val="000000"/>
        </w:rPr>
      </w:pPr>
      <w:r>
        <w:rPr>
          <w:color w:val="000000"/>
        </w:rPr>
        <w:t xml:space="preserve">DPH:                                        </w:t>
      </w:r>
      <w:r>
        <w:t>0</w:t>
      </w:r>
      <w:r>
        <w:rPr>
          <w:color w:val="000000"/>
        </w:rPr>
        <w:t xml:space="preserve"> Kč </w:t>
      </w:r>
      <w:r>
        <w:t>přenesená daňová povinnost</w:t>
      </w: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Cena je pevná a v průběhu plnění smlouvy nepodléhá jakýmkoliv změnám. Cena zahrnuje mimo jiné veškeré náklady na pracovní sílu, veškeré případné náklady související s dodáním, dopravou, zapojením a zprovozněním v místě plnění a všechny položky, o kterých se lze domnívat, že nejsou dostatečně zahrnuty jinde v položkovém rozpočtu.</w:t>
      </w: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color w:val="000000"/>
        </w:rPr>
        <w:t>V. Předání a převzetí předmětu plnění</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 xml:space="preserve">Prodávající vyzve kupujícího k převzetí předmětu plnění nejméně </w:t>
      </w:r>
      <w:r>
        <w:t>3</w:t>
      </w:r>
      <w:r>
        <w:rPr>
          <w:color w:val="000000"/>
        </w:rPr>
        <w:t xml:space="preserve"> pracovní dny </w:t>
      </w:r>
      <w:r>
        <w:t>přede</w:t>
      </w:r>
      <w:r>
        <w:rPr>
          <w:color w:val="000000"/>
        </w:rPr>
        <w:t xml:space="preserve"> dnem předání zboží. Ve výzvě uvede datum a hodinu předání.</w:t>
      </w:r>
    </w:p>
    <w:p w:rsidR="00CB2902" w:rsidRDefault="00BE5D34">
      <w:pPr>
        <w:pBdr>
          <w:top w:val="nil"/>
          <w:left w:val="nil"/>
          <w:bottom w:val="nil"/>
          <w:right w:val="nil"/>
          <w:between w:val="nil"/>
        </w:pBdr>
        <w:spacing w:line="240" w:lineRule="auto"/>
        <w:ind w:left="0" w:hanging="2"/>
        <w:rPr>
          <w:color w:val="000000"/>
        </w:rPr>
      </w:pPr>
      <w:r>
        <w:rPr>
          <w:color w:val="000000"/>
        </w:rPr>
        <w:t xml:space="preserve">O předání zboží bude sepsán předávací protokol ve dvou vyhotoveních, který dokládá řádné předání a převzetí předmětu plnění a stane se nedílnou součástí </w:t>
      </w:r>
      <w:r>
        <w:t>faktury</w:t>
      </w:r>
      <w:r>
        <w:rPr>
          <w:color w:val="000000"/>
        </w:rPr>
        <w:t>.</w:t>
      </w:r>
    </w:p>
    <w:p w:rsidR="00CB2902" w:rsidRDefault="00BE5D34">
      <w:pPr>
        <w:pBdr>
          <w:top w:val="nil"/>
          <w:left w:val="nil"/>
          <w:bottom w:val="nil"/>
          <w:right w:val="nil"/>
          <w:between w:val="nil"/>
        </w:pBdr>
        <w:spacing w:line="240" w:lineRule="auto"/>
        <w:ind w:left="0" w:hanging="2"/>
        <w:rPr>
          <w:color w:val="000000"/>
        </w:rPr>
      </w:pPr>
      <w:r>
        <w:rPr>
          <w:color w:val="000000"/>
        </w:rPr>
        <w:t>Kupující je povinen převzít předmět plnění i v případě, že se v průběhu předání objeví některé nepodstatné a ojedinělé vady, které však nebrání řádnému užívání předmětu plnění, zaváže-li se prodávající tyto vady odstranit v termínu schváleném oběma smluvními stranami. Tento termín bude součástí pořízeného předávacího protokolu.</w:t>
      </w: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color w:val="000000"/>
        </w:rPr>
        <w:t>VI. Platební podmínky</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Kupující neposkytuje prodávajícímu zálohu na předmět plnění.</w:t>
      </w:r>
    </w:p>
    <w:p w:rsidR="00CB2902" w:rsidRDefault="00BE5D34">
      <w:pPr>
        <w:pBdr>
          <w:top w:val="nil"/>
          <w:left w:val="nil"/>
          <w:bottom w:val="nil"/>
          <w:right w:val="nil"/>
          <w:between w:val="nil"/>
        </w:pBdr>
        <w:spacing w:line="240" w:lineRule="auto"/>
        <w:ind w:left="0" w:hanging="2"/>
        <w:rPr>
          <w:color w:val="000000"/>
        </w:rPr>
      </w:pPr>
      <w:r>
        <w:rPr>
          <w:color w:val="000000"/>
        </w:rPr>
        <w:t xml:space="preserve">Po řádném předání a převzetí zboží vystaví prodávající kupujícímu fakturu s náležitostmi účetního dokladu. Faktura bude vystavena v Korunách českých (Kč). V případě převzetí předmětu plnění s nedostatky a ojedinělými vadami, které nebrání řádnému užívání předmětu plnění, bude faktura vystavena do výše 90 % ceny.  </w:t>
      </w:r>
      <w:r>
        <w:t>Zbývajících</w:t>
      </w:r>
      <w:r>
        <w:rPr>
          <w:color w:val="000000"/>
        </w:rPr>
        <w:t xml:space="preserve"> 10 % ceny bude vyúčtováno až po </w:t>
      </w:r>
      <w:r>
        <w:t>úplném</w:t>
      </w:r>
      <w:r>
        <w:rPr>
          <w:color w:val="000000"/>
        </w:rPr>
        <w:t xml:space="preserve"> odstranění veškerých vad a nedostatků.</w:t>
      </w:r>
    </w:p>
    <w:p w:rsidR="00CB2902" w:rsidRDefault="00BE5D34">
      <w:pPr>
        <w:pBdr>
          <w:top w:val="nil"/>
          <w:left w:val="nil"/>
          <w:bottom w:val="nil"/>
          <w:right w:val="nil"/>
          <w:between w:val="nil"/>
        </w:pBdr>
        <w:spacing w:line="240" w:lineRule="auto"/>
        <w:ind w:left="0" w:hanging="2"/>
        <w:rPr>
          <w:color w:val="000000"/>
        </w:rPr>
      </w:pPr>
      <w:r>
        <w:rPr>
          <w:color w:val="000000"/>
        </w:rPr>
        <w:t>Splatnost faktury je 30 dnů ode dne doručení faktury kupujícímu. Nebude-li faktura splňovat stanovené požadavky nebo bude vystavena předčasně, je kupující oprávněn fakturu vrátit. Účinky doručení faktury pro její splatnost v tomto případě nenastanou.</w:t>
      </w:r>
    </w:p>
    <w:p w:rsidR="00CB2902" w:rsidRDefault="00CB2902">
      <w:pPr>
        <w:pBdr>
          <w:top w:val="nil"/>
          <w:left w:val="nil"/>
          <w:bottom w:val="nil"/>
          <w:right w:val="nil"/>
          <w:between w:val="nil"/>
        </w:pBdr>
        <w:spacing w:line="240" w:lineRule="auto"/>
        <w:ind w:left="0" w:hanging="2"/>
      </w:pPr>
    </w:p>
    <w:p w:rsidR="00CB2902" w:rsidRDefault="00CB2902">
      <w:pPr>
        <w:ind w:left="0" w:hanging="2"/>
        <w:jc w:val="center"/>
        <w:rPr>
          <w:b/>
        </w:rPr>
      </w:pPr>
    </w:p>
    <w:p w:rsidR="00CB2902" w:rsidRDefault="00BE5D34">
      <w:pPr>
        <w:ind w:left="0" w:hanging="2"/>
        <w:jc w:val="center"/>
        <w:rPr>
          <w:b/>
        </w:rPr>
      </w:pPr>
      <w:r>
        <w:rPr>
          <w:b/>
        </w:rPr>
        <w:t>VII: Podmínky plnění smluvních stran</w:t>
      </w:r>
    </w:p>
    <w:p w:rsidR="00CB2902" w:rsidRDefault="00BE5D34">
      <w:pPr>
        <w:numPr>
          <w:ilvl w:val="0"/>
          <w:numId w:val="5"/>
        </w:numPr>
        <w:ind w:left="0" w:hanging="2"/>
      </w:pPr>
      <w:r>
        <w:t>Kupující zajistí stavební přípravu a přívod energie dle podkladů zhotovitele</w:t>
      </w:r>
    </w:p>
    <w:p w:rsidR="00CB2902" w:rsidRDefault="00BE5D34">
      <w:pPr>
        <w:numPr>
          <w:ilvl w:val="0"/>
          <w:numId w:val="1"/>
        </w:numPr>
        <w:ind w:left="0" w:hanging="2"/>
      </w:pPr>
      <w:r>
        <w:t xml:space="preserve">zajistí součinnost IT technologií </w:t>
      </w:r>
    </w:p>
    <w:p w:rsidR="00CB2902" w:rsidRDefault="00BE5D34">
      <w:pPr>
        <w:numPr>
          <w:ilvl w:val="0"/>
          <w:numId w:val="1"/>
        </w:numPr>
        <w:ind w:left="0" w:hanging="2"/>
      </w:pPr>
      <w:r>
        <w:t>zajistí, aby nebyl řádný průběh prací zhotovitele narušován neoprávněnými zásahy třetích osob</w:t>
      </w:r>
    </w:p>
    <w:p w:rsidR="00CB2902" w:rsidRDefault="00BE5D34">
      <w:pPr>
        <w:numPr>
          <w:ilvl w:val="0"/>
          <w:numId w:val="1"/>
        </w:numPr>
        <w:ind w:left="0" w:hanging="2"/>
      </w:pPr>
      <w:r>
        <w:t>zajistí a je oprávněn kontrolovat provádění díla podle občanského zákoníku v platném znění i s důsledky z tohoto vyplývajícími.</w:t>
      </w:r>
    </w:p>
    <w:p w:rsidR="00CB2902" w:rsidRDefault="00CB2902">
      <w:pPr>
        <w:tabs>
          <w:tab w:val="center" w:pos="4536"/>
          <w:tab w:val="right" w:pos="9072"/>
        </w:tabs>
        <w:ind w:left="0" w:hanging="2"/>
      </w:pPr>
    </w:p>
    <w:p w:rsidR="00CB2902" w:rsidRDefault="00BE5D34">
      <w:pPr>
        <w:tabs>
          <w:tab w:val="center" w:pos="4536"/>
          <w:tab w:val="right" w:pos="9072"/>
        </w:tabs>
        <w:ind w:left="0" w:hanging="2"/>
      </w:pPr>
      <w:r>
        <w:t>Prodávající</w:t>
      </w:r>
    </w:p>
    <w:p w:rsidR="00CB2902" w:rsidRDefault="00BE5D34">
      <w:pPr>
        <w:numPr>
          <w:ilvl w:val="0"/>
          <w:numId w:val="4"/>
        </w:numPr>
        <w:ind w:left="0" w:hanging="2"/>
      </w:pPr>
      <w:r>
        <w:t>je povinen upozornit kupujícího na případné vady podkladů nebo nevhodnost jeho pokynů bez zbytečného odkladu po zjištění a do rozhodnutí kupujícího je oprávněn přerušit provádění prací,</w:t>
      </w:r>
    </w:p>
    <w:p w:rsidR="00CB2902" w:rsidRDefault="00BE5D34">
      <w:pPr>
        <w:numPr>
          <w:ilvl w:val="0"/>
          <w:numId w:val="4"/>
        </w:numPr>
        <w:ind w:left="0" w:hanging="2"/>
      </w:pPr>
      <w:r>
        <w:t>je povinen oznámit bez zbytečného odkladu po zjištění skryté překážky, zabraňující dodržení závazných pokynů kupujícího,</w:t>
      </w:r>
    </w:p>
    <w:p w:rsidR="00CB2902" w:rsidRDefault="00BE5D34">
      <w:pPr>
        <w:numPr>
          <w:ilvl w:val="0"/>
          <w:numId w:val="4"/>
        </w:numPr>
        <w:ind w:left="0" w:hanging="2"/>
      </w:pPr>
      <w:r>
        <w:lastRenderedPageBreak/>
        <w:t>je povinen vyzvat kupujícího nejméně 3 dny před předáním a převzetím díla. Výzva bude provedena prokazatelným způsobem.</w:t>
      </w:r>
    </w:p>
    <w:p w:rsidR="00CB2902" w:rsidRDefault="00BE5D34">
      <w:pPr>
        <w:numPr>
          <w:ilvl w:val="0"/>
          <w:numId w:val="4"/>
        </w:numPr>
        <w:ind w:left="0" w:hanging="2"/>
      </w:pPr>
      <w:r>
        <w:t>Předání díla bude provedeno formou provozní zkoušky dodávky za účasti zástupce objednatele, vyškoleného zaměstnance objednatele.</w:t>
      </w:r>
    </w:p>
    <w:p w:rsidR="00CB2902" w:rsidRDefault="00CB2902">
      <w:pPr>
        <w:ind w:left="0" w:hanging="2"/>
      </w:pP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color w:val="000000"/>
        </w:rPr>
        <w:t>VIII. Smluvní pokuty</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Pro případ prodlení s předáním předmětu plnění sjednávají strany smluvní pokutu ve výši 0,5 % z ceny předmětu plnění bez DPH za každý započatý den prodlení.</w:t>
      </w:r>
    </w:p>
    <w:p w:rsidR="00CB2902" w:rsidRDefault="00BE5D34">
      <w:pPr>
        <w:pBdr>
          <w:top w:val="nil"/>
          <w:left w:val="nil"/>
          <w:bottom w:val="nil"/>
          <w:right w:val="nil"/>
          <w:between w:val="nil"/>
        </w:pBdr>
        <w:spacing w:line="240" w:lineRule="auto"/>
        <w:ind w:left="0" w:hanging="2"/>
        <w:rPr>
          <w:color w:val="000000"/>
        </w:rPr>
      </w:pPr>
      <w:r>
        <w:rPr>
          <w:color w:val="000000"/>
        </w:rPr>
        <w:t>Pro případ prodlení s úhradou řádně vystavené a splatné faktury sjednávají strany smluvní pokutu ve výši 0,2% z dlužné částky za každý započatý kalendářní den.</w:t>
      </w:r>
    </w:p>
    <w:p w:rsidR="00CB2902" w:rsidRDefault="00BE5D34">
      <w:pPr>
        <w:pBdr>
          <w:top w:val="nil"/>
          <w:left w:val="nil"/>
          <w:bottom w:val="nil"/>
          <w:right w:val="nil"/>
          <w:between w:val="nil"/>
        </w:pBdr>
        <w:spacing w:line="240" w:lineRule="auto"/>
        <w:ind w:left="0" w:hanging="2"/>
        <w:rPr>
          <w:color w:val="000000"/>
        </w:rPr>
      </w:pPr>
      <w:r>
        <w:rPr>
          <w:color w:val="000000"/>
        </w:rPr>
        <w:t>Pro případ prodlení s odstraňováním vad sjednávají strany smluvní pokutu ve výši 0,5 % z ceny předmětu plnění bez DPH za každý započatý den prodlení.</w:t>
      </w: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rPr>
        <w:t>IX</w:t>
      </w:r>
      <w:r>
        <w:rPr>
          <w:b/>
          <w:color w:val="000000"/>
        </w:rPr>
        <w:t>. Záruční podmínky</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Prodávající poskytuje záruku, že dodané zboží (předmět plnění) bude po dobu 24 měsíců způsobilé pro použití k obvyklému účelu a že si zachová obvyklé vlastnosti.</w:t>
      </w:r>
    </w:p>
    <w:p w:rsidR="00CB2902" w:rsidRDefault="00BE5D34">
      <w:pPr>
        <w:pBdr>
          <w:top w:val="nil"/>
          <w:left w:val="nil"/>
          <w:bottom w:val="nil"/>
          <w:right w:val="nil"/>
          <w:between w:val="nil"/>
        </w:pBdr>
        <w:spacing w:line="240" w:lineRule="auto"/>
        <w:ind w:left="0" w:hanging="2"/>
      </w:pPr>
      <w:r>
        <w:rPr>
          <w:color w:val="000000"/>
        </w:rPr>
        <w:t>Záruční doba počíná běžet ode dne sepsání zápisu o řádném předání a převzetí zboží.</w:t>
      </w:r>
    </w:p>
    <w:p w:rsidR="00CB2902" w:rsidRDefault="00CB2902">
      <w:pPr>
        <w:pBdr>
          <w:top w:val="nil"/>
          <w:left w:val="nil"/>
          <w:bottom w:val="nil"/>
          <w:right w:val="nil"/>
          <w:between w:val="nil"/>
        </w:pBdr>
        <w:spacing w:line="240" w:lineRule="auto"/>
        <w:ind w:left="0" w:hanging="2"/>
      </w:pPr>
    </w:p>
    <w:p w:rsidR="00CB2902" w:rsidRDefault="00BE5D34">
      <w:pPr>
        <w:pBdr>
          <w:top w:val="nil"/>
          <w:left w:val="nil"/>
          <w:bottom w:val="nil"/>
          <w:right w:val="nil"/>
          <w:between w:val="nil"/>
        </w:pBdr>
        <w:spacing w:line="240" w:lineRule="auto"/>
        <w:ind w:left="0" w:hanging="2"/>
      </w:pPr>
      <w:r>
        <w:t>Záruka pokrývá:</w:t>
      </w:r>
    </w:p>
    <w:p w:rsidR="00CB2902" w:rsidRDefault="00BE5D34">
      <w:pPr>
        <w:numPr>
          <w:ilvl w:val="0"/>
          <w:numId w:val="2"/>
        </w:numPr>
        <w:ind w:left="0" w:hanging="2"/>
      </w:pPr>
      <w:r>
        <w:t>telefonické a elektronické konzultace pro řešení menších problémů</w:t>
      </w:r>
    </w:p>
    <w:p w:rsidR="00CB2902" w:rsidRDefault="00BE5D34">
      <w:pPr>
        <w:numPr>
          <w:ilvl w:val="0"/>
          <w:numId w:val="2"/>
        </w:numPr>
        <w:ind w:left="0" w:hanging="2"/>
      </w:pPr>
      <w:r>
        <w:t>náhradní díly za vyměňované části systému, jejichž porucha nevznikla neodborným zacházením, neoprávněnou manipulací nebo zásahem vyšší moci</w:t>
      </w:r>
    </w:p>
    <w:p w:rsidR="00CB2902" w:rsidRDefault="00BE5D34">
      <w:pPr>
        <w:numPr>
          <w:ilvl w:val="0"/>
          <w:numId w:val="2"/>
        </w:numPr>
        <w:ind w:left="0" w:hanging="2"/>
      </w:pPr>
      <w:r>
        <w:t xml:space="preserve">práci servisního technika pro práce ad b) </w:t>
      </w:r>
    </w:p>
    <w:p w:rsidR="00CB2902" w:rsidRDefault="00BE5D34">
      <w:pPr>
        <w:numPr>
          <w:ilvl w:val="0"/>
          <w:numId w:val="2"/>
        </w:numPr>
        <w:ind w:left="0" w:hanging="2"/>
      </w:pPr>
      <w:r>
        <w:t xml:space="preserve">cestovné a dopravu servisního technika </w:t>
      </w:r>
    </w:p>
    <w:p w:rsidR="00CB2902" w:rsidRDefault="00CB2902">
      <w:pPr>
        <w:pBdr>
          <w:top w:val="nil"/>
          <w:left w:val="nil"/>
          <w:bottom w:val="nil"/>
          <w:right w:val="nil"/>
          <w:between w:val="nil"/>
        </w:pBdr>
        <w:spacing w:line="240" w:lineRule="auto"/>
        <w:ind w:left="0" w:hanging="2"/>
      </w:pPr>
    </w:p>
    <w:p w:rsidR="00CB2902" w:rsidRDefault="00BE5D34">
      <w:pPr>
        <w:pBdr>
          <w:top w:val="nil"/>
          <w:left w:val="nil"/>
          <w:bottom w:val="nil"/>
          <w:right w:val="nil"/>
          <w:between w:val="nil"/>
        </w:pBdr>
        <w:spacing w:line="240" w:lineRule="auto"/>
        <w:ind w:left="0" w:hanging="2"/>
        <w:rPr>
          <w:color w:val="000000"/>
        </w:rPr>
      </w:pPr>
      <w:r>
        <w:rPr>
          <w:color w:val="000000"/>
        </w:rPr>
        <w:t>Ostatní práva a povinnosti spojené s vadami zboží nejsou touto dohodou dotčeny.</w:t>
      </w:r>
    </w:p>
    <w:p w:rsidR="00CB2902" w:rsidRDefault="00BE5D34">
      <w:pPr>
        <w:pBdr>
          <w:top w:val="nil"/>
          <w:left w:val="nil"/>
          <w:bottom w:val="nil"/>
          <w:right w:val="nil"/>
          <w:between w:val="nil"/>
        </w:pBdr>
        <w:spacing w:line="240" w:lineRule="auto"/>
        <w:ind w:left="0" w:hanging="2"/>
        <w:rPr>
          <w:color w:val="000000"/>
        </w:rPr>
      </w:pPr>
      <w:r>
        <w:rPr>
          <w:color w:val="000000"/>
        </w:rPr>
        <w:t>Během záruční lhůty bude součástí servisních podmínek i bezplatné provedení bezpečnostně technických kontrol, validací a elektro-revizí dodaného zařízení, ve lhůtách předepsaných výrobcem, minimálně však 1x ročně na vyzvání kupujícího.</w:t>
      </w: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color w:val="000000"/>
        </w:rPr>
        <w:t>X. Další práva a povinnosti</w:t>
      </w:r>
    </w:p>
    <w:p w:rsidR="00CB2902" w:rsidRDefault="00CB2902">
      <w:pPr>
        <w:pBdr>
          <w:top w:val="nil"/>
          <w:left w:val="nil"/>
          <w:bottom w:val="nil"/>
          <w:right w:val="nil"/>
          <w:between w:val="nil"/>
        </w:pBdr>
        <w:spacing w:line="240" w:lineRule="auto"/>
        <w:ind w:left="0" w:hanging="2"/>
        <w:rPr>
          <w:color w:val="000000"/>
        </w:rPr>
      </w:pPr>
    </w:p>
    <w:p w:rsidR="00CB2902" w:rsidRDefault="00BE5D34">
      <w:pPr>
        <w:spacing w:before="120"/>
        <w:ind w:left="0" w:hanging="2"/>
      </w:pPr>
      <w:r>
        <w:t>Prodávající i kupující se zavazují zachovávat mlčenlivost o interních záležitostech druhé strany, se kterými se při plnění závazků smlouvy seznámily.</w:t>
      </w:r>
    </w:p>
    <w:p w:rsidR="00CB2902" w:rsidRDefault="00BE5D34">
      <w:pPr>
        <w:spacing w:before="120"/>
        <w:ind w:left="0" w:hanging="2"/>
      </w:pPr>
      <w:r>
        <w:t>Pro dílčí jednání a úkony v rámci této smlouvy zmocňují strany</w:t>
      </w:r>
    </w:p>
    <w:p w:rsidR="00CB2902" w:rsidRDefault="00BE5D34">
      <w:pPr>
        <w:spacing w:before="120"/>
        <w:ind w:left="0" w:hanging="2"/>
      </w:pPr>
      <w:r>
        <w:rPr>
          <w:b/>
        </w:rPr>
        <w:t>ve věci smluvní:</w:t>
      </w:r>
    </w:p>
    <w:p w:rsidR="00CB2902" w:rsidRDefault="00BE5D34">
      <w:pPr>
        <w:ind w:left="0" w:hanging="2"/>
      </w:pPr>
      <w:r>
        <w:t>za prodávajícího</w:t>
      </w:r>
      <w:r>
        <w:tab/>
      </w:r>
      <w:r>
        <w:tab/>
      </w:r>
      <w:r>
        <w:tab/>
      </w:r>
      <w:r>
        <w:tab/>
        <w:t>za kupujícího</w:t>
      </w:r>
    </w:p>
    <w:p w:rsidR="00CB2902" w:rsidRDefault="00BE5D34">
      <w:pPr>
        <w:spacing w:after="280"/>
        <w:ind w:left="0" w:hanging="2"/>
      </w:pPr>
      <w:r>
        <w:t xml:space="preserve">Ing. Martin </w:t>
      </w:r>
      <w:proofErr w:type="spellStart"/>
      <w:r>
        <w:t>Ochozka</w:t>
      </w:r>
      <w:proofErr w:type="spellEnd"/>
      <w:r>
        <w:t xml:space="preserve">, 603 218 982 </w:t>
      </w:r>
      <w:r>
        <w:tab/>
      </w:r>
      <w:r w:rsidR="00CD2634">
        <w:tab/>
      </w:r>
      <w:r>
        <w:t>Ing. Magdaléna Vecková, 221 403 260</w:t>
      </w:r>
    </w:p>
    <w:p w:rsidR="00CB2902" w:rsidRDefault="00BE5D34">
      <w:pPr>
        <w:spacing w:before="120"/>
        <w:ind w:left="0" w:hanging="2"/>
        <w:rPr>
          <w:b/>
        </w:rPr>
      </w:pPr>
      <w:r>
        <w:rPr>
          <w:b/>
        </w:rPr>
        <w:t>ve věci technické:</w:t>
      </w:r>
    </w:p>
    <w:p w:rsidR="00CB2902" w:rsidRDefault="00BE5D34">
      <w:pPr>
        <w:ind w:left="0" w:hanging="2"/>
        <w:rPr>
          <w:b/>
        </w:rPr>
      </w:pPr>
      <w:r>
        <w:t>za prodávajícího</w:t>
      </w:r>
      <w:r>
        <w:tab/>
      </w:r>
      <w:r>
        <w:tab/>
      </w:r>
      <w:r>
        <w:tab/>
      </w:r>
      <w:r>
        <w:tab/>
        <w:t>za kupujícího</w:t>
      </w:r>
    </w:p>
    <w:p w:rsidR="00CB2902" w:rsidRDefault="00CD4A8B">
      <w:pPr>
        <w:ind w:left="0" w:hanging="2"/>
      </w:pPr>
      <w:proofErr w:type="spellStart"/>
      <w:r>
        <w:t>xxx</w:t>
      </w:r>
      <w:proofErr w:type="spellEnd"/>
      <w:r w:rsidR="00BE5D34">
        <w:t xml:space="preserve">, </w:t>
      </w:r>
      <w:proofErr w:type="spellStart"/>
      <w:r>
        <w:t>xxx</w:t>
      </w:r>
      <w:proofErr w:type="spellEnd"/>
      <w:r w:rsidR="00BE5D34">
        <w:tab/>
      </w:r>
      <w:r>
        <w:tab/>
      </w:r>
      <w:r>
        <w:tab/>
      </w:r>
      <w:r>
        <w:tab/>
      </w:r>
      <w:r w:rsidR="00BE5D34">
        <w:tab/>
      </w:r>
      <w:proofErr w:type="spellStart"/>
      <w:r>
        <w:t>xxx</w:t>
      </w:r>
      <w:proofErr w:type="spellEnd"/>
      <w:r w:rsidR="00BE5D34">
        <w:t xml:space="preserve">, </w:t>
      </w:r>
      <w:proofErr w:type="spellStart"/>
      <w:r>
        <w:t>xxx</w:t>
      </w:r>
      <w:proofErr w:type="spellEnd"/>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294DF4" w:rsidRDefault="00294DF4">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jc w:val="center"/>
        <w:rPr>
          <w:color w:val="000000"/>
        </w:rPr>
      </w:pPr>
      <w:r>
        <w:rPr>
          <w:b/>
          <w:color w:val="000000"/>
        </w:rPr>
        <w:lastRenderedPageBreak/>
        <w:t>XI. Závěrečná ustanovení</w:t>
      </w:r>
    </w:p>
    <w:p w:rsidR="00CB2902" w:rsidRDefault="00CB2902">
      <w:pPr>
        <w:pBdr>
          <w:top w:val="nil"/>
          <w:left w:val="nil"/>
          <w:bottom w:val="nil"/>
          <w:right w:val="nil"/>
          <w:between w:val="nil"/>
        </w:pBdr>
        <w:spacing w:line="240" w:lineRule="auto"/>
        <w:ind w:left="0" w:hanging="2"/>
        <w:jc w:val="center"/>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Veškeré změny a dodatky k této smlouvě musí mít písemnou formu, musí být odsouhlaseny oběma smluvními stranami a stávají se nedílnou součástí smlouvy.</w:t>
      </w:r>
    </w:p>
    <w:p w:rsidR="00CB2902" w:rsidRDefault="00BE5D34">
      <w:pPr>
        <w:pBdr>
          <w:top w:val="nil"/>
          <w:left w:val="nil"/>
          <w:bottom w:val="nil"/>
          <w:right w:val="nil"/>
          <w:between w:val="nil"/>
        </w:pBdr>
        <w:spacing w:line="240" w:lineRule="auto"/>
        <w:ind w:left="0" w:hanging="2"/>
        <w:rPr>
          <w:color w:val="000000"/>
        </w:rPr>
      </w:pPr>
      <w:r>
        <w:rPr>
          <w:color w:val="000000"/>
        </w:rPr>
        <w:t xml:space="preserve">Smlouva je vyhotovena ve dvou stejnopisech, z nichž každý účastník obdrží jedno vyhotovení. </w:t>
      </w:r>
    </w:p>
    <w:p w:rsidR="00CB2902" w:rsidRDefault="00BE5D34">
      <w:pPr>
        <w:pBdr>
          <w:top w:val="nil"/>
          <w:left w:val="nil"/>
          <w:bottom w:val="nil"/>
          <w:right w:val="nil"/>
          <w:between w:val="nil"/>
        </w:pBdr>
        <w:spacing w:line="240" w:lineRule="auto"/>
        <w:ind w:left="0" w:hanging="2"/>
        <w:rPr>
          <w:color w:val="000000"/>
        </w:rPr>
      </w:pPr>
      <w:r>
        <w:rPr>
          <w:color w:val="000000"/>
        </w:rPr>
        <w:t xml:space="preserve">Smlouva nabývá </w:t>
      </w:r>
      <w:r>
        <w:t xml:space="preserve">platnosti </w:t>
      </w:r>
      <w:r>
        <w:rPr>
          <w:color w:val="000000"/>
        </w:rPr>
        <w:t>dnem podpisu oběma smluvními stranami a účinnosti dnem uveřejnění v registru smluv.</w:t>
      </w:r>
    </w:p>
    <w:p w:rsidR="00CB2902" w:rsidRDefault="00BE5D34">
      <w:pPr>
        <w:pBdr>
          <w:top w:val="nil"/>
          <w:left w:val="nil"/>
          <w:bottom w:val="nil"/>
          <w:right w:val="nil"/>
          <w:between w:val="nil"/>
        </w:pBdr>
        <w:spacing w:line="240" w:lineRule="auto"/>
        <w:ind w:left="0" w:hanging="2"/>
        <w:rPr>
          <w:color w:val="000000"/>
        </w:rPr>
      </w:pPr>
      <w:r>
        <w:rPr>
          <w:color w:val="000000"/>
        </w:rPr>
        <w:t>Smluvní strany prohlašují, že je jim znám smysl a účel smlouvy, že tato odpovídá projevu jejich vůle a že k ní přistupují svobodně a vážně, nikoliv v tísni a za nápadně nevýhodných podmínek, aniž by považovaly byť i jediné ujednání za nesrozumitelné. Na důkaz toho ji podepisují.</w:t>
      </w: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rPr>
          <w:color w:val="000000"/>
        </w:rPr>
      </w:pPr>
      <w:r>
        <w:t xml:space="preserve">Příloha č. 1: Nabídka NMO21_086a </w:t>
      </w: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rPr>
          <w:color w:val="000000"/>
        </w:rPr>
      </w:pPr>
      <w:r>
        <w:rPr>
          <w:color w:val="000000"/>
        </w:rPr>
        <w:t>V Praze dne                                                            V Pra</w:t>
      </w:r>
      <w:r>
        <w:t>ze</w:t>
      </w:r>
      <w:r>
        <w:rPr>
          <w:color w:val="000000"/>
        </w:rPr>
        <w:t xml:space="preserve"> dne </w:t>
      </w: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CB2902">
      <w:pPr>
        <w:pBdr>
          <w:top w:val="nil"/>
          <w:left w:val="nil"/>
          <w:bottom w:val="nil"/>
          <w:right w:val="nil"/>
          <w:between w:val="nil"/>
        </w:pBdr>
        <w:spacing w:line="240" w:lineRule="auto"/>
        <w:ind w:left="0" w:hanging="2"/>
        <w:rPr>
          <w:color w:val="000000"/>
        </w:rPr>
      </w:pPr>
    </w:p>
    <w:p w:rsidR="00CB2902" w:rsidRDefault="00BE5D34">
      <w:pPr>
        <w:pBdr>
          <w:top w:val="nil"/>
          <w:left w:val="nil"/>
          <w:bottom w:val="nil"/>
          <w:right w:val="nil"/>
          <w:between w:val="nil"/>
        </w:pBdr>
        <w:spacing w:line="240" w:lineRule="auto"/>
        <w:ind w:left="0" w:hanging="2"/>
      </w:pPr>
      <w:r>
        <w:t>………………………………………</w:t>
      </w:r>
      <w:r>
        <w:rPr>
          <w:color w:val="000000"/>
        </w:rPr>
        <w:tab/>
      </w:r>
      <w:r>
        <w:rPr>
          <w:color w:val="000000"/>
        </w:rPr>
        <w:tab/>
      </w:r>
      <w:r>
        <w:rPr>
          <w:color w:val="000000"/>
        </w:rPr>
        <w:tab/>
        <w:t>………………………………………</w:t>
      </w:r>
      <w:r>
        <w:t xml:space="preserve">  </w:t>
      </w:r>
    </w:p>
    <w:p w:rsidR="00CB2902" w:rsidRDefault="00BE5D34">
      <w:pPr>
        <w:pBdr>
          <w:top w:val="nil"/>
          <w:left w:val="nil"/>
          <w:bottom w:val="nil"/>
          <w:right w:val="nil"/>
          <w:between w:val="nil"/>
        </w:pBdr>
        <w:spacing w:line="240" w:lineRule="auto"/>
        <w:ind w:left="0" w:hanging="2"/>
        <w:rPr>
          <w:color w:val="000000"/>
        </w:rPr>
      </w:pPr>
      <w:r>
        <w:t xml:space="preserve">Ing. Martin </w:t>
      </w:r>
      <w:proofErr w:type="spellStart"/>
      <w:r>
        <w:t>Ochozka</w:t>
      </w:r>
      <w:proofErr w:type="spellEnd"/>
      <w:r>
        <w:t>, ředitel</w:t>
      </w:r>
      <w:r>
        <w:tab/>
      </w:r>
      <w:r>
        <w:tab/>
      </w:r>
      <w:r>
        <w:tab/>
      </w:r>
      <w:r>
        <w:tab/>
      </w:r>
      <w:r>
        <w:rPr>
          <w:color w:val="000000"/>
        </w:rPr>
        <w:t>Ing. Magdaléna Vecková, ředitelka</w:t>
      </w:r>
    </w:p>
    <w:p w:rsidR="00CB2902" w:rsidRDefault="00CB2902">
      <w:pPr>
        <w:pBdr>
          <w:top w:val="nil"/>
          <w:left w:val="nil"/>
          <w:bottom w:val="nil"/>
          <w:right w:val="nil"/>
          <w:between w:val="nil"/>
        </w:pBdr>
        <w:spacing w:line="240" w:lineRule="auto"/>
        <w:ind w:left="0" w:hanging="2"/>
      </w:pPr>
    </w:p>
    <w:p w:rsidR="00CB2902" w:rsidRDefault="00CB2902">
      <w:pPr>
        <w:pBdr>
          <w:top w:val="nil"/>
          <w:left w:val="nil"/>
          <w:bottom w:val="nil"/>
          <w:right w:val="nil"/>
          <w:between w:val="nil"/>
        </w:pBdr>
        <w:spacing w:line="240" w:lineRule="auto"/>
        <w:ind w:left="0"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BE5D34">
      <w:pPr>
        <w:ind w:left="0" w:right="-648" w:hanging="2"/>
      </w:pPr>
      <w:r>
        <w:t>V registru smluv uveřejněno dne:</w:t>
      </w: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294DF4" w:rsidRDefault="00294DF4">
      <w:pPr>
        <w:ind w:left="0" w:right="-648" w:hanging="2"/>
      </w:pPr>
    </w:p>
    <w:p w:rsidR="00294DF4" w:rsidRDefault="00294DF4">
      <w:pPr>
        <w:ind w:left="0" w:right="-648" w:hanging="2"/>
      </w:pPr>
    </w:p>
    <w:p w:rsidR="00294DF4" w:rsidRDefault="00294DF4">
      <w:pPr>
        <w:ind w:left="0" w:right="-648" w:hanging="2"/>
      </w:pPr>
    </w:p>
    <w:p w:rsidR="00294DF4" w:rsidRDefault="00294DF4">
      <w:pPr>
        <w:ind w:left="0" w:right="-648" w:hanging="2"/>
      </w:pPr>
    </w:p>
    <w:p w:rsidR="00294DF4" w:rsidRDefault="00294DF4">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CB2902">
      <w:pPr>
        <w:ind w:left="0" w:right="-648" w:hanging="2"/>
      </w:pPr>
    </w:p>
    <w:p w:rsidR="00CB2902" w:rsidRDefault="00BE5D34">
      <w:pPr>
        <w:ind w:left="0" w:right="-648" w:hanging="2"/>
        <w:rPr>
          <w:rFonts w:ascii="Arial" w:eastAsia="Arial" w:hAnsi="Arial" w:cs="Arial"/>
          <w:b/>
          <w:color w:val="383838"/>
        </w:rPr>
      </w:pPr>
      <w:r>
        <w:rPr>
          <w:b/>
        </w:rPr>
        <w:t>Příloha č. 1.</w:t>
      </w:r>
      <w:r>
        <w:rPr>
          <w:rFonts w:ascii="Arial" w:eastAsia="Arial" w:hAnsi="Arial" w:cs="Arial"/>
          <w:b/>
          <w:color w:val="383838"/>
        </w:rPr>
        <w:t xml:space="preserve"> - nabídka</w:t>
      </w:r>
    </w:p>
    <w:p w:rsidR="00CB2902" w:rsidRDefault="00BE5D34">
      <w:pPr>
        <w:spacing w:before="120"/>
        <w:ind w:left="2" w:hanging="4"/>
        <w:rPr>
          <w:rFonts w:ascii="Arial" w:eastAsia="Arial" w:hAnsi="Arial" w:cs="Arial"/>
          <w:color w:val="383838"/>
          <w:sz w:val="22"/>
          <w:szCs w:val="22"/>
        </w:rPr>
      </w:pPr>
      <w:r>
        <w:rPr>
          <w:rFonts w:ascii="Verdana" w:eastAsia="Verdana" w:hAnsi="Verdana" w:cs="Verdana"/>
          <w:b/>
          <w:color w:val="383838"/>
          <w:sz w:val="40"/>
          <w:szCs w:val="40"/>
        </w:rPr>
        <w:lastRenderedPageBreak/>
        <w:t>Senzorové bariery, knihovna AV</w:t>
      </w:r>
      <w:r>
        <w:rPr>
          <w:rFonts w:ascii="Verdana" w:eastAsia="Verdana" w:hAnsi="Verdana" w:cs="Verdana"/>
          <w:b/>
          <w:color w:val="383838"/>
          <w:sz w:val="22"/>
          <w:szCs w:val="22"/>
        </w:rPr>
        <w:t xml:space="preserve"> – NMO20_086a</w:t>
      </w:r>
    </w:p>
    <w:p w:rsidR="00CB2902" w:rsidRDefault="00CB2902">
      <w:pPr>
        <w:spacing w:before="120"/>
        <w:ind w:left="2" w:hanging="4"/>
        <w:jc w:val="center"/>
        <w:rPr>
          <w:rFonts w:ascii="Verdana" w:eastAsia="Verdana" w:hAnsi="Verdana" w:cs="Verdana"/>
          <w:color w:val="383838"/>
          <w:sz w:val="40"/>
          <w:szCs w:val="40"/>
        </w:rPr>
      </w:pPr>
    </w:p>
    <w:p w:rsidR="00CB2902" w:rsidRDefault="00CB2902">
      <w:pPr>
        <w:spacing w:before="120"/>
        <w:ind w:left="0" w:hanging="2"/>
        <w:rPr>
          <w:rFonts w:ascii="Arial" w:eastAsia="Arial" w:hAnsi="Arial" w:cs="Arial"/>
          <w:color w:val="383838"/>
        </w:rPr>
      </w:pPr>
    </w:p>
    <w:p w:rsidR="00CB2902" w:rsidRDefault="00BE5D34">
      <w:pPr>
        <w:spacing w:before="120"/>
        <w:ind w:left="0" w:hanging="2"/>
        <w:rPr>
          <w:rFonts w:ascii="Arial" w:eastAsia="Arial" w:hAnsi="Arial" w:cs="Arial"/>
          <w:color w:val="E36C0A"/>
        </w:rPr>
      </w:pPr>
      <w:r>
        <w:rPr>
          <w:rFonts w:ascii="Arial" w:eastAsia="Arial" w:hAnsi="Arial" w:cs="Arial"/>
          <w:b/>
          <w:color w:val="E36C0A"/>
        </w:rPr>
        <w:t>Nabídka pro:</w:t>
      </w:r>
    </w:p>
    <w:p w:rsidR="00CB2902" w:rsidRDefault="00BE5D34">
      <w:pPr>
        <w:spacing w:before="120"/>
        <w:ind w:left="0" w:hanging="2"/>
        <w:rPr>
          <w:rFonts w:ascii="Verdana" w:eastAsia="Verdana" w:hAnsi="Verdana" w:cs="Verdana"/>
          <w:color w:val="383838"/>
        </w:rPr>
      </w:pPr>
      <w:r>
        <w:rPr>
          <w:rFonts w:ascii="Verdana" w:eastAsia="Verdana" w:hAnsi="Verdana" w:cs="Verdana"/>
          <w:color w:val="383838"/>
        </w:rPr>
        <w:t>Knihovna AV ČR</w:t>
      </w:r>
    </w:p>
    <w:p w:rsidR="00CB2902" w:rsidRDefault="00CD4A8B">
      <w:pPr>
        <w:spacing w:before="120"/>
        <w:ind w:left="0" w:hanging="2"/>
        <w:rPr>
          <w:rFonts w:ascii="Verdana" w:eastAsia="Verdana" w:hAnsi="Verdana" w:cs="Verdana"/>
          <w:color w:val="383838"/>
        </w:rPr>
      </w:pPr>
      <w:proofErr w:type="spellStart"/>
      <w:r>
        <w:rPr>
          <w:rFonts w:ascii="Verdana" w:eastAsia="Verdana" w:hAnsi="Verdana" w:cs="Verdana"/>
          <w:color w:val="383838"/>
        </w:rPr>
        <w:t>xxx</w:t>
      </w:r>
      <w:proofErr w:type="spellEnd"/>
    </w:p>
    <w:p w:rsidR="00CB2902" w:rsidRDefault="00C6610B">
      <w:pPr>
        <w:spacing w:before="120"/>
        <w:ind w:left="0" w:hanging="2"/>
        <w:rPr>
          <w:rFonts w:ascii="Verdana" w:eastAsia="Verdana" w:hAnsi="Verdana" w:cs="Verdana"/>
          <w:color w:val="383838"/>
        </w:rPr>
      </w:pPr>
      <w:hyperlink r:id="rId8" w:history="1">
        <w:r w:rsidR="009C464E" w:rsidRPr="008B31B2">
          <w:rPr>
            <w:rStyle w:val="Hypertextovodkaz"/>
            <w:rFonts w:ascii="Verdana" w:eastAsia="Verdana" w:hAnsi="Verdana" w:cs="Verdana"/>
          </w:rPr>
          <w:t>xxx@lib.cas.cz</w:t>
        </w:r>
      </w:hyperlink>
      <w:r w:rsidR="00BE5D34">
        <w:rPr>
          <w:rFonts w:ascii="Verdana" w:eastAsia="Verdana" w:hAnsi="Verdana" w:cs="Verdana"/>
          <w:color w:val="383838"/>
        </w:rPr>
        <w:t xml:space="preserve"> </w:t>
      </w:r>
    </w:p>
    <w:p w:rsidR="00CB2902" w:rsidRDefault="00CB2902">
      <w:pPr>
        <w:spacing w:before="120"/>
        <w:ind w:left="0" w:hanging="2"/>
        <w:rPr>
          <w:rFonts w:ascii="Verdana" w:eastAsia="Verdana" w:hAnsi="Verdana" w:cs="Verdana"/>
          <w:color w:val="383838"/>
        </w:rPr>
      </w:pPr>
    </w:p>
    <w:p w:rsidR="00CB2902" w:rsidRDefault="00CB2902">
      <w:pPr>
        <w:spacing w:before="120"/>
        <w:ind w:left="0" w:hanging="2"/>
        <w:rPr>
          <w:rFonts w:ascii="Verdana" w:eastAsia="Verdana" w:hAnsi="Verdana" w:cs="Verdana"/>
          <w:color w:val="383838"/>
        </w:rPr>
      </w:pPr>
    </w:p>
    <w:p w:rsidR="00CB2902" w:rsidRDefault="00CB2902">
      <w:pPr>
        <w:spacing w:before="120"/>
        <w:ind w:left="0" w:hanging="2"/>
        <w:rPr>
          <w:rFonts w:ascii="Verdana" w:eastAsia="Verdana" w:hAnsi="Verdana" w:cs="Verdana"/>
          <w:color w:val="383838"/>
        </w:rPr>
      </w:pPr>
    </w:p>
    <w:p w:rsidR="00CB2902" w:rsidRDefault="00CB2902">
      <w:pPr>
        <w:spacing w:before="120"/>
        <w:ind w:left="0" w:hanging="2"/>
        <w:rPr>
          <w:rFonts w:ascii="Verdana" w:eastAsia="Verdana" w:hAnsi="Verdana" w:cs="Verdana"/>
          <w:color w:val="383838"/>
        </w:rPr>
      </w:pPr>
    </w:p>
    <w:p w:rsidR="00CB2902" w:rsidRDefault="00CB2902">
      <w:pPr>
        <w:spacing w:before="120"/>
        <w:ind w:left="0" w:hanging="2"/>
        <w:rPr>
          <w:rFonts w:ascii="Verdana" w:eastAsia="Verdana" w:hAnsi="Verdana" w:cs="Verdana"/>
          <w:color w:val="383838"/>
        </w:rPr>
      </w:pPr>
    </w:p>
    <w:p w:rsidR="00CB2902" w:rsidRDefault="00BE5D34">
      <w:pPr>
        <w:spacing w:before="120"/>
        <w:ind w:left="0" w:hanging="2"/>
        <w:jc w:val="right"/>
        <w:rPr>
          <w:rFonts w:ascii="Arial" w:eastAsia="Arial" w:hAnsi="Arial" w:cs="Arial"/>
          <w:color w:val="E36C0A"/>
        </w:rPr>
      </w:pPr>
      <w:r>
        <w:rPr>
          <w:rFonts w:ascii="Arial" w:eastAsia="Arial" w:hAnsi="Arial" w:cs="Arial"/>
          <w:b/>
          <w:color w:val="E36C0A"/>
        </w:rPr>
        <w:t>Nabídku zpracoval:</w:t>
      </w:r>
    </w:p>
    <w:p w:rsidR="00CB2902" w:rsidRDefault="00BE5D34">
      <w:pPr>
        <w:spacing w:before="120"/>
        <w:ind w:left="0" w:hanging="2"/>
        <w:jc w:val="right"/>
        <w:rPr>
          <w:rFonts w:ascii="Arial" w:eastAsia="Arial" w:hAnsi="Arial" w:cs="Arial"/>
          <w:color w:val="383838"/>
          <w:sz w:val="22"/>
          <w:szCs w:val="22"/>
        </w:rPr>
      </w:pPr>
      <w:r>
        <w:rPr>
          <w:rFonts w:ascii="Arial" w:eastAsia="Arial" w:hAnsi="Arial" w:cs="Arial"/>
          <w:b/>
          <w:color w:val="383838"/>
          <w:sz w:val="22"/>
          <w:szCs w:val="22"/>
        </w:rPr>
        <w:t>2021-02-12</w:t>
      </w:r>
    </w:p>
    <w:p w:rsidR="00CB2902" w:rsidRDefault="00BE5D34">
      <w:pPr>
        <w:spacing w:before="120"/>
        <w:ind w:left="0" w:hanging="2"/>
        <w:jc w:val="right"/>
        <w:rPr>
          <w:rFonts w:ascii="Arial" w:eastAsia="Arial" w:hAnsi="Arial" w:cs="Arial"/>
          <w:color w:val="383838"/>
          <w:sz w:val="22"/>
          <w:szCs w:val="22"/>
        </w:rPr>
      </w:pPr>
      <w:r>
        <w:rPr>
          <w:rFonts w:ascii="Arial" w:eastAsia="Arial" w:hAnsi="Arial" w:cs="Arial"/>
          <w:b/>
          <w:color w:val="383838"/>
          <w:sz w:val="22"/>
          <w:szCs w:val="22"/>
        </w:rPr>
        <w:t xml:space="preserve">Martin </w:t>
      </w:r>
      <w:proofErr w:type="spellStart"/>
      <w:r>
        <w:rPr>
          <w:rFonts w:ascii="Arial" w:eastAsia="Arial" w:hAnsi="Arial" w:cs="Arial"/>
          <w:b/>
          <w:color w:val="383838"/>
          <w:sz w:val="22"/>
          <w:szCs w:val="22"/>
        </w:rPr>
        <w:t>Ochozka</w:t>
      </w:r>
      <w:proofErr w:type="spellEnd"/>
    </w:p>
    <w:p w:rsidR="00CB2902" w:rsidRDefault="00BE5D34">
      <w:pPr>
        <w:spacing w:before="120"/>
        <w:ind w:left="0" w:hanging="2"/>
        <w:jc w:val="right"/>
        <w:rPr>
          <w:rFonts w:ascii="Arial" w:eastAsia="Arial" w:hAnsi="Arial" w:cs="Arial"/>
          <w:color w:val="383838"/>
          <w:sz w:val="22"/>
          <w:szCs w:val="22"/>
        </w:rPr>
      </w:pPr>
      <w:r>
        <w:rPr>
          <w:rFonts w:ascii="Arial" w:eastAsia="Arial" w:hAnsi="Arial" w:cs="Arial"/>
          <w:b/>
          <w:color w:val="383838"/>
          <w:sz w:val="22"/>
          <w:szCs w:val="22"/>
        </w:rPr>
        <w:t>603 218 982</w:t>
      </w:r>
    </w:p>
    <w:p w:rsidR="00CB2902" w:rsidRDefault="00BE5D34">
      <w:pPr>
        <w:spacing w:before="120"/>
        <w:ind w:left="0" w:hanging="2"/>
        <w:jc w:val="right"/>
        <w:rPr>
          <w:rFonts w:ascii="Arial" w:eastAsia="Arial" w:hAnsi="Arial" w:cs="Arial"/>
          <w:color w:val="383838"/>
          <w:sz w:val="22"/>
          <w:szCs w:val="22"/>
        </w:rPr>
      </w:pPr>
      <w:r>
        <w:rPr>
          <w:rFonts w:ascii="Arial" w:eastAsia="Arial" w:hAnsi="Arial" w:cs="Arial"/>
          <w:b/>
          <w:color w:val="383838"/>
          <w:sz w:val="22"/>
          <w:szCs w:val="22"/>
        </w:rPr>
        <w:t>Martinochozka@tgb-entrance.cz</w:t>
      </w:r>
    </w:p>
    <w:p w:rsidR="00CB2902" w:rsidRDefault="00BE5D34">
      <w:pPr>
        <w:keepNext/>
        <w:numPr>
          <w:ilvl w:val="0"/>
          <w:numId w:val="3"/>
        </w:numPr>
        <w:spacing w:before="240" w:after="60"/>
        <w:ind w:left="1" w:hanging="3"/>
        <w:jc w:val="both"/>
        <w:rPr>
          <w:rFonts w:ascii="Verdana" w:eastAsia="Verdana" w:hAnsi="Verdana" w:cs="Verdana"/>
          <w:b/>
          <w:color w:val="383838"/>
          <w:sz w:val="32"/>
          <w:szCs w:val="32"/>
        </w:rPr>
      </w:pPr>
      <w:r>
        <w:rPr>
          <w:rFonts w:ascii="Verdana" w:eastAsia="Verdana" w:hAnsi="Verdana" w:cs="Verdana"/>
          <w:b/>
          <w:color w:val="383838"/>
          <w:sz w:val="32"/>
          <w:szCs w:val="32"/>
        </w:rPr>
        <w:t>Zadání</w:t>
      </w:r>
    </w:p>
    <w:p w:rsidR="00CB2902" w:rsidRDefault="00BE5D34">
      <w:pPr>
        <w:ind w:left="0" w:hanging="2"/>
        <w:rPr>
          <w:rFonts w:ascii="Verdana" w:eastAsia="Verdana" w:hAnsi="Verdana" w:cs="Verdana"/>
          <w:color w:val="383838"/>
        </w:rPr>
      </w:pPr>
      <w:r>
        <w:rPr>
          <w:rFonts w:ascii="Verdana" w:eastAsia="Verdana" w:hAnsi="Verdana" w:cs="Verdana"/>
          <w:color w:val="383838"/>
        </w:rPr>
        <w:t>Dodávka a montáž senzorové bariery.</w:t>
      </w:r>
    </w:p>
    <w:p w:rsidR="00CB2902" w:rsidRDefault="00BE5D34">
      <w:pPr>
        <w:keepNext/>
        <w:numPr>
          <w:ilvl w:val="0"/>
          <w:numId w:val="3"/>
        </w:numPr>
        <w:spacing w:before="240" w:after="60"/>
        <w:ind w:left="1" w:hanging="3"/>
        <w:jc w:val="both"/>
        <w:rPr>
          <w:rFonts w:ascii="Verdana" w:eastAsia="Verdana" w:hAnsi="Verdana" w:cs="Verdana"/>
          <w:b/>
          <w:color w:val="383838"/>
          <w:sz w:val="32"/>
          <w:szCs w:val="32"/>
        </w:rPr>
      </w:pPr>
      <w:r>
        <w:rPr>
          <w:rFonts w:ascii="Verdana" w:eastAsia="Verdana" w:hAnsi="Verdana" w:cs="Verdana"/>
          <w:b/>
          <w:color w:val="383838"/>
          <w:sz w:val="32"/>
          <w:szCs w:val="32"/>
        </w:rPr>
        <w:t>Předmět nabídky</w:t>
      </w:r>
    </w:p>
    <w:p w:rsidR="00CB2902" w:rsidRDefault="00BE5D34">
      <w:pPr>
        <w:ind w:left="0" w:hanging="2"/>
        <w:rPr>
          <w:rFonts w:ascii="Verdana" w:eastAsia="Verdana" w:hAnsi="Verdana" w:cs="Verdana"/>
          <w:color w:val="383838"/>
        </w:rPr>
      </w:pPr>
      <w:r>
        <w:rPr>
          <w:rFonts w:ascii="Verdana" w:eastAsia="Verdana" w:hAnsi="Verdana" w:cs="Verdana"/>
          <w:color w:val="383838"/>
        </w:rPr>
        <w:t>Předmětem nabídky je dodávka, montáž, poskytnutí záručního servisu.</w:t>
      </w:r>
    </w:p>
    <w:p w:rsidR="00CB2902" w:rsidRDefault="00BE5D34">
      <w:pPr>
        <w:keepNext/>
        <w:numPr>
          <w:ilvl w:val="0"/>
          <w:numId w:val="3"/>
        </w:numPr>
        <w:spacing w:before="240" w:after="60"/>
        <w:ind w:left="1" w:hanging="3"/>
        <w:jc w:val="both"/>
        <w:rPr>
          <w:rFonts w:ascii="Verdana" w:eastAsia="Verdana" w:hAnsi="Verdana" w:cs="Verdana"/>
          <w:b/>
          <w:color w:val="383838"/>
          <w:sz w:val="32"/>
          <w:szCs w:val="32"/>
        </w:rPr>
      </w:pPr>
      <w:r>
        <w:rPr>
          <w:rFonts w:ascii="Verdana" w:eastAsia="Verdana" w:hAnsi="Verdana" w:cs="Verdana"/>
          <w:b/>
          <w:color w:val="383838"/>
          <w:sz w:val="32"/>
          <w:szCs w:val="32"/>
        </w:rPr>
        <w:t>Technický popis nabízeného zařízení</w:t>
      </w:r>
    </w:p>
    <w:p w:rsidR="00CB2902" w:rsidRDefault="00BE5D34">
      <w:pPr>
        <w:ind w:left="0" w:hanging="2"/>
        <w:rPr>
          <w:rFonts w:ascii="Verdana" w:eastAsia="Verdana" w:hAnsi="Verdana" w:cs="Verdana"/>
          <w:color w:val="383838"/>
        </w:rPr>
      </w:pPr>
      <w:r>
        <w:rPr>
          <w:rFonts w:ascii="Verdana" w:eastAsia="Verdana" w:hAnsi="Verdana" w:cs="Verdana"/>
          <w:color w:val="383838"/>
        </w:rPr>
        <w:t>Senzorová bariera bude napojena do stávajícího přístupového systému. Záložně se bude otevírat pultem ruční obsluhy.</w:t>
      </w:r>
    </w:p>
    <w:p w:rsidR="00294DF4" w:rsidRDefault="00294DF4">
      <w:pPr>
        <w:ind w:left="0" w:hanging="2"/>
        <w:rPr>
          <w:rFonts w:ascii="Verdana" w:eastAsia="Verdana" w:hAnsi="Verdana" w:cs="Verdana"/>
          <w:color w:val="383838"/>
        </w:rPr>
      </w:pPr>
    </w:p>
    <w:p w:rsidR="00CB2902" w:rsidRDefault="00BE5D34">
      <w:pPr>
        <w:keepNext/>
        <w:numPr>
          <w:ilvl w:val="1"/>
          <w:numId w:val="3"/>
        </w:numPr>
        <w:spacing w:before="240" w:after="60"/>
        <w:ind w:left="1" w:hanging="3"/>
        <w:rPr>
          <w:rFonts w:ascii="Verdana" w:eastAsia="Verdana" w:hAnsi="Verdana" w:cs="Verdana"/>
          <w:color w:val="383838"/>
          <w:sz w:val="28"/>
          <w:szCs w:val="28"/>
        </w:rPr>
      </w:pPr>
      <w:proofErr w:type="spellStart"/>
      <w:r>
        <w:rPr>
          <w:rFonts w:ascii="Verdana" w:eastAsia="Verdana" w:hAnsi="Verdana" w:cs="Verdana"/>
          <w:color w:val="383838"/>
          <w:sz w:val="28"/>
          <w:szCs w:val="28"/>
        </w:rPr>
        <w:t>Sensorová</w:t>
      </w:r>
      <w:proofErr w:type="spellEnd"/>
      <w:r>
        <w:rPr>
          <w:rFonts w:ascii="Verdana" w:eastAsia="Verdana" w:hAnsi="Verdana" w:cs="Verdana"/>
          <w:color w:val="383838"/>
          <w:sz w:val="28"/>
          <w:szCs w:val="28"/>
        </w:rPr>
        <w:t xml:space="preserve"> bariéra HSD E10</w:t>
      </w:r>
    </w:p>
    <w:p w:rsidR="00CB2902" w:rsidRDefault="00CB2902">
      <w:pPr>
        <w:ind w:left="0" w:hanging="2"/>
        <w:rPr>
          <w:rFonts w:ascii="Verdana" w:eastAsia="Verdana" w:hAnsi="Verdana" w:cs="Verdana"/>
          <w:color w:val="383838"/>
        </w:rPr>
      </w:pPr>
    </w:p>
    <w:p w:rsidR="00CB2902" w:rsidRDefault="00BE5D34">
      <w:pPr>
        <w:ind w:left="0" w:hanging="2"/>
        <w:rPr>
          <w:color w:val="383838"/>
        </w:rPr>
      </w:pPr>
      <w:r>
        <w:rPr>
          <w:color w:val="383838"/>
        </w:rPr>
        <w:t xml:space="preserve">Senzorová bariera je </w:t>
      </w:r>
      <w:proofErr w:type="spellStart"/>
      <w:r>
        <w:rPr>
          <w:color w:val="383838"/>
        </w:rPr>
        <w:t>celonerezová</w:t>
      </w:r>
      <w:proofErr w:type="spellEnd"/>
      <w:r>
        <w:rPr>
          <w:color w:val="383838"/>
        </w:rPr>
        <w:t xml:space="preserve"> s možností </w:t>
      </w:r>
      <w:proofErr w:type="spellStart"/>
      <w:r>
        <w:rPr>
          <w:color w:val="383838"/>
        </w:rPr>
        <w:t>panikového</w:t>
      </w:r>
      <w:proofErr w:type="spellEnd"/>
      <w:r>
        <w:rPr>
          <w:color w:val="383838"/>
        </w:rPr>
        <w:t xml:space="preserve"> úniku, čtečky karetního systému jsou umístěny pod plexisklem nebo na povrch. Přívody jsou jakoukoliv nohou, kotvení je na konečnou podlahu. Průchodnost turniketu je 30 osob za minutu. Barieru lze napojit na EPS.</w:t>
      </w:r>
    </w:p>
    <w:p w:rsidR="00CB2902" w:rsidRDefault="00CB2902">
      <w:pPr>
        <w:ind w:left="0" w:hanging="2"/>
        <w:rPr>
          <w:color w:val="383838"/>
        </w:rPr>
      </w:pPr>
    </w:p>
    <w:p w:rsidR="00CB2902" w:rsidRDefault="00BE5D34">
      <w:pPr>
        <w:ind w:left="0" w:hanging="2"/>
        <w:rPr>
          <w:color w:val="383838"/>
        </w:rPr>
      </w:pPr>
      <w:r>
        <w:rPr>
          <w:color w:val="383838"/>
        </w:rPr>
        <w:t>Ovládání pomocí přístupového systému, pultem ruční obsluhy. Senzorová bariera je připojitelná na systém EPS.</w:t>
      </w:r>
    </w:p>
    <w:p w:rsidR="00CB2902" w:rsidRDefault="00BE5D34">
      <w:pPr>
        <w:ind w:left="0" w:hanging="2"/>
        <w:rPr>
          <w:color w:val="383838"/>
        </w:rPr>
      </w:pPr>
      <w:r>
        <w:rPr>
          <w:color w:val="383838"/>
        </w:rPr>
        <w:t>Propust bude rozšířena na 900mm.</w:t>
      </w:r>
    </w:p>
    <w:p w:rsidR="00CB2902" w:rsidRDefault="00BE5D34">
      <w:pPr>
        <w:ind w:left="0" w:hanging="2"/>
        <w:rPr>
          <w:rFonts w:ascii="Verdana" w:eastAsia="Verdana" w:hAnsi="Verdana" w:cs="Verdana"/>
          <w:color w:val="383838"/>
        </w:rPr>
      </w:pPr>
      <w:r>
        <w:rPr>
          <w:rFonts w:ascii="Verdana" w:eastAsia="Verdana" w:hAnsi="Verdana" w:cs="Verdana"/>
          <w:color w:val="383838"/>
        </w:rPr>
        <w:t xml:space="preserve">   </w:t>
      </w:r>
      <w:r>
        <w:rPr>
          <w:rFonts w:ascii="Verdana" w:eastAsia="Verdana" w:hAnsi="Verdana" w:cs="Verdana"/>
          <w:color w:val="383838"/>
        </w:rPr>
        <w:tab/>
        <w:t xml:space="preserve">   </w:t>
      </w:r>
    </w:p>
    <w:p w:rsidR="00CB2902" w:rsidRDefault="00CB2902">
      <w:pPr>
        <w:ind w:left="0" w:hanging="2"/>
        <w:rPr>
          <w:rFonts w:ascii="Verdana" w:eastAsia="Verdana" w:hAnsi="Verdana" w:cs="Verdana"/>
          <w:color w:val="383838"/>
        </w:rPr>
      </w:pPr>
    </w:p>
    <w:p w:rsidR="00CB2902" w:rsidRDefault="00BE5D34">
      <w:pPr>
        <w:ind w:left="0" w:hanging="2"/>
        <w:jc w:val="center"/>
        <w:rPr>
          <w:rFonts w:ascii="Verdana" w:eastAsia="Verdana" w:hAnsi="Verdana" w:cs="Verdana"/>
          <w:color w:val="383838"/>
        </w:rPr>
      </w:pPr>
      <w:r>
        <w:rPr>
          <w:rFonts w:ascii="Verdana" w:eastAsia="Verdana" w:hAnsi="Verdana" w:cs="Verdana"/>
          <w:noProof/>
          <w:color w:val="383838"/>
        </w:rPr>
        <w:drawing>
          <wp:inline distT="0" distB="0" distL="114300" distR="114300">
            <wp:extent cx="1448435" cy="1565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8435" cy="1565275"/>
                    </a:xfrm>
                    <a:prstGeom prst="rect">
                      <a:avLst/>
                    </a:prstGeom>
                    <a:ln/>
                  </pic:spPr>
                </pic:pic>
              </a:graphicData>
            </a:graphic>
          </wp:inline>
        </w:drawing>
      </w:r>
    </w:p>
    <w:p w:rsidR="00CB2902" w:rsidRDefault="00CB2902">
      <w:pPr>
        <w:ind w:left="0" w:hanging="2"/>
        <w:rPr>
          <w:rFonts w:ascii="Verdana" w:eastAsia="Verdana" w:hAnsi="Verdana" w:cs="Verdana"/>
          <w:color w:val="383838"/>
        </w:rPr>
      </w:pPr>
    </w:p>
    <w:p w:rsidR="00CB2902" w:rsidRDefault="00CB2902">
      <w:pPr>
        <w:ind w:left="0" w:hanging="2"/>
        <w:rPr>
          <w:rFonts w:ascii="Verdana" w:eastAsia="Verdana" w:hAnsi="Verdana" w:cs="Verdana"/>
          <w:color w:val="383838"/>
        </w:rPr>
      </w:pPr>
    </w:p>
    <w:p w:rsidR="00CB2902" w:rsidRDefault="00CB2902">
      <w:pPr>
        <w:ind w:left="0" w:hanging="2"/>
        <w:rPr>
          <w:rFonts w:ascii="Verdana" w:eastAsia="Verdana" w:hAnsi="Verdana" w:cs="Verdana"/>
          <w:color w:val="383838"/>
        </w:rPr>
      </w:pPr>
    </w:p>
    <w:p w:rsidR="00CB2902" w:rsidRDefault="00BE5D34">
      <w:pPr>
        <w:keepNext/>
        <w:numPr>
          <w:ilvl w:val="0"/>
          <w:numId w:val="3"/>
        </w:numPr>
        <w:spacing w:before="240" w:after="60"/>
        <w:ind w:left="1" w:hanging="3"/>
        <w:jc w:val="both"/>
        <w:rPr>
          <w:rFonts w:ascii="Verdana" w:eastAsia="Verdana" w:hAnsi="Verdana" w:cs="Verdana"/>
          <w:b/>
          <w:color w:val="383838"/>
          <w:sz w:val="32"/>
          <w:szCs w:val="32"/>
        </w:rPr>
      </w:pPr>
      <w:r>
        <w:rPr>
          <w:rFonts w:ascii="Verdana" w:eastAsia="Verdana" w:hAnsi="Verdana" w:cs="Verdana"/>
          <w:b/>
          <w:color w:val="383838"/>
          <w:sz w:val="32"/>
          <w:szCs w:val="32"/>
        </w:rPr>
        <w:t>Cena</w:t>
      </w:r>
    </w:p>
    <w:tbl>
      <w:tblPr>
        <w:tblStyle w:val="a"/>
        <w:tblW w:w="8800" w:type="dxa"/>
        <w:tblInd w:w="80" w:type="dxa"/>
        <w:tblLayout w:type="fixed"/>
        <w:tblLook w:val="0000" w:firstRow="0" w:lastRow="0" w:firstColumn="0" w:lastColumn="0" w:noHBand="0" w:noVBand="0"/>
      </w:tblPr>
      <w:tblGrid>
        <w:gridCol w:w="540"/>
        <w:gridCol w:w="3800"/>
        <w:gridCol w:w="960"/>
        <w:gridCol w:w="960"/>
        <w:gridCol w:w="1152"/>
        <w:gridCol w:w="1388"/>
      </w:tblGrid>
      <w:tr w:rsidR="00CB2902">
        <w:trPr>
          <w:trHeight w:val="750"/>
        </w:trPr>
        <w:tc>
          <w:tcPr>
            <w:tcW w:w="540" w:type="dxa"/>
            <w:tcBorders>
              <w:top w:val="single" w:sz="8" w:space="0" w:color="000000"/>
              <w:left w:val="single" w:sz="8" w:space="0" w:color="000000"/>
              <w:bottom w:val="nil"/>
              <w:right w:val="single" w:sz="8" w:space="0" w:color="000000"/>
            </w:tcBorders>
            <w:shd w:val="clear" w:color="auto" w:fill="C0C0C0"/>
            <w:vAlign w:val="center"/>
          </w:tcPr>
          <w:p w:rsidR="00CB2902" w:rsidRDefault="00BE5D34">
            <w:pPr>
              <w:ind w:left="0" w:hanging="2"/>
              <w:jc w:val="center"/>
              <w:rPr>
                <w:rFonts w:ascii="Arial" w:eastAsia="Arial" w:hAnsi="Arial" w:cs="Arial"/>
              </w:rPr>
            </w:pPr>
            <w:r>
              <w:rPr>
                <w:rFonts w:ascii="Arial" w:eastAsia="Arial" w:hAnsi="Arial" w:cs="Arial"/>
                <w:b/>
              </w:rPr>
              <w:t> </w:t>
            </w:r>
          </w:p>
        </w:tc>
        <w:tc>
          <w:tcPr>
            <w:tcW w:w="3800" w:type="dxa"/>
            <w:tcBorders>
              <w:top w:val="single" w:sz="8" w:space="0" w:color="000000"/>
              <w:left w:val="nil"/>
              <w:bottom w:val="nil"/>
              <w:right w:val="single" w:sz="8" w:space="0" w:color="000000"/>
            </w:tcBorders>
            <w:shd w:val="clear" w:color="auto" w:fill="C0C0C0"/>
            <w:vAlign w:val="center"/>
          </w:tcPr>
          <w:p w:rsidR="00CB2902" w:rsidRDefault="00BE5D34">
            <w:pPr>
              <w:ind w:left="0" w:hanging="2"/>
              <w:rPr>
                <w:rFonts w:ascii="Arial" w:eastAsia="Arial" w:hAnsi="Arial" w:cs="Arial"/>
              </w:rPr>
            </w:pPr>
            <w:r>
              <w:rPr>
                <w:rFonts w:ascii="Arial" w:eastAsia="Arial" w:hAnsi="Arial" w:cs="Arial"/>
                <w:b/>
              </w:rPr>
              <w:t>Popis položky</w:t>
            </w:r>
          </w:p>
        </w:tc>
        <w:tc>
          <w:tcPr>
            <w:tcW w:w="960" w:type="dxa"/>
            <w:tcBorders>
              <w:top w:val="single" w:sz="8" w:space="0" w:color="000000"/>
              <w:left w:val="nil"/>
              <w:bottom w:val="nil"/>
              <w:right w:val="single" w:sz="8" w:space="0" w:color="000000"/>
            </w:tcBorders>
            <w:shd w:val="clear" w:color="auto" w:fill="C0C0C0"/>
            <w:vAlign w:val="center"/>
          </w:tcPr>
          <w:p w:rsidR="00CB2902" w:rsidRDefault="00BE5D34">
            <w:pPr>
              <w:ind w:left="0" w:hanging="2"/>
              <w:jc w:val="center"/>
              <w:rPr>
                <w:rFonts w:ascii="Arial" w:eastAsia="Arial" w:hAnsi="Arial" w:cs="Arial"/>
              </w:rPr>
            </w:pPr>
            <w:r>
              <w:rPr>
                <w:rFonts w:ascii="Arial" w:eastAsia="Arial" w:hAnsi="Arial" w:cs="Arial"/>
                <w:b/>
              </w:rPr>
              <w:t>M. j.</w:t>
            </w:r>
          </w:p>
        </w:tc>
        <w:tc>
          <w:tcPr>
            <w:tcW w:w="960" w:type="dxa"/>
            <w:tcBorders>
              <w:top w:val="single" w:sz="8" w:space="0" w:color="000000"/>
              <w:left w:val="nil"/>
              <w:bottom w:val="nil"/>
              <w:right w:val="single" w:sz="8" w:space="0" w:color="000000"/>
            </w:tcBorders>
            <w:shd w:val="clear" w:color="auto" w:fill="C0C0C0"/>
            <w:vAlign w:val="center"/>
          </w:tcPr>
          <w:p w:rsidR="00CB2902" w:rsidRDefault="00BE5D34">
            <w:pPr>
              <w:ind w:left="0" w:hanging="2"/>
              <w:jc w:val="center"/>
              <w:rPr>
                <w:rFonts w:ascii="Arial" w:eastAsia="Arial" w:hAnsi="Arial" w:cs="Arial"/>
              </w:rPr>
            </w:pPr>
            <w:r>
              <w:rPr>
                <w:rFonts w:ascii="Arial" w:eastAsia="Arial" w:hAnsi="Arial" w:cs="Arial"/>
                <w:b/>
              </w:rPr>
              <w:t>ks</w:t>
            </w:r>
          </w:p>
        </w:tc>
        <w:tc>
          <w:tcPr>
            <w:tcW w:w="1152" w:type="dxa"/>
            <w:tcBorders>
              <w:top w:val="single" w:sz="8" w:space="0" w:color="000000"/>
              <w:left w:val="nil"/>
              <w:bottom w:val="nil"/>
              <w:right w:val="single" w:sz="8" w:space="0" w:color="000000"/>
            </w:tcBorders>
            <w:shd w:val="clear" w:color="auto" w:fill="C0C0C0"/>
            <w:vAlign w:val="center"/>
          </w:tcPr>
          <w:p w:rsidR="00CB2902" w:rsidRDefault="00BE5D34">
            <w:pPr>
              <w:ind w:left="0" w:hanging="2"/>
              <w:jc w:val="center"/>
              <w:rPr>
                <w:rFonts w:ascii="Arial" w:eastAsia="Arial" w:hAnsi="Arial" w:cs="Arial"/>
              </w:rPr>
            </w:pPr>
            <w:r>
              <w:rPr>
                <w:rFonts w:ascii="Arial" w:eastAsia="Arial" w:hAnsi="Arial" w:cs="Arial"/>
                <w:b/>
              </w:rPr>
              <w:t>Cena/</w:t>
            </w:r>
            <w:proofErr w:type="spellStart"/>
            <w:r>
              <w:rPr>
                <w:rFonts w:ascii="Arial" w:eastAsia="Arial" w:hAnsi="Arial" w:cs="Arial"/>
                <w:b/>
              </w:rPr>
              <w:t>jedn</w:t>
            </w:r>
            <w:proofErr w:type="spellEnd"/>
            <w:r>
              <w:rPr>
                <w:rFonts w:ascii="Arial" w:eastAsia="Arial" w:hAnsi="Arial" w:cs="Arial"/>
                <w:b/>
              </w:rPr>
              <w:t>.</w:t>
            </w:r>
          </w:p>
        </w:tc>
        <w:tc>
          <w:tcPr>
            <w:tcW w:w="1388" w:type="dxa"/>
            <w:tcBorders>
              <w:top w:val="single" w:sz="8" w:space="0" w:color="000000"/>
              <w:left w:val="nil"/>
              <w:bottom w:val="nil"/>
              <w:right w:val="single" w:sz="8" w:space="0" w:color="000000"/>
            </w:tcBorders>
            <w:shd w:val="clear" w:color="auto" w:fill="C0C0C0"/>
            <w:vAlign w:val="center"/>
          </w:tcPr>
          <w:p w:rsidR="00CB2902" w:rsidRDefault="00BE5D34">
            <w:pPr>
              <w:ind w:left="0" w:hanging="2"/>
              <w:jc w:val="center"/>
              <w:rPr>
                <w:rFonts w:ascii="Arial" w:eastAsia="Arial" w:hAnsi="Arial" w:cs="Arial"/>
              </w:rPr>
            </w:pPr>
            <w:r>
              <w:rPr>
                <w:rFonts w:ascii="Arial" w:eastAsia="Arial" w:hAnsi="Arial" w:cs="Arial"/>
                <w:b/>
              </w:rPr>
              <w:t>Cena/celkem</w:t>
            </w:r>
          </w:p>
        </w:tc>
      </w:tr>
      <w:tr w:rsidR="00CB2902">
        <w:trPr>
          <w:trHeight w:val="264"/>
        </w:trPr>
        <w:tc>
          <w:tcPr>
            <w:tcW w:w="540" w:type="dxa"/>
            <w:tcBorders>
              <w:top w:val="single" w:sz="4" w:space="0" w:color="000000"/>
              <w:left w:val="single" w:sz="8" w:space="0" w:color="000000"/>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1</w:t>
            </w:r>
          </w:p>
        </w:tc>
        <w:tc>
          <w:tcPr>
            <w:tcW w:w="3800" w:type="dxa"/>
            <w:tcBorders>
              <w:top w:val="single" w:sz="4" w:space="0" w:color="000000"/>
              <w:left w:val="nil"/>
              <w:bottom w:val="single" w:sz="4" w:space="0" w:color="000000"/>
              <w:right w:val="single" w:sz="4" w:space="0" w:color="000000"/>
            </w:tcBorders>
          </w:tcPr>
          <w:p w:rsidR="00CB2902" w:rsidRDefault="00BE5D34">
            <w:pPr>
              <w:ind w:left="0" w:hanging="2"/>
              <w:rPr>
                <w:rFonts w:ascii="Arial CE" w:eastAsia="Arial CE" w:hAnsi="Arial CE" w:cs="Arial CE"/>
              </w:rPr>
            </w:pPr>
            <w:r>
              <w:rPr>
                <w:rFonts w:ascii="Arial CE" w:eastAsia="Arial CE" w:hAnsi="Arial CE" w:cs="Arial CE"/>
              </w:rPr>
              <w:t>Senzorová bariera SWEEPER</w:t>
            </w:r>
          </w:p>
        </w:tc>
        <w:tc>
          <w:tcPr>
            <w:tcW w:w="960" w:type="dxa"/>
            <w:tcBorders>
              <w:top w:val="single" w:sz="4" w:space="0" w:color="000000"/>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ks</w:t>
            </w:r>
          </w:p>
        </w:tc>
        <w:tc>
          <w:tcPr>
            <w:tcW w:w="960" w:type="dxa"/>
            <w:tcBorders>
              <w:top w:val="single" w:sz="4" w:space="0" w:color="000000"/>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1</w:t>
            </w:r>
          </w:p>
        </w:tc>
        <w:tc>
          <w:tcPr>
            <w:tcW w:w="1152" w:type="dxa"/>
            <w:tcBorders>
              <w:top w:val="single" w:sz="4" w:space="0" w:color="000000"/>
              <w:left w:val="nil"/>
              <w:bottom w:val="single" w:sz="4" w:space="0" w:color="000000"/>
              <w:right w:val="single" w:sz="4" w:space="0" w:color="000000"/>
            </w:tcBorders>
          </w:tcPr>
          <w:p w:rsidR="00CB2902" w:rsidRDefault="00CB2902">
            <w:pPr>
              <w:ind w:left="0" w:hanging="2"/>
              <w:jc w:val="right"/>
              <w:rPr>
                <w:rFonts w:ascii="Arial" w:eastAsia="Arial" w:hAnsi="Arial" w:cs="Arial"/>
              </w:rPr>
            </w:pPr>
          </w:p>
        </w:tc>
        <w:tc>
          <w:tcPr>
            <w:tcW w:w="1388" w:type="dxa"/>
            <w:tcBorders>
              <w:top w:val="single" w:sz="4" w:space="0" w:color="000000"/>
              <w:left w:val="nil"/>
              <w:bottom w:val="single" w:sz="4" w:space="0" w:color="000000"/>
              <w:right w:val="single" w:sz="8" w:space="0" w:color="000000"/>
            </w:tcBorders>
          </w:tcPr>
          <w:p w:rsidR="00CB2902" w:rsidRDefault="00CB2902">
            <w:pPr>
              <w:ind w:left="0" w:hanging="2"/>
              <w:jc w:val="right"/>
              <w:rPr>
                <w:rFonts w:ascii="Arial" w:eastAsia="Arial" w:hAnsi="Arial" w:cs="Arial"/>
              </w:rPr>
            </w:pPr>
          </w:p>
        </w:tc>
      </w:tr>
      <w:tr w:rsidR="00CB2902">
        <w:trPr>
          <w:trHeight w:val="264"/>
        </w:trPr>
        <w:tc>
          <w:tcPr>
            <w:tcW w:w="540" w:type="dxa"/>
            <w:tcBorders>
              <w:top w:val="nil"/>
              <w:left w:val="single" w:sz="8" w:space="0" w:color="000000"/>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2</w:t>
            </w:r>
          </w:p>
        </w:tc>
        <w:tc>
          <w:tcPr>
            <w:tcW w:w="3800" w:type="dxa"/>
            <w:tcBorders>
              <w:top w:val="nil"/>
              <w:left w:val="nil"/>
              <w:bottom w:val="single" w:sz="4" w:space="0" w:color="000000"/>
              <w:right w:val="single" w:sz="4" w:space="0" w:color="000000"/>
            </w:tcBorders>
          </w:tcPr>
          <w:p w:rsidR="00CB2902" w:rsidRDefault="00BE5D34">
            <w:pPr>
              <w:ind w:left="0" w:hanging="2"/>
              <w:rPr>
                <w:rFonts w:ascii="Arial CE" w:eastAsia="Arial CE" w:hAnsi="Arial CE" w:cs="Arial CE"/>
              </w:rPr>
            </w:pPr>
            <w:r>
              <w:rPr>
                <w:rFonts w:ascii="Arial CE" w:eastAsia="Arial CE" w:hAnsi="Arial CE" w:cs="Arial CE"/>
              </w:rPr>
              <w:t>pult ručního ovládání branky</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ks</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1</w:t>
            </w:r>
          </w:p>
        </w:tc>
        <w:tc>
          <w:tcPr>
            <w:tcW w:w="1152" w:type="dxa"/>
            <w:tcBorders>
              <w:top w:val="nil"/>
              <w:left w:val="nil"/>
              <w:bottom w:val="single" w:sz="4" w:space="0" w:color="000000"/>
              <w:right w:val="single" w:sz="4" w:space="0" w:color="000000"/>
            </w:tcBorders>
          </w:tcPr>
          <w:p w:rsidR="00CB2902" w:rsidRDefault="00CB2902">
            <w:pPr>
              <w:ind w:left="0" w:hanging="2"/>
              <w:jc w:val="right"/>
              <w:rPr>
                <w:rFonts w:ascii="Arial" w:eastAsia="Arial" w:hAnsi="Arial" w:cs="Arial"/>
              </w:rPr>
            </w:pPr>
          </w:p>
        </w:tc>
        <w:tc>
          <w:tcPr>
            <w:tcW w:w="1388" w:type="dxa"/>
            <w:tcBorders>
              <w:top w:val="nil"/>
              <w:left w:val="nil"/>
              <w:bottom w:val="single" w:sz="4" w:space="0" w:color="000000"/>
              <w:right w:val="single" w:sz="8" w:space="0" w:color="000000"/>
            </w:tcBorders>
          </w:tcPr>
          <w:p w:rsidR="00CB2902" w:rsidRDefault="00CB2902">
            <w:pPr>
              <w:ind w:left="0" w:hanging="2"/>
              <w:jc w:val="right"/>
              <w:rPr>
                <w:rFonts w:ascii="Arial" w:eastAsia="Arial" w:hAnsi="Arial" w:cs="Arial"/>
              </w:rPr>
            </w:pPr>
          </w:p>
        </w:tc>
      </w:tr>
      <w:tr w:rsidR="00CB2902">
        <w:trPr>
          <w:trHeight w:val="264"/>
        </w:trPr>
        <w:tc>
          <w:tcPr>
            <w:tcW w:w="540" w:type="dxa"/>
            <w:tcBorders>
              <w:top w:val="nil"/>
              <w:left w:val="single" w:sz="8" w:space="0" w:color="000000"/>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3</w:t>
            </w:r>
          </w:p>
        </w:tc>
        <w:tc>
          <w:tcPr>
            <w:tcW w:w="3800" w:type="dxa"/>
            <w:tcBorders>
              <w:top w:val="nil"/>
              <w:left w:val="nil"/>
              <w:bottom w:val="single" w:sz="4" w:space="0" w:color="000000"/>
              <w:right w:val="single" w:sz="4" w:space="0" w:color="000000"/>
            </w:tcBorders>
          </w:tcPr>
          <w:p w:rsidR="00CB2902" w:rsidRDefault="00BE5D34">
            <w:pPr>
              <w:ind w:left="0" w:hanging="2"/>
              <w:rPr>
                <w:rFonts w:ascii="Arial CE" w:eastAsia="Arial CE" w:hAnsi="Arial CE" w:cs="Arial CE"/>
              </w:rPr>
            </w:pPr>
            <w:r>
              <w:rPr>
                <w:rFonts w:ascii="Arial CE" w:eastAsia="Arial CE" w:hAnsi="Arial CE" w:cs="Arial CE"/>
              </w:rPr>
              <w:t>příprava pro čtečky</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ks</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2</w:t>
            </w:r>
          </w:p>
        </w:tc>
        <w:tc>
          <w:tcPr>
            <w:tcW w:w="1152" w:type="dxa"/>
            <w:tcBorders>
              <w:top w:val="nil"/>
              <w:left w:val="nil"/>
              <w:bottom w:val="single" w:sz="4" w:space="0" w:color="000000"/>
              <w:right w:val="single" w:sz="4" w:space="0" w:color="000000"/>
            </w:tcBorders>
          </w:tcPr>
          <w:p w:rsidR="00CB2902" w:rsidRDefault="00CB2902">
            <w:pPr>
              <w:ind w:left="0" w:hanging="2"/>
              <w:jc w:val="right"/>
              <w:rPr>
                <w:rFonts w:ascii="Arial" w:eastAsia="Arial" w:hAnsi="Arial" w:cs="Arial"/>
              </w:rPr>
            </w:pPr>
          </w:p>
        </w:tc>
        <w:tc>
          <w:tcPr>
            <w:tcW w:w="1388" w:type="dxa"/>
            <w:tcBorders>
              <w:top w:val="nil"/>
              <w:left w:val="nil"/>
              <w:bottom w:val="single" w:sz="4" w:space="0" w:color="000000"/>
              <w:right w:val="single" w:sz="8" w:space="0" w:color="000000"/>
            </w:tcBorders>
          </w:tcPr>
          <w:p w:rsidR="00CB2902" w:rsidRDefault="00CB2902">
            <w:pPr>
              <w:ind w:left="0" w:hanging="2"/>
              <w:jc w:val="right"/>
              <w:rPr>
                <w:rFonts w:ascii="Arial" w:eastAsia="Arial" w:hAnsi="Arial" w:cs="Arial"/>
              </w:rPr>
            </w:pPr>
          </w:p>
        </w:tc>
      </w:tr>
      <w:tr w:rsidR="00CB2902">
        <w:trPr>
          <w:trHeight w:val="264"/>
        </w:trPr>
        <w:tc>
          <w:tcPr>
            <w:tcW w:w="540" w:type="dxa"/>
            <w:tcBorders>
              <w:top w:val="nil"/>
              <w:left w:val="single" w:sz="8" w:space="0" w:color="000000"/>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4</w:t>
            </w:r>
          </w:p>
        </w:tc>
        <w:tc>
          <w:tcPr>
            <w:tcW w:w="3800" w:type="dxa"/>
            <w:tcBorders>
              <w:top w:val="nil"/>
              <w:left w:val="nil"/>
              <w:bottom w:val="single" w:sz="4" w:space="0" w:color="000000"/>
              <w:right w:val="single" w:sz="4" w:space="0" w:color="000000"/>
            </w:tcBorders>
          </w:tcPr>
          <w:p w:rsidR="00CB2902" w:rsidRDefault="00BE5D34">
            <w:pPr>
              <w:ind w:left="0" w:hanging="2"/>
              <w:rPr>
                <w:rFonts w:ascii="Arial CE" w:eastAsia="Arial CE" w:hAnsi="Arial CE" w:cs="Arial CE"/>
              </w:rPr>
            </w:pPr>
            <w:r>
              <w:rPr>
                <w:rFonts w:ascii="Arial CE" w:eastAsia="Arial CE" w:hAnsi="Arial CE" w:cs="Arial CE"/>
              </w:rPr>
              <w:t>rozšíření propusti na 900mm</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ks</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1</w:t>
            </w:r>
          </w:p>
        </w:tc>
        <w:tc>
          <w:tcPr>
            <w:tcW w:w="1152" w:type="dxa"/>
            <w:tcBorders>
              <w:top w:val="nil"/>
              <w:left w:val="nil"/>
              <w:bottom w:val="single" w:sz="4" w:space="0" w:color="000000"/>
              <w:right w:val="single" w:sz="4" w:space="0" w:color="000000"/>
            </w:tcBorders>
          </w:tcPr>
          <w:p w:rsidR="00CB2902" w:rsidRDefault="00CB2902">
            <w:pPr>
              <w:ind w:left="0" w:hanging="2"/>
              <w:jc w:val="right"/>
              <w:rPr>
                <w:rFonts w:ascii="Arial" w:eastAsia="Arial" w:hAnsi="Arial" w:cs="Arial"/>
              </w:rPr>
            </w:pPr>
          </w:p>
        </w:tc>
        <w:tc>
          <w:tcPr>
            <w:tcW w:w="1388" w:type="dxa"/>
            <w:tcBorders>
              <w:top w:val="nil"/>
              <w:left w:val="nil"/>
              <w:bottom w:val="single" w:sz="4" w:space="0" w:color="000000"/>
              <w:right w:val="single" w:sz="8" w:space="0" w:color="000000"/>
            </w:tcBorders>
          </w:tcPr>
          <w:p w:rsidR="00CB2902" w:rsidRDefault="00CB2902">
            <w:pPr>
              <w:ind w:left="0" w:hanging="2"/>
              <w:jc w:val="right"/>
              <w:rPr>
                <w:rFonts w:ascii="Arial" w:eastAsia="Arial" w:hAnsi="Arial" w:cs="Arial"/>
              </w:rPr>
            </w:pPr>
          </w:p>
        </w:tc>
      </w:tr>
      <w:tr w:rsidR="00CB2902">
        <w:trPr>
          <w:trHeight w:val="264"/>
        </w:trPr>
        <w:tc>
          <w:tcPr>
            <w:tcW w:w="6260" w:type="dxa"/>
            <w:gridSpan w:val="4"/>
            <w:tcBorders>
              <w:top w:val="single" w:sz="4" w:space="0" w:color="000000"/>
              <w:left w:val="single" w:sz="8" w:space="0" w:color="000000"/>
              <w:bottom w:val="single" w:sz="4" w:space="0" w:color="000000"/>
              <w:right w:val="single" w:sz="4" w:space="0" w:color="000000"/>
            </w:tcBorders>
            <w:shd w:val="clear" w:color="auto" w:fill="C0C0C0"/>
          </w:tcPr>
          <w:p w:rsidR="00CB2902" w:rsidRDefault="00BE5D34">
            <w:pPr>
              <w:ind w:left="0" w:hanging="2"/>
              <w:rPr>
                <w:rFonts w:ascii="Arial" w:eastAsia="Arial" w:hAnsi="Arial" w:cs="Arial"/>
              </w:rPr>
            </w:pPr>
            <w:r>
              <w:rPr>
                <w:rFonts w:ascii="Arial" w:eastAsia="Arial" w:hAnsi="Arial" w:cs="Arial"/>
                <w:b/>
              </w:rPr>
              <w:t> </w:t>
            </w:r>
          </w:p>
        </w:tc>
        <w:tc>
          <w:tcPr>
            <w:tcW w:w="1152" w:type="dxa"/>
            <w:tcBorders>
              <w:top w:val="nil"/>
              <w:left w:val="nil"/>
              <w:bottom w:val="single" w:sz="4" w:space="0" w:color="000000"/>
              <w:right w:val="single" w:sz="4" w:space="0" w:color="000000"/>
            </w:tcBorders>
            <w:shd w:val="clear" w:color="auto" w:fill="C0C0C0"/>
          </w:tcPr>
          <w:p w:rsidR="00CB2902" w:rsidRDefault="00CB2902">
            <w:pPr>
              <w:ind w:left="0" w:hanging="2"/>
              <w:jc w:val="right"/>
              <w:rPr>
                <w:rFonts w:ascii="Arial" w:eastAsia="Arial" w:hAnsi="Arial" w:cs="Arial"/>
              </w:rPr>
            </w:pPr>
          </w:p>
        </w:tc>
        <w:tc>
          <w:tcPr>
            <w:tcW w:w="1388" w:type="dxa"/>
            <w:tcBorders>
              <w:top w:val="nil"/>
              <w:left w:val="nil"/>
              <w:bottom w:val="single" w:sz="4" w:space="0" w:color="000000"/>
              <w:right w:val="single" w:sz="8" w:space="0" w:color="000000"/>
            </w:tcBorders>
            <w:shd w:val="clear" w:color="auto" w:fill="C0C0C0"/>
          </w:tcPr>
          <w:p w:rsidR="00CB2902" w:rsidRDefault="00CB2902">
            <w:pPr>
              <w:ind w:left="0" w:hanging="2"/>
              <w:jc w:val="right"/>
              <w:rPr>
                <w:rFonts w:ascii="Arial" w:eastAsia="Arial" w:hAnsi="Arial" w:cs="Arial"/>
              </w:rPr>
            </w:pPr>
          </w:p>
        </w:tc>
      </w:tr>
      <w:tr w:rsidR="00CB2902">
        <w:trPr>
          <w:trHeight w:val="264"/>
        </w:trPr>
        <w:tc>
          <w:tcPr>
            <w:tcW w:w="540" w:type="dxa"/>
            <w:tcBorders>
              <w:top w:val="nil"/>
              <w:left w:val="single" w:sz="8" w:space="0" w:color="000000"/>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5</w:t>
            </w:r>
          </w:p>
        </w:tc>
        <w:tc>
          <w:tcPr>
            <w:tcW w:w="3800" w:type="dxa"/>
            <w:tcBorders>
              <w:top w:val="nil"/>
              <w:left w:val="nil"/>
              <w:bottom w:val="single" w:sz="4" w:space="0" w:color="000000"/>
              <w:right w:val="single" w:sz="4" w:space="0" w:color="000000"/>
            </w:tcBorders>
          </w:tcPr>
          <w:p w:rsidR="00CB2902" w:rsidRDefault="00BE5D34">
            <w:pPr>
              <w:ind w:left="0" w:hanging="2"/>
              <w:rPr>
                <w:rFonts w:ascii="Arial CE" w:eastAsia="Arial CE" w:hAnsi="Arial CE" w:cs="Arial CE"/>
              </w:rPr>
            </w:pPr>
            <w:r>
              <w:rPr>
                <w:rFonts w:ascii="Arial CE" w:eastAsia="Arial CE" w:hAnsi="Arial CE" w:cs="Arial CE"/>
              </w:rPr>
              <w:t xml:space="preserve">montáž, oživení, zaškolení, dokumentace  </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ks</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1</w:t>
            </w:r>
          </w:p>
        </w:tc>
        <w:tc>
          <w:tcPr>
            <w:tcW w:w="1152" w:type="dxa"/>
            <w:tcBorders>
              <w:top w:val="nil"/>
              <w:left w:val="nil"/>
              <w:bottom w:val="single" w:sz="4" w:space="0" w:color="000000"/>
              <w:right w:val="single" w:sz="4" w:space="0" w:color="000000"/>
            </w:tcBorders>
          </w:tcPr>
          <w:p w:rsidR="00CB2902" w:rsidRDefault="00CB2902">
            <w:pPr>
              <w:ind w:left="0" w:hanging="2"/>
              <w:jc w:val="right"/>
              <w:rPr>
                <w:rFonts w:ascii="Arial" w:eastAsia="Arial" w:hAnsi="Arial" w:cs="Arial"/>
              </w:rPr>
            </w:pPr>
          </w:p>
        </w:tc>
        <w:tc>
          <w:tcPr>
            <w:tcW w:w="1388" w:type="dxa"/>
            <w:tcBorders>
              <w:top w:val="nil"/>
              <w:left w:val="nil"/>
              <w:bottom w:val="single" w:sz="4" w:space="0" w:color="000000"/>
              <w:right w:val="single" w:sz="8" w:space="0" w:color="000000"/>
            </w:tcBorders>
          </w:tcPr>
          <w:p w:rsidR="00CB2902" w:rsidRDefault="00CB2902">
            <w:pPr>
              <w:ind w:left="0" w:hanging="2"/>
              <w:jc w:val="right"/>
              <w:rPr>
                <w:rFonts w:ascii="Arial" w:eastAsia="Arial" w:hAnsi="Arial" w:cs="Arial"/>
              </w:rPr>
            </w:pPr>
          </w:p>
        </w:tc>
      </w:tr>
      <w:tr w:rsidR="00CB2902">
        <w:trPr>
          <w:trHeight w:val="264"/>
        </w:trPr>
        <w:tc>
          <w:tcPr>
            <w:tcW w:w="540" w:type="dxa"/>
            <w:tcBorders>
              <w:top w:val="nil"/>
              <w:left w:val="single" w:sz="8" w:space="0" w:color="000000"/>
              <w:bottom w:val="nil"/>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6</w:t>
            </w:r>
          </w:p>
        </w:tc>
        <w:tc>
          <w:tcPr>
            <w:tcW w:w="3800" w:type="dxa"/>
            <w:tcBorders>
              <w:top w:val="nil"/>
              <w:left w:val="nil"/>
              <w:bottom w:val="nil"/>
              <w:right w:val="single" w:sz="4" w:space="0" w:color="000000"/>
            </w:tcBorders>
          </w:tcPr>
          <w:p w:rsidR="00CB2902" w:rsidRDefault="00BE5D34">
            <w:pPr>
              <w:ind w:left="0" w:hanging="2"/>
              <w:rPr>
                <w:rFonts w:ascii="Arial CE" w:eastAsia="Arial CE" w:hAnsi="Arial CE" w:cs="Arial CE"/>
              </w:rPr>
            </w:pPr>
            <w:r>
              <w:rPr>
                <w:rFonts w:ascii="Arial CE" w:eastAsia="Arial CE" w:hAnsi="Arial CE" w:cs="Arial CE"/>
              </w:rPr>
              <w:t>doprava</w:t>
            </w:r>
          </w:p>
        </w:tc>
        <w:tc>
          <w:tcPr>
            <w:tcW w:w="960" w:type="dxa"/>
            <w:tcBorders>
              <w:top w:val="nil"/>
              <w:left w:val="nil"/>
              <w:bottom w:val="single" w:sz="4" w:space="0" w:color="000000"/>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ks</w:t>
            </w:r>
          </w:p>
        </w:tc>
        <w:tc>
          <w:tcPr>
            <w:tcW w:w="960" w:type="dxa"/>
            <w:tcBorders>
              <w:top w:val="nil"/>
              <w:left w:val="nil"/>
              <w:bottom w:val="nil"/>
              <w:right w:val="single" w:sz="4" w:space="0" w:color="000000"/>
            </w:tcBorders>
          </w:tcPr>
          <w:p w:rsidR="00CB2902" w:rsidRDefault="00BE5D34">
            <w:pPr>
              <w:ind w:left="0" w:hanging="2"/>
              <w:jc w:val="center"/>
              <w:rPr>
                <w:rFonts w:ascii="Arial" w:eastAsia="Arial" w:hAnsi="Arial" w:cs="Arial"/>
              </w:rPr>
            </w:pPr>
            <w:r>
              <w:rPr>
                <w:rFonts w:ascii="Arial" w:eastAsia="Arial" w:hAnsi="Arial" w:cs="Arial"/>
              </w:rPr>
              <w:t>1</w:t>
            </w:r>
          </w:p>
        </w:tc>
        <w:tc>
          <w:tcPr>
            <w:tcW w:w="1152" w:type="dxa"/>
            <w:tcBorders>
              <w:top w:val="nil"/>
              <w:left w:val="nil"/>
              <w:bottom w:val="nil"/>
              <w:right w:val="single" w:sz="4" w:space="0" w:color="000000"/>
            </w:tcBorders>
          </w:tcPr>
          <w:p w:rsidR="00CB2902" w:rsidRDefault="00CB2902">
            <w:pPr>
              <w:ind w:left="0" w:hanging="2"/>
              <w:jc w:val="right"/>
              <w:rPr>
                <w:rFonts w:ascii="Arial" w:eastAsia="Arial" w:hAnsi="Arial" w:cs="Arial"/>
              </w:rPr>
            </w:pPr>
          </w:p>
        </w:tc>
        <w:tc>
          <w:tcPr>
            <w:tcW w:w="1388" w:type="dxa"/>
            <w:tcBorders>
              <w:top w:val="nil"/>
              <w:left w:val="nil"/>
              <w:bottom w:val="nil"/>
              <w:right w:val="single" w:sz="8" w:space="0" w:color="000000"/>
            </w:tcBorders>
          </w:tcPr>
          <w:p w:rsidR="00CB2902" w:rsidRDefault="00CB2902">
            <w:pPr>
              <w:ind w:left="0" w:hanging="2"/>
              <w:jc w:val="right"/>
              <w:rPr>
                <w:rFonts w:ascii="Arial" w:eastAsia="Arial" w:hAnsi="Arial" w:cs="Arial"/>
              </w:rPr>
            </w:pPr>
          </w:p>
        </w:tc>
      </w:tr>
      <w:tr w:rsidR="00CB2902">
        <w:trPr>
          <w:trHeight w:val="276"/>
        </w:trPr>
        <w:tc>
          <w:tcPr>
            <w:tcW w:w="540" w:type="dxa"/>
            <w:tcBorders>
              <w:top w:val="single" w:sz="4" w:space="0" w:color="000000"/>
              <w:left w:val="single" w:sz="8" w:space="0" w:color="000000"/>
              <w:bottom w:val="single" w:sz="8" w:space="0" w:color="000000"/>
              <w:right w:val="single" w:sz="4" w:space="0" w:color="000000"/>
            </w:tcBorders>
            <w:shd w:val="clear" w:color="auto" w:fill="C0C0C0"/>
          </w:tcPr>
          <w:p w:rsidR="00CB2902" w:rsidRDefault="00BE5D34">
            <w:pPr>
              <w:ind w:left="0" w:hanging="2"/>
              <w:jc w:val="center"/>
              <w:rPr>
                <w:rFonts w:ascii="Arial" w:eastAsia="Arial" w:hAnsi="Arial" w:cs="Arial"/>
              </w:rPr>
            </w:pPr>
            <w:r>
              <w:rPr>
                <w:rFonts w:ascii="Arial" w:eastAsia="Arial" w:hAnsi="Arial" w:cs="Arial"/>
                <w:b/>
              </w:rPr>
              <w:t> </w:t>
            </w:r>
          </w:p>
        </w:tc>
        <w:tc>
          <w:tcPr>
            <w:tcW w:w="3800" w:type="dxa"/>
            <w:tcBorders>
              <w:top w:val="single" w:sz="4" w:space="0" w:color="000000"/>
              <w:left w:val="nil"/>
              <w:bottom w:val="single" w:sz="8" w:space="0" w:color="000000"/>
              <w:right w:val="single" w:sz="4" w:space="0" w:color="000000"/>
            </w:tcBorders>
            <w:shd w:val="clear" w:color="auto" w:fill="C0C0C0"/>
          </w:tcPr>
          <w:p w:rsidR="00CB2902" w:rsidRDefault="00BE5D34">
            <w:pPr>
              <w:ind w:left="0" w:hanging="2"/>
              <w:rPr>
                <w:rFonts w:ascii="Arial CE" w:eastAsia="Arial CE" w:hAnsi="Arial CE" w:cs="Arial CE"/>
              </w:rPr>
            </w:pPr>
            <w:r>
              <w:rPr>
                <w:rFonts w:ascii="Arial CE" w:eastAsia="Arial CE" w:hAnsi="Arial CE" w:cs="Arial CE"/>
                <w:b/>
              </w:rPr>
              <w:t>Cena dodávka a montáž</w:t>
            </w:r>
          </w:p>
        </w:tc>
        <w:tc>
          <w:tcPr>
            <w:tcW w:w="960" w:type="dxa"/>
            <w:tcBorders>
              <w:top w:val="nil"/>
              <w:left w:val="nil"/>
              <w:bottom w:val="single" w:sz="8" w:space="0" w:color="000000"/>
              <w:right w:val="single" w:sz="4" w:space="0" w:color="000000"/>
            </w:tcBorders>
            <w:shd w:val="clear" w:color="auto" w:fill="C0C0C0"/>
          </w:tcPr>
          <w:p w:rsidR="00CB2902" w:rsidRDefault="00BE5D34">
            <w:pPr>
              <w:ind w:left="0" w:hanging="2"/>
              <w:jc w:val="center"/>
              <w:rPr>
                <w:rFonts w:ascii="Arial" w:eastAsia="Arial" w:hAnsi="Arial" w:cs="Arial"/>
              </w:rPr>
            </w:pPr>
            <w:r>
              <w:rPr>
                <w:rFonts w:ascii="Arial" w:eastAsia="Arial" w:hAnsi="Arial" w:cs="Arial"/>
                <w:b/>
              </w:rPr>
              <w:t> </w:t>
            </w:r>
          </w:p>
        </w:tc>
        <w:tc>
          <w:tcPr>
            <w:tcW w:w="960" w:type="dxa"/>
            <w:tcBorders>
              <w:top w:val="single" w:sz="4" w:space="0" w:color="000000"/>
              <w:left w:val="nil"/>
              <w:bottom w:val="single" w:sz="8" w:space="0" w:color="000000"/>
              <w:right w:val="single" w:sz="4" w:space="0" w:color="000000"/>
            </w:tcBorders>
            <w:shd w:val="clear" w:color="auto" w:fill="C0C0C0"/>
          </w:tcPr>
          <w:p w:rsidR="00CB2902" w:rsidRDefault="00BE5D34">
            <w:pPr>
              <w:ind w:left="0" w:hanging="2"/>
              <w:jc w:val="center"/>
              <w:rPr>
                <w:rFonts w:ascii="Arial" w:eastAsia="Arial" w:hAnsi="Arial" w:cs="Arial"/>
              </w:rPr>
            </w:pPr>
            <w:r>
              <w:rPr>
                <w:rFonts w:ascii="Arial" w:eastAsia="Arial" w:hAnsi="Arial" w:cs="Arial"/>
                <w:b/>
              </w:rPr>
              <w:t> </w:t>
            </w:r>
          </w:p>
        </w:tc>
        <w:tc>
          <w:tcPr>
            <w:tcW w:w="1152" w:type="dxa"/>
            <w:tcBorders>
              <w:top w:val="single" w:sz="4" w:space="0" w:color="000000"/>
              <w:left w:val="nil"/>
              <w:bottom w:val="single" w:sz="8" w:space="0" w:color="000000"/>
              <w:right w:val="single" w:sz="4" w:space="0" w:color="000000"/>
            </w:tcBorders>
            <w:shd w:val="clear" w:color="auto" w:fill="C0C0C0"/>
          </w:tcPr>
          <w:p w:rsidR="00CB2902" w:rsidRDefault="00BE5D34">
            <w:pPr>
              <w:ind w:left="0" w:hanging="2"/>
              <w:rPr>
                <w:rFonts w:ascii="Arial" w:eastAsia="Arial" w:hAnsi="Arial" w:cs="Arial"/>
              </w:rPr>
            </w:pPr>
            <w:r>
              <w:rPr>
                <w:rFonts w:ascii="Arial" w:eastAsia="Arial" w:hAnsi="Arial" w:cs="Arial"/>
                <w:b/>
              </w:rPr>
              <w:t> </w:t>
            </w:r>
          </w:p>
        </w:tc>
        <w:tc>
          <w:tcPr>
            <w:tcW w:w="1388" w:type="dxa"/>
            <w:tcBorders>
              <w:top w:val="single" w:sz="4" w:space="0" w:color="000000"/>
              <w:left w:val="nil"/>
              <w:bottom w:val="single" w:sz="8" w:space="0" w:color="000000"/>
              <w:right w:val="single" w:sz="8" w:space="0" w:color="000000"/>
            </w:tcBorders>
            <w:shd w:val="clear" w:color="auto" w:fill="C0C0C0"/>
          </w:tcPr>
          <w:p w:rsidR="00CB2902" w:rsidRDefault="00BE5D34">
            <w:pPr>
              <w:ind w:left="0" w:hanging="2"/>
              <w:jc w:val="right"/>
              <w:rPr>
                <w:rFonts w:ascii="Arial" w:eastAsia="Arial" w:hAnsi="Arial" w:cs="Arial"/>
              </w:rPr>
            </w:pPr>
            <w:r>
              <w:rPr>
                <w:rFonts w:ascii="Arial" w:eastAsia="Arial" w:hAnsi="Arial" w:cs="Arial"/>
                <w:b/>
              </w:rPr>
              <w:t>230 690</w:t>
            </w:r>
          </w:p>
        </w:tc>
      </w:tr>
    </w:tbl>
    <w:p w:rsidR="00CB2902" w:rsidRDefault="00CB2902">
      <w:pPr>
        <w:ind w:left="0" w:hanging="2"/>
        <w:rPr>
          <w:rFonts w:ascii="Verdana" w:eastAsia="Verdana" w:hAnsi="Verdana" w:cs="Verdana"/>
          <w:color w:val="383838"/>
        </w:rPr>
      </w:pPr>
    </w:p>
    <w:p w:rsidR="00CB2902" w:rsidRDefault="00BE5D34">
      <w:pPr>
        <w:ind w:left="0" w:hanging="2"/>
        <w:rPr>
          <w:rFonts w:ascii="Verdana" w:eastAsia="Verdana" w:hAnsi="Verdana" w:cs="Verdana"/>
          <w:color w:val="383838"/>
        </w:rPr>
      </w:pPr>
      <w:r>
        <w:rPr>
          <w:rFonts w:ascii="Verdana" w:eastAsia="Verdana" w:hAnsi="Verdana" w:cs="Verdana"/>
          <w:color w:val="383838"/>
        </w:rPr>
        <w:t>Ceny jsou bez DPH a stavební připravenosti, kabeláže.</w:t>
      </w:r>
    </w:p>
    <w:p w:rsidR="00CB2902" w:rsidRDefault="00CB2902">
      <w:pPr>
        <w:ind w:left="0" w:hanging="2"/>
        <w:rPr>
          <w:rFonts w:ascii="Verdana" w:eastAsia="Verdana" w:hAnsi="Verdana" w:cs="Verdana"/>
          <w:color w:val="383838"/>
        </w:rPr>
      </w:pPr>
    </w:p>
    <w:p w:rsidR="00CB2902" w:rsidRDefault="00BE5D34">
      <w:pPr>
        <w:keepNext/>
        <w:numPr>
          <w:ilvl w:val="0"/>
          <w:numId w:val="3"/>
        </w:numPr>
        <w:spacing w:before="240" w:after="60"/>
        <w:ind w:left="1" w:hanging="3"/>
        <w:jc w:val="both"/>
        <w:rPr>
          <w:rFonts w:ascii="Verdana" w:eastAsia="Verdana" w:hAnsi="Verdana" w:cs="Verdana"/>
          <w:b/>
          <w:color w:val="383838"/>
          <w:sz w:val="32"/>
          <w:szCs w:val="32"/>
        </w:rPr>
      </w:pPr>
      <w:r>
        <w:rPr>
          <w:rFonts w:ascii="Verdana" w:eastAsia="Verdana" w:hAnsi="Verdana" w:cs="Verdana"/>
          <w:b/>
          <w:color w:val="383838"/>
          <w:sz w:val="32"/>
          <w:szCs w:val="32"/>
        </w:rPr>
        <w:t>Harmonogram</w:t>
      </w:r>
    </w:p>
    <w:p w:rsidR="00CB2902" w:rsidRDefault="00BE5D34">
      <w:pPr>
        <w:ind w:left="0" w:hanging="2"/>
        <w:rPr>
          <w:rFonts w:ascii="Verdana" w:eastAsia="Verdana" w:hAnsi="Verdana" w:cs="Verdana"/>
          <w:color w:val="383838"/>
        </w:rPr>
      </w:pPr>
      <w:r>
        <w:rPr>
          <w:rFonts w:ascii="Verdana" w:eastAsia="Verdana" w:hAnsi="Verdana" w:cs="Verdana"/>
          <w:color w:val="383838"/>
        </w:rPr>
        <w:t>Podpis smlouvy</w:t>
      </w:r>
      <w:r>
        <w:rPr>
          <w:rFonts w:ascii="Verdana" w:eastAsia="Verdana" w:hAnsi="Verdana" w:cs="Verdana"/>
          <w:color w:val="383838"/>
        </w:rPr>
        <w:tab/>
      </w:r>
      <w:r>
        <w:rPr>
          <w:rFonts w:ascii="Verdana" w:eastAsia="Verdana" w:hAnsi="Verdana" w:cs="Verdana"/>
          <w:color w:val="383838"/>
        </w:rPr>
        <w:tab/>
        <w:t xml:space="preserve">    </w:t>
      </w:r>
      <w:r>
        <w:rPr>
          <w:rFonts w:ascii="Verdana" w:eastAsia="Verdana" w:hAnsi="Verdana" w:cs="Verdana"/>
          <w:color w:val="383838"/>
        </w:rPr>
        <w:tab/>
        <w:t>D</w:t>
      </w:r>
    </w:p>
    <w:p w:rsidR="00CB2902" w:rsidRDefault="00BE5D34">
      <w:pPr>
        <w:ind w:left="0" w:hanging="2"/>
        <w:rPr>
          <w:rFonts w:ascii="Verdana" w:eastAsia="Verdana" w:hAnsi="Verdana" w:cs="Verdana"/>
          <w:color w:val="383838"/>
        </w:rPr>
      </w:pPr>
      <w:r>
        <w:rPr>
          <w:rFonts w:ascii="Verdana" w:eastAsia="Verdana" w:hAnsi="Verdana" w:cs="Verdana"/>
          <w:color w:val="383838"/>
        </w:rPr>
        <w:t>Dodávka</w:t>
      </w:r>
      <w:r>
        <w:rPr>
          <w:rFonts w:ascii="Verdana" w:eastAsia="Verdana" w:hAnsi="Verdana" w:cs="Verdana"/>
          <w:color w:val="383838"/>
        </w:rPr>
        <w:tab/>
      </w:r>
      <w:r>
        <w:rPr>
          <w:rFonts w:ascii="Verdana" w:eastAsia="Verdana" w:hAnsi="Verdana" w:cs="Verdana"/>
          <w:color w:val="383838"/>
        </w:rPr>
        <w:tab/>
        <w:t xml:space="preserve">           </w:t>
      </w:r>
      <w:r>
        <w:rPr>
          <w:rFonts w:ascii="Verdana" w:eastAsia="Verdana" w:hAnsi="Verdana" w:cs="Verdana"/>
          <w:color w:val="383838"/>
        </w:rPr>
        <w:tab/>
        <w:t>D + 5 týdnů</w:t>
      </w:r>
    </w:p>
    <w:p w:rsidR="00CB2902" w:rsidRDefault="00BE5D34">
      <w:pPr>
        <w:ind w:left="0" w:hanging="2"/>
        <w:rPr>
          <w:rFonts w:ascii="Verdana" w:eastAsia="Verdana" w:hAnsi="Verdana" w:cs="Verdana"/>
          <w:color w:val="383838"/>
        </w:rPr>
      </w:pPr>
      <w:r>
        <w:rPr>
          <w:rFonts w:ascii="Verdana" w:eastAsia="Verdana" w:hAnsi="Verdana" w:cs="Verdana"/>
          <w:color w:val="383838"/>
        </w:rPr>
        <w:t>Montáž</w:t>
      </w:r>
      <w:r>
        <w:rPr>
          <w:rFonts w:ascii="Verdana" w:eastAsia="Verdana" w:hAnsi="Verdana" w:cs="Verdana"/>
          <w:color w:val="383838"/>
        </w:rPr>
        <w:tab/>
      </w:r>
      <w:r>
        <w:rPr>
          <w:rFonts w:ascii="Verdana" w:eastAsia="Verdana" w:hAnsi="Verdana" w:cs="Verdana"/>
          <w:color w:val="383838"/>
        </w:rPr>
        <w:tab/>
      </w:r>
      <w:r>
        <w:rPr>
          <w:rFonts w:ascii="Verdana" w:eastAsia="Verdana" w:hAnsi="Verdana" w:cs="Verdana"/>
          <w:color w:val="383838"/>
        </w:rPr>
        <w:tab/>
        <w:t xml:space="preserve">   </w:t>
      </w:r>
      <w:r>
        <w:rPr>
          <w:rFonts w:ascii="Verdana" w:eastAsia="Verdana" w:hAnsi="Verdana" w:cs="Verdana"/>
          <w:color w:val="383838"/>
        </w:rPr>
        <w:tab/>
        <w:t>D + 6 týdnů</w:t>
      </w:r>
    </w:p>
    <w:p w:rsidR="00CB2902" w:rsidRDefault="00BE5D34">
      <w:pPr>
        <w:keepNext/>
        <w:numPr>
          <w:ilvl w:val="0"/>
          <w:numId w:val="3"/>
        </w:numPr>
        <w:spacing w:before="240" w:after="60"/>
        <w:ind w:left="1" w:hanging="3"/>
        <w:jc w:val="both"/>
        <w:rPr>
          <w:rFonts w:ascii="Verdana" w:eastAsia="Verdana" w:hAnsi="Verdana" w:cs="Verdana"/>
          <w:b/>
          <w:color w:val="383838"/>
          <w:sz w:val="32"/>
          <w:szCs w:val="32"/>
        </w:rPr>
      </w:pPr>
      <w:r>
        <w:rPr>
          <w:rFonts w:ascii="Verdana" w:eastAsia="Verdana" w:hAnsi="Verdana" w:cs="Verdana"/>
          <w:b/>
          <w:color w:val="383838"/>
          <w:sz w:val="32"/>
          <w:szCs w:val="32"/>
        </w:rPr>
        <w:t>Garance</w:t>
      </w:r>
    </w:p>
    <w:p w:rsidR="00CB2902" w:rsidRDefault="00BE5D34">
      <w:pPr>
        <w:ind w:left="0" w:hanging="2"/>
        <w:rPr>
          <w:rFonts w:ascii="Verdana" w:eastAsia="Verdana" w:hAnsi="Verdana" w:cs="Verdana"/>
          <w:color w:val="383838"/>
        </w:rPr>
      </w:pPr>
      <w:bookmarkStart w:id="1" w:name="_heading=h.gjdgxs" w:colFirst="0" w:colLast="0"/>
      <w:bookmarkEnd w:id="1"/>
      <w:r>
        <w:rPr>
          <w:rFonts w:ascii="Verdana" w:eastAsia="Verdana" w:hAnsi="Verdana" w:cs="Verdana"/>
          <w:color w:val="383838"/>
        </w:rPr>
        <w:t xml:space="preserve">            Na zařízení poskytujeme záruku 24 měsíců, na provedenou montáž 36 měsíců.</w:t>
      </w:r>
    </w:p>
    <w:p w:rsidR="00CB2902" w:rsidRDefault="00BE5D34">
      <w:pPr>
        <w:keepNext/>
        <w:numPr>
          <w:ilvl w:val="0"/>
          <w:numId w:val="3"/>
        </w:numPr>
        <w:spacing w:before="240" w:after="60"/>
        <w:ind w:left="1" w:hanging="3"/>
        <w:jc w:val="both"/>
        <w:rPr>
          <w:rFonts w:ascii="Verdana" w:eastAsia="Verdana" w:hAnsi="Verdana" w:cs="Verdana"/>
          <w:b/>
          <w:color w:val="383838"/>
          <w:sz w:val="32"/>
          <w:szCs w:val="32"/>
        </w:rPr>
      </w:pPr>
      <w:r>
        <w:rPr>
          <w:rFonts w:ascii="Verdana" w:eastAsia="Verdana" w:hAnsi="Verdana" w:cs="Verdana"/>
          <w:b/>
          <w:color w:val="383838"/>
          <w:sz w:val="32"/>
          <w:szCs w:val="32"/>
        </w:rPr>
        <w:t>Záruční a pozáruční servis, školení</w:t>
      </w:r>
    </w:p>
    <w:p w:rsidR="00CB2902" w:rsidRPr="00793D59" w:rsidRDefault="00BE5D34" w:rsidP="00793D59">
      <w:pPr>
        <w:spacing w:before="120"/>
        <w:ind w:left="0" w:hanging="2"/>
        <w:rPr>
          <w:rFonts w:ascii="Verdana" w:eastAsia="Verdana" w:hAnsi="Verdana" w:cs="Verdana"/>
          <w:color w:val="383838"/>
        </w:rPr>
      </w:pPr>
      <w:r>
        <w:rPr>
          <w:rFonts w:ascii="Verdana" w:eastAsia="Verdana" w:hAnsi="Verdana" w:cs="Verdana"/>
          <w:color w:val="383838"/>
        </w:rPr>
        <w:t xml:space="preserve">       Po dobu záruční doby budou prováděny servisní zásahy zdarma. Školení uživatelů a údržby bude provedeno v průběhu instalace a uvádění systému do provozu. Po ukončení záruční doby nabízíme převzetí pozáručního servisu, který by byl předmětem zvláštní smlouvy.</w:t>
      </w:r>
      <w:bookmarkStart w:id="2" w:name="_heading=h.30j0zll" w:colFirst="0" w:colLast="0"/>
      <w:bookmarkEnd w:id="2"/>
    </w:p>
    <w:sectPr w:rsidR="00CB2902" w:rsidRPr="00793D59">
      <w:footerReference w:type="even" r:id="rId10"/>
      <w:footerReference w:type="default" r:id="rId11"/>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2C" w:rsidRDefault="00BE5D34">
      <w:pPr>
        <w:spacing w:line="240" w:lineRule="auto"/>
        <w:ind w:left="0" w:hanging="2"/>
      </w:pPr>
      <w:r>
        <w:separator/>
      </w:r>
    </w:p>
  </w:endnote>
  <w:endnote w:type="continuationSeparator" w:id="0">
    <w:p w:rsidR="00C4782C" w:rsidRDefault="00BE5D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02" w:rsidRDefault="00BE5D34">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CB2902" w:rsidRDefault="00CB2902">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02" w:rsidRDefault="00BE5D34">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6610B">
      <w:rPr>
        <w:noProof/>
        <w:color w:val="000000"/>
      </w:rPr>
      <w:t>2</w:t>
    </w:r>
    <w:r>
      <w:rPr>
        <w:color w:val="000000"/>
      </w:rPr>
      <w:fldChar w:fldCharType="end"/>
    </w:r>
  </w:p>
  <w:p w:rsidR="00CB2902" w:rsidRDefault="00CB2902">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2C" w:rsidRDefault="00BE5D34">
      <w:pPr>
        <w:spacing w:line="240" w:lineRule="auto"/>
        <w:ind w:left="0" w:hanging="2"/>
      </w:pPr>
      <w:r>
        <w:separator/>
      </w:r>
    </w:p>
  </w:footnote>
  <w:footnote w:type="continuationSeparator" w:id="0">
    <w:p w:rsidR="00C4782C" w:rsidRDefault="00BE5D3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4661"/>
    <w:multiLevelType w:val="multilevel"/>
    <w:tmpl w:val="92600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BA17EB"/>
    <w:multiLevelType w:val="multilevel"/>
    <w:tmpl w:val="955EB432"/>
    <w:lvl w:ilvl="0">
      <w:start w:val="1"/>
      <w:numFmt w:val="decimal"/>
      <w:lvlText w:val="%1."/>
      <w:lvlJc w:val="left"/>
      <w:pPr>
        <w:ind w:left="708" w:hanging="708"/>
      </w:pPr>
      <w:rPr>
        <w:vertAlign w:val="baseline"/>
      </w:rPr>
    </w:lvl>
    <w:lvl w:ilvl="1">
      <w:start w:val="1"/>
      <w:numFmt w:val="decimal"/>
      <w:lvlText w:val="%1.%2."/>
      <w:lvlJc w:val="left"/>
      <w:pPr>
        <w:ind w:left="1416" w:hanging="708"/>
      </w:pPr>
      <w:rPr>
        <w:vertAlign w:val="baseline"/>
      </w:rPr>
    </w:lvl>
    <w:lvl w:ilvl="2">
      <w:start w:val="1"/>
      <w:numFmt w:val="decimal"/>
      <w:lvlText w:val="%1.%2.%3."/>
      <w:lvlJc w:val="left"/>
      <w:pPr>
        <w:ind w:left="2124" w:hanging="707"/>
      </w:pPr>
      <w:rPr>
        <w:vertAlign w:val="baseline"/>
      </w:rPr>
    </w:lvl>
    <w:lvl w:ilvl="3">
      <w:start w:val="1"/>
      <w:numFmt w:val="decimal"/>
      <w:lvlText w:val="%1.%2.%3.%4."/>
      <w:lvlJc w:val="left"/>
      <w:pPr>
        <w:ind w:left="2832" w:hanging="708"/>
      </w:pPr>
      <w:rPr>
        <w:vertAlign w:val="baseline"/>
      </w:rPr>
    </w:lvl>
    <w:lvl w:ilvl="4">
      <w:start w:val="1"/>
      <w:numFmt w:val="decimal"/>
      <w:lvlText w:val="%1.%2.%3.%4.%5."/>
      <w:lvlJc w:val="left"/>
      <w:pPr>
        <w:ind w:left="3540" w:hanging="708"/>
      </w:pPr>
      <w:rPr>
        <w:vertAlign w:val="baseline"/>
      </w:rPr>
    </w:lvl>
    <w:lvl w:ilvl="5">
      <w:start w:val="1"/>
      <w:numFmt w:val="decimal"/>
      <w:lvlText w:val="%1.%2.%3.%4.%5.%6."/>
      <w:lvlJc w:val="left"/>
      <w:pPr>
        <w:ind w:left="4248" w:hanging="708"/>
      </w:pPr>
      <w:rPr>
        <w:vertAlign w:val="baseline"/>
      </w:rPr>
    </w:lvl>
    <w:lvl w:ilvl="6">
      <w:start w:val="1"/>
      <w:numFmt w:val="decimal"/>
      <w:lvlText w:val="%1.%2.%3.%4.%5.%6.%7."/>
      <w:lvlJc w:val="left"/>
      <w:pPr>
        <w:ind w:left="4956" w:hanging="708"/>
      </w:pPr>
      <w:rPr>
        <w:vertAlign w:val="baseline"/>
      </w:rPr>
    </w:lvl>
    <w:lvl w:ilvl="7">
      <w:start w:val="1"/>
      <w:numFmt w:val="decimal"/>
      <w:lvlText w:val="%1.%2.%3.%4.%5.%6.%7.%8."/>
      <w:lvlJc w:val="left"/>
      <w:pPr>
        <w:ind w:left="5664" w:hanging="708"/>
      </w:pPr>
      <w:rPr>
        <w:vertAlign w:val="baseline"/>
      </w:rPr>
    </w:lvl>
    <w:lvl w:ilvl="8">
      <w:start w:val="1"/>
      <w:numFmt w:val="decimal"/>
      <w:lvlText w:val="%1.%2.%3.%4.%5.%6.%7.%8.%9."/>
      <w:lvlJc w:val="left"/>
      <w:pPr>
        <w:ind w:left="6372" w:hanging="707"/>
      </w:pPr>
      <w:rPr>
        <w:vertAlign w:val="baseline"/>
      </w:rPr>
    </w:lvl>
  </w:abstractNum>
  <w:abstractNum w:abstractNumId="2" w15:restartNumberingAfterBreak="0">
    <w:nsid w:val="70E55CB6"/>
    <w:multiLevelType w:val="multilevel"/>
    <w:tmpl w:val="DE68C88E"/>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A6A0EBD"/>
    <w:multiLevelType w:val="multilevel"/>
    <w:tmpl w:val="215E8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1745DB"/>
    <w:multiLevelType w:val="multilevel"/>
    <w:tmpl w:val="52E47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02"/>
    <w:rsid w:val="00294DF4"/>
    <w:rsid w:val="002C3636"/>
    <w:rsid w:val="0037172E"/>
    <w:rsid w:val="003C12E1"/>
    <w:rsid w:val="00793D59"/>
    <w:rsid w:val="009C464E"/>
    <w:rsid w:val="00BE5D34"/>
    <w:rsid w:val="00C4782C"/>
    <w:rsid w:val="00C6610B"/>
    <w:rsid w:val="00CB2902"/>
    <w:rsid w:val="00CD2634"/>
    <w:rsid w:val="00CD4A8B"/>
    <w:rsid w:val="00D95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3054"/>
  <w15:docId w15:val="{BB9C07D9-3401-49DA-90A2-3C7A0C7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ypertextovodkaz">
    <w:name w:val="Hyperlink"/>
    <w:basedOn w:val="Standardnpsmoodstavce"/>
    <w:uiPriority w:val="99"/>
    <w:unhideWhenUsed/>
    <w:rsid w:val="00CD4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lib.c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L4ASeXV6m/KpFDCYWYHOCQSc7Q==">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1243</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dc:creator>
  <cp:lastModifiedBy>sekretariat</cp:lastModifiedBy>
  <cp:revision>10</cp:revision>
  <cp:lastPrinted>2021-03-01T12:56:00Z</cp:lastPrinted>
  <dcterms:created xsi:type="dcterms:W3CDTF">2021-03-01T13:43:00Z</dcterms:created>
  <dcterms:modified xsi:type="dcterms:W3CDTF">2021-03-16T10:59:00Z</dcterms:modified>
</cp:coreProperties>
</file>