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932" w:h="220" w:wrap="none" w:hAnchor="page" w:x="9062" w:y="7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6"/>
          <w:szCs w:val="16"/>
        </w:rPr>
      </w:pPr>
      <w:r>
        <w:rPr>
          <w:i w:val="0"/>
          <w:i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2021001583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100965</wp:posOffset>
            </wp:positionH>
            <wp:positionV relativeFrom="margin">
              <wp:posOffset>0</wp:posOffset>
            </wp:positionV>
            <wp:extent cx="1005840" cy="55499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05840" cy="5549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633" w:line="1" w:lineRule="exact"/>
      </w:pPr>
    </w:p>
    <w:p>
      <w:pPr>
        <w:widowControl w:val="0"/>
        <w:spacing w:line="1" w:lineRule="exac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267" w:right="1154" w:bottom="886" w:left="159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SMLOUVA O DÍLO</w:t>
      </w:r>
      <w:bookmarkEnd w:id="0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podle ustanovení § 2586 a násl. zákona č. 89/2012 Sb. občanského zákoníku, uzavřená mezi</w:t>
      </w:r>
    </w:p>
    <w:tbl>
      <w:tblPr>
        <w:tblOverlap w:val="never"/>
        <w:jc w:val="left"/>
        <w:tblLayout w:type="fixed"/>
      </w:tblPr>
      <w:tblGrid>
        <w:gridCol w:w="2736"/>
        <w:gridCol w:w="5299"/>
      </w:tblGrid>
      <w:tr>
        <w:trPr>
          <w:trHeight w:val="52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Zdravotnická záchranná služba Jihomoravského kraje, příspěvková organizace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Kamenice 798/1 d, 625 00 Brno</w:t>
            </w:r>
          </w:p>
        </w:tc>
      </w:tr>
      <w:tr>
        <w:trPr>
          <w:trHeight w:val="26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MUDr. Hana Albrechtová, ředitelka</w:t>
            </w:r>
          </w:p>
        </w:tc>
      </w:tr>
      <w:tr>
        <w:trPr>
          <w:trHeight w:val="26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.......​</w:t>
            </w:r>
            <w:r>
              <w:rPr>
                <w:color w:val="000000"/>
                <w:spacing w:val="1"/>
                <w:w w:val="100"/>
                <w:position w:val="0"/>
                <w:shd w:val="clear" w:color="auto" w:fill="000000"/>
                <w:lang w:val="cs-CZ" w:eastAsia="cs-CZ" w:bidi="cs-CZ"/>
              </w:rPr>
              <w:t>...</w:t>
            </w:r>
            <w:r>
              <w:rPr>
                <w:color w:val="000000"/>
                <w:spacing w:val="2"/>
                <w:w w:val="100"/>
                <w:position w:val="0"/>
                <w:shd w:val="clear" w:color="auto" w:fill="000000"/>
                <w:lang w:val="cs-CZ" w:eastAsia="cs-CZ" w:bidi="cs-CZ"/>
              </w:rPr>
              <w:t>........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2"/>
                <w:w w:val="100"/>
                <w:position w:val="0"/>
                <w:shd w:val="clear" w:color="auto" w:fill="000000"/>
                <w:lang w:val="cs-CZ" w:eastAsia="cs-CZ" w:bidi="cs-CZ"/>
              </w:rPr>
              <w:t>..</w:t>
            </w:r>
            <w:r>
              <w:rPr>
                <w:color w:val="000000"/>
                <w:spacing w:val="3"/>
                <w:w w:val="100"/>
                <w:position w:val="0"/>
                <w:shd w:val="clear" w:color="auto" w:fill="000000"/>
                <w:lang w:val="cs-CZ" w:eastAsia="cs-CZ" w:bidi="cs-CZ"/>
              </w:rPr>
              <w:t>.........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3"/>
                <w:w w:val="100"/>
                <w:position w:val="0"/>
                <w:shd w:val="clear" w:color="auto" w:fill="000000"/>
                <w:lang w:val="cs-CZ" w:eastAsia="cs-CZ" w:bidi="cs-CZ"/>
              </w:rPr>
              <w:t>..</w:t>
            </w:r>
            <w:r>
              <w:rPr>
                <w:color w:val="000000"/>
                <w:spacing w:val="4"/>
                <w:w w:val="100"/>
                <w:position w:val="0"/>
                <w:shd w:val="clear" w:color="auto" w:fill="000000"/>
                <w:lang w:val="cs-CZ" w:eastAsia="cs-CZ" w:bidi="cs-CZ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3"/>
                <w:w w:val="100"/>
                <w:position w:val="0"/>
                <w:shd w:val="clear" w:color="auto" w:fill="000000"/>
                <w:lang w:val="cs-CZ" w:eastAsia="cs-CZ" w:bidi="cs-CZ"/>
              </w:rPr>
              <w:t>..</w:t>
            </w:r>
            <w:r>
              <w:rPr>
                <w:color w:val="000000"/>
                <w:spacing w:val="4"/>
                <w:w w:val="100"/>
                <w:position w:val="0"/>
                <w:shd w:val="clear" w:color="auto" w:fill="000000"/>
                <w:lang w:val="cs-CZ" w:eastAsia="cs-CZ" w:bidi="cs-CZ"/>
              </w:rPr>
              <w:t>......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000000"/>
                <w:lang w:val="en-US" w:eastAsia="en-US" w:bidi="en-US"/>
              </w:rPr>
              <w:t>​.............</w:t>
            </w:r>
            <w:r>
              <w:rPr>
                <w:color w:val="000000"/>
                <w:spacing w:val="1"/>
                <w:w w:val="100"/>
                <w:position w:val="0"/>
                <w:u w:val="single"/>
                <w:shd w:val="clear" w:color="auto" w:fill="000000"/>
                <w:lang w:val="en-US" w:eastAsia="en-US" w:bidi="en-US"/>
              </w:rPr>
              <w:t>..................</w:t>
            </w:r>
          </w:p>
        </w:tc>
      </w:tr>
      <w:tr>
        <w:trPr>
          <w:trHeight w:val="24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00346292</w:t>
            </w:r>
          </w:p>
        </w:tc>
      </w:tr>
      <w:tr>
        <w:trPr>
          <w:trHeight w:val="27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CZ00346292</w:t>
            </w:r>
          </w:p>
        </w:tc>
      </w:tr>
      <w:tr>
        <w:trPr>
          <w:trHeight w:val="27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Krajský soud v Brně sp. zn. Pr 1245</w:t>
            </w:r>
          </w:p>
        </w:tc>
      </w:tr>
      <w:tr>
        <w:trPr>
          <w:trHeight w:val="40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MONETA Money Bank, a.s., č. ú. </w:t>
            </w:r>
            <w:r>
              <w:rPr>
                <w:color w:val="000000"/>
                <w:spacing w:val="1"/>
                <w:w w:val="100"/>
                <w:position w:val="0"/>
                <w:shd w:val="clear" w:color="auto" w:fill="000000"/>
                <w:lang w:val="cs-CZ" w:eastAsia="cs-CZ" w:bidi="cs-CZ"/>
              </w:rPr>
              <w:t>.............</w:t>
            </w:r>
            <w:r>
              <w:rPr>
                <w:color w:val="000000"/>
                <w:spacing w:val="2"/>
                <w:w w:val="100"/>
                <w:position w:val="0"/>
                <w:shd w:val="clear" w:color="auto" w:fill="000000"/>
                <w:lang w:val="cs-CZ" w:eastAsia="cs-CZ" w:bidi="cs-CZ"/>
              </w:rPr>
              <w:t>.............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" w:right="0" w:firstLine="0"/>
        <w:jc w:val="left"/>
      </w:pPr>
      <w:r>
        <w:rPr>
          <w:b w:val="0"/>
          <w:bCs w:val="0"/>
          <w:i w:val="0"/>
          <w:i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(dále jen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„objednatel“</w:t>
      </w:r>
    </w:p>
    <w:p>
      <w:pPr>
        <w:widowControl w:val="0"/>
        <w:spacing w:after="3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736"/>
        <w:gridCol w:w="5296"/>
      </w:tblGrid>
      <w:tr>
        <w:trPr>
          <w:trHeight w:val="65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Dřevozpracující výrobní družstvo</w:t>
            </w:r>
          </w:p>
        </w:tc>
      </w:tr>
      <w:tr>
        <w:trPr>
          <w:trHeight w:val="25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Stromořadní 1098, 675 51 Jaroměřice nad Rokytnou</w:t>
            </w:r>
          </w:p>
        </w:tc>
      </w:tr>
      <w:tr>
        <w:trPr>
          <w:trHeight w:val="54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Jednající: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Jiří Řídký, předseda představenstva Lubomír Šmíd, místopředseda představenstva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.......​</w:t>
            </w:r>
            <w:r>
              <w:rPr>
                <w:color w:val="000000"/>
                <w:spacing w:val="6"/>
                <w:w w:val="100"/>
                <w:position w:val="0"/>
                <w:shd w:val="clear" w:color="auto" w:fill="000000"/>
                <w:lang w:val="cs-CZ" w:eastAsia="cs-CZ" w:bidi="cs-CZ"/>
              </w:rPr>
              <w:t>....</w:t>
            </w:r>
            <w:r>
              <w:rPr>
                <w:color w:val="000000"/>
                <w:spacing w:val="7"/>
                <w:w w:val="100"/>
                <w:position w:val="0"/>
                <w:shd w:val="clear" w:color="auto" w:fill="000000"/>
                <w:lang w:val="cs-CZ" w:eastAsia="cs-CZ" w:bidi="cs-CZ"/>
              </w:rPr>
              <w:t>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2"/>
                <w:w w:val="100"/>
                <w:position w:val="0"/>
                <w:shd w:val="clear" w:color="auto" w:fill="000000"/>
                <w:lang w:val="cs-CZ" w:eastAsia="cs-CZ" w:bidi="cs-CZ"/>
              </w:rPr>
              <w:t>...</w:t>
            </w:r>
            <w:r>
              <w:rPr>
                <w:color w:val="000000"/>
                <w:spacing w:val="3"/>
                <w:w w:val="100"/>
                <w:position w:val="0"/>
                <w:shd w:val="clear" w:color="auto" w:fill="000000"/>
                <w:lang w:val="cs-CZ" w:eastAsia="cs-CZ" w:bidi="cs-CZ"/>
              </w:rPr>
              <w:t>........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2"/>
                <w:w w:val="100"/>
                <w:position w:val="0"/>
                <w:shd w:val="clear" w:color="auto" w:fill="000000"/>
                <w:lang w:val="cs-CZ" w:eastAsia="cs-CZ" w:bidi="cs-CZ"/>
              </w:rPr>
              <w:t>...</w:t>
            </w:r>
            <w:r>
              <w:rPr>
                <w:color w:val="000000"/>
                <w:spacing w:val="3"/>
                <w:w w:val="100"/>
                <w:position w:val="0"/>
                <w:shd w:val="clear" w:color="auto" w:fill="000000"/>
                <w:lang w:val="cs-CZ" w:eastAsia="cs-CZ" w:bidi="cs-CZ"/>
              </w:rPr>
              <w:t>............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2"/>
                <w:w w:val="100"/>
                <w:position w:val="0"/>
                <w:shd w:val="clear" w:color="auto" w:fill="000000"/>
                <w:lang w:val="cs-CZ" w:eastAsia="cs-CZ" w:bidi="cs-CZ"/>
              </w:rPr>
              <w:t>...............</w:t>
            </w:r>
          </w:p>
        </w:tc>
      </w:tr>
      <w:tr>
        <w:trPr>
          <w:trHeight w:val="26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00030520</w:t>
            </w:r>
          </w:p>
        </w:tc>
      </w:tr>
      <w:tr>
        <w:trPr>
          <w:trHeight w:val="26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CZ00030520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 Krajského soudu v Brně oddíl DrXXXVIII, vložka 431</w:t>
            </w:r>
          </w:p>
        </w:tc>
      </w:tr>
      <w:tr>
        <w:trPr>
          <w:trHeight w:val="40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Komerční banka a.s., č.ú.: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.......​</w:t>
            </w:r>
            <w:r>
              <w:rPr>
                <w:color w:val="000000"/>
                <w:spacing w:val="4"/>
                <w:w w:val="100"/>
                <w:position w:val="0"/>
                <w:shd w:val="clear" w:color="auto" w:fill="000000"/>
                <w:lang w:val="cs-CZ" w:eastAsia="cs-CZ" w:bidi="cs-CZ"/>
              </w:rPr>
              <w:t>.</w:t>
            </w:r>
            <w:r>
              <w:rPr>
                <w:color w:val="000000"/>
                <w:spacing w:val="5"/>
                <w:w w:val="100"/>
                <w:position w:val="0"/>
                <w:shd w:val="clear" w:color="auto" w:fill="000000"/>
                <w:lang w:val="cs-CZ" w:eastAsia="cs-CZ" w:bidi="cs-CZ"/>
              </w:rPr>
              <w:t>.......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​........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" w:right="0" w:firstLine="0"/>
        <w:jc w:val="left"/>
      </w:pPr>
      <w:r>
        <w:rPr>
          <w:b w:val="0"/>
          <w:bCs w:val="0"/>
          <w:i w:val="0"/>
          <w:i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(dále jen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„zhotovitel'</w:t>
      </w:r>
    </w:p>
    <w:p>
      <w:pPr>
        <w:widowControl w:val="0"/>
        <w:spacing w:after="699" w:line="1" w:lineRule="exact"/>
      </w:pP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4" w:val="left"/>
        </w:tabs>
        <w:bidi w:val="0"/>
        <w:spacing w:before="0" w:after="240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zavazuje, že pro objednatele provede dílo, spočívající ve výrobě nábytku pro výjezdovou základnu objednatele v Brně - Bohunicích, a to způsobem a v rozsahu dle položkového rozpočtu, který je jako příloha č. 1 nedílnou součástí této smlouvy.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4" w:val="left"/>
        </w:tabs>
        <w:bidi w:val="0"/>
        <w:spacing w:before="0" w:after="240" w:line="283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Součástí díla podle čl. 1 této smlouvy je montáž nábytku a jeho instalace v místě plnění. Místem splnění závazku zhotovitele k provedení díla podle č. 1 této smlouvy se rozumí sídlo objednatele dle záhlaví této smlouvy.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4" w:val="left"/>
        </w:tabs>
        <w:bidi w:val="0"/>
        <w:spacing w:before="0" w:after="240" w:line="276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Zhotovitel se zavazuje provést dílo podle čl. 1 této smlouvy ve lhůtě nejpozději do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60 dnů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ode dne účinnosti této smlouvy.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4" w:val="left"/>
        </w:tabs>
        <w:bidi w:val="0"/>
        <w:spacing w:before="0" w:after="240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Závazek zhotovitele k provedení díla v dohodnutém rozsahu se považuje za splněný dokončením všech prací spojených se zhotovením díla, po jeho montáži a instalaci v místě plnění, předáním a převzetím díla formou písemného předávacího protokolu, podepsaného oběma smluvními stranami. Současné s dílem je zhotovitel povinen objednateli předat při jeho předání dokumenty potřebné k řádnému užívání díla. Objednatel přitom není povinen potvrdit zhotoviteli předávací protokol, zjistí-li se na předávaném díle vada, která brání řádnému užívání díla nebo více než 3 jiné vady a nedodělky.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4" w:val="left"/>
        </w:tabs>
        <w:bidi w:val="0"/>
        <w:spacing w:before="0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Pro případ prodlení se splněním svého závazku podle č.l. 1 této smlouvy ve lhůtě podle čl. 3 této smlouvy se zhotovitel zavazuje zaplatit objednateli smluvní pokutu ve výši 0,1% z celkové ceny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díla podle čl. 6 této smlouvy za každý započatý den prodlení. Zaplacením této smluvní pokuty není dotčen nárok objednatele na případnou náhradu škody v plné výši.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4" w:val="left"/>
        </w:tabs>
        <w:bidi w:val="0"/>
        <w:spacing w:before="0" w:after="1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se zavazuje zaplatit zhotoviteli za dílo podle čl. 1 této smlouvy cenu díla ve výši: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97 521,-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Kč bez DPH, tj. 1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18 000,41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Kč včetně DPH.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4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Součástí této ceny jsou veškeré náklady zhotovitele, spojené se splněním závazku zhotovitele podle čl. 1 této smlouvy.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4" w:val="left"/>
        </w:tabs>
        <w:bidi w:val="0"/>
        <w:spacing w:before="0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Cena díla podle čl. 6 této smlouvy je splatná po splnění závazku zhotovitele k provedení díla způsobem podle čl. 4 této smlouvy ve lhůtě do 30-ti dnů od předložení jejího písemného vyúčtování (faktury/daňového dokladu). Faktura bude doručena elektronicky na email: </w:t>
      </w:r>
      <w:r>
        <w:rPr>
          <w:color w:val="000000"/>
          <w:spacing w:val="0"/>
          <w:w w:val="100"/>
          <w:position w:val="0"/>
          <w:u w:val="single"/>
          <w:shd w:val="clear" w:color="auto" w:fill="000000"/>
          <w:lang w:val="en-US" w:eastAsia="en-US" w:bidi="en-US"/>
        </w:rPr>
        <w:t>​</w:t>
      </w:r>
      <w:r>
        <w:rPr>
          <w:color w:val="000000"/>
          <w:spacing w:val="1"/>
          <w:w w:val="100"/>
          <w:position w:val="0"/>
          <w:u w:val="single"/>
          <w:shd w:val="clear" w:color="auto" w:fill="000000"/>
          <w:lang w:val="en-US" w:eastAsia="en-US" w:bidi="en-US"/>
        </w:rPr>
        <w:t>.................</w:t>
      </w:r>
      <w:r>
        <w:rPr>
          <w:color w:val="000000"/>
          <w:spacing w:val="2"/>
          <w:w w:val="100"/>
          <w:position w:val="0"/>
          <w:u w:val="single"/>
          <w:shd w:val="clear" w:color="auto" w:fill="000000"/>
          <w:lang w:val="en-US" w:eastAsia="en-US" w:bidi="en-US"/>
        </w:rPr>
        <w:t>.................</w:t>
      </w:r>
      <w:r>
        <w:rPr>
          <w:color w:val="000000"/>
          <w:spacing w:val="0"/>
          <w:w w:val="100"/>
          <w:position w:val="0"/>
          <w:shd w:val="clear" w:color="auto" w:fill="000000"/>
          <w:lang w:val="en-US" w:eastAsia="en-US" w:bidi="en-US"/>
        </w:rPr>
        <w:t>.</w:t>
      </w:r>
      <w:r>
        <w:rPr>
          <w:color w:val="51639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 faktuře musí být mimo jiné vždy uvedeno toto číslo veřejné zakázky, ke které se faktura vztahuje: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P21V00000507.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4" w:val="left"/>
        </w:tabs>
        <w:bidi w:val="0"/>
        <w:spacing w:before="0" w:line="286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případ prodlení s úhradou ceny díla ve lhůtě podle čl. 5 této smlouvy se objednatel zavazuje zaplatit zhotoviteli úrok z prodlení ve výši dle zákona.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4" w:val="left"/>
        </w:tabs>
        <w:bidi w:val="0"/>
        <w:spacing w:before="0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odpovídá objednateli za to, že dílo podle čl. 1 této smlouvy bude odpovídat tuzemským právním předpisům, technickým, hygienickým a jiným normám, a že bude mít ty vlastnosti, které jsou dohodnuté nebo u děl tohoto druhu obvyklé. V tomto smyslu se zhotovitel zavazuje bezplatně odstraňovat vady, které se na dílo podle čl. 1 této smlouvy vyskytnou v době do 24 měsíců ode dne splnění závazku zhotovitele k provedení díla.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4" w:val="left"/>
        </w:tabs>
        <w:bidi w:val="0"/>
        <w:spacing w:before="0" w:line="29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 rozhodovat o písemných reklamacích objednatele v období po dokončení díla písemné ve lhůtě do 5-ti dnů od jejich doručení, a ve stejné lhůtě provést odstranění vad z oprávněných reklamací, nebude-li mezi oběma stranami v jednotlivém případě dohodnuto jinak.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4" w:val="left"/>
        </w:tabs>
        <w:bidi w:val="0"/>
        <w:spacing w:before="0" w:line="286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případ sporu o oprávněnost reklamace se objednateli vyhrazuje právo nechat vyhotovit k prověření jakosti díla soudné znalecký posudek, jehož výroku se obě strany zavazují podřizovat s tím, že náklady na vyhotovení tohoto posudku se zavazuje nést ten účastník sporu, kterému tento posudek nedal zapravdu.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4" w:val="left"/>
        </w:tabs>
        <w:bidi w:val="0"/>
        <w:spacing w:before="0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Neprovede-li zhotovitel odstranění vady ve lhůtě podle čl. 10 této smlouvy, a to ani po písemné výzvě objednatele, je objednatel oprávněn nechat provést toto odstranění třetí osobou na náklad zhotovitele.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4" w:val="left"/>
        </w:tabs>
        <w:bidi w:val="0"/>
        <w:spacing w:before="0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případ prodlení zhotovitele se splněním jeho povinností podle čl. 9 této smlouvy ve lhůtě podle čl. 10 této smlouvy se zhotovitel zavazuje zaplatit objednateli smluvní pokutu ve výši 500, Kč za každý započatý dne tohoto prodlení.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4" w:val="left"/>
        </w:tabs>
        <w:bidi w:val="0"/>
        <w:spacing w:before="0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je oprávněn odstoupit od této smlouvy o dílo, bude-li zhotovitel v prodlení se splněním svého závazku podle čl. 1 této smlouvy ve lhůtě podle čl. 3 této smlouvy o více, než 2 týdny.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4" w:val="left"/>
        </w:tabs>
        <w:bidi w:val="0"/>
        <w:spacing w:before="0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Zaplacením smluvní pokuty podle této smlouvy není dotčeno právo objednatele na náhradu případné škody v plné výši.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4" w:val="left"/>
        </w:tabs>
        <w:bidi w:val="0"/>
        <w:spacing w:before="0" w:line="286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Není-li touto smlouvou ujednáno jinak, řídí se vzájemný právní vztah mezi zhotovitelem a objednatelem ust. § 2586 a násl. občanského zákoníku.</w:t>
      </w:r>
      <w:r>
        <w:br w:type="page"/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93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prohlašuje, že je pojištěn proti škodám, které mohou vzniknout jeho činností na majetku objednatele, a to minimálně v rozsahu, který odpovídá předmětu plnění.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3" w:val="left"/>
        </w:tabs>
        <w:bidi w:val="0"/>
        <w:spacing w:before="0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je povinen ve smyslu ustanovení § 2 písm. e) zákona č. 320/2001 Sb., o finanční kontrole ve veřejné správě a o změně některých zákonů (zákon o finanční kontrole), spolupůsobit při výkonu finanční kontroly.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3" w:val="left"/>
        </w:tabs>
        <w:bidi w:val="0"/>
        <w:spacing w:before="0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se uzavírá na základě návrhu na její uzavření ze strany objednatele. Předpokladem uzavření této smlouvy je její písemná forma a dohoda o jejích podstatných náležitostech, čímž se rozumí celý obsah této smlouvy, jak je uveden v čl. 1 až 23 této smlouvy. Objednatel přitom předem vylučuje přijetí tohoto návrhu s dodatkem nebo odchylkou ve smyslu ust. § 1740 odst. 3 občanského zákoníku.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8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Tuto smlouvu lze změnit nebo zrušit pouze jinou písemnou dohodu obou smluvních stran.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8" w:val="left"/>
        </w:tabs>
        <w:bidi w:val="0"/>
        <w:spacing w:before="0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uděluje objednateli z opatrnosti svůj výslovný souhlas se zveřejněním podmínek této smlouvy v rozsahu a za podmínek vyplývajících z příslušných právních předpisů (zejména zák. č. 106/1999 Sb. O svobodném přístupu k informacím, v platném znění).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4" w:val="left"/>
        </w:tabs>
        <w:bidi w:val="0"/>
        <w:spacing w:before="0" w:line="293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dnem jejího uzavření a účinnosti dnem jejího uveřejnění v registru smluv dle příslušných ustanovení zákona č. 340/2015 Sb. o registru smluv.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8" w:val="left"/>
        </w:tabs>
        <w:bidi w:val="0"/>
        <w:spacing w:before="0" w:after="780" w:line="286" w:lineRule="auto"/>
        <w:ind w:left="420" w:right="0" w:hanging="420"/>
        <w:jc w:val="both"/>
      </w:pPr>
      <w:r>
        <w:drawing>
          <wp:anchor distT="0" distB="1645920" distL="902970" distR="1358265" simplePos="0" relativeHeight="125829378" behindDoc="0" locked="0" layoutInCell="1" allowOverlap="1">
            <wp:simplePos x="0" y="0"/>
            <wp:positionH relativeFrom="page">
              <wp:posOffset>1812290</wp:posOffset>
            </wp:positionH>
            <wp:positionV relativeFrom="paragraph">
              <wp:posOffset>723900</wp:posOffset>
            </wp:positionV>
            <wp:extent cx="615950" cy="328930"/>
            <wp:wrapSquare wrapText="bothSides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615950" cy="3289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1023620</wp:posOffset>
                </wp:positionH>
                <wp:positionV relativeFrom="paragraph">
                  <wp:posOffset>842645</wp:posOffset>
                </wp:positionV>
                <wp:extent cx="665480" cy="153035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5480" cy="1530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Brně dne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80.600000000000009pt;margin-top:66.349999999999994pt;width:52.399999999999999pt;height:12.0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Brně dne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665480" distB="0" distL="121285" distR="114300" simplePos="0" relativeHeight="125829379" behindDoc="0" locked="0" layoutInCell="1" allowOverlap="1">
            <wp:simplePos x="0" y="0"/>
            <wp:positionH relativeFrom="page">
              <wp:posOffset>1030605</wp:posOffset>
            </wp:positionH>
            <wp:positionV relativeFrom="paragraph">
              <wp:posOffset>1389380</wp:posOffset>
            </wp:positionV>
            <wp:extent cx="2639695" cy="1310640"/>
            <wp:wrapSquare wrapText="bothSides"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2639695" cy="131064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Dáno ve dvou originálních písemných vyhotoveních, z nichž každá ze smluvních stran obdrží po jednom.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98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Jaroměřicích nad Rokytnou dne 4.3.2021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center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Dřevozpracující výrobní d: ižstvo</w:t>
        <w:br/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000000"/>
          <w:lang w:val="cs-CZ" w:eastAsia="cs-CZ" w:bidi="cs-CZ"/>
        </w:rPr>
        <w:t>​</w:t>
      </w:r>
      <w:r>
        <w:rPr>
          <w:color w:val="000000"/>
          <w:spacing w:val="1"/>
          <w:w w:val="100"/>
          <w:position w:val="0"/>
          <w:sz w:val="20"/>
          <w:szCs w:val="20"/>
          <w:shd w:val="clear" w:color="auto" w:fill="000000"/>
          <w:lang w:val="cs-CZ" w:eastAsia="cs-CZ" w:bidi="cs-CZ"/>
        </w:rPr>
        <w:t>...</w:t>
      </w:r>
      <w:r>
        <w:rPr>
          <w:color w:val="000000"/>
          <w:spacing w:val="2"/>
          <w:w w:val="100"/>
          <w:position w:val="0"/>
          <w:sz w:val="20"/>
          <w:szCs w:val="20"/>
          <w:shd w:val="clear" w:color="auto" w:fill="000000"/>
          <w:lang w:val="cs-CZ" w:eastAsia="cs-CZ" w:bidi="cs-CZ"/>
        </w:rPr>
        <w:t>.................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000000"/>
          <w:lang w:val="cs-CZ" w:eastAsia="cs-CZ" w:bidi="cs-CZ"/>
        </w:rPr>
        <w:t>​</w:t>
      </w:r>
      <w:r>
        <w:rPr>
          <w:color w:val="000000"/>
          <w:spacing w:val="7"/>
          <w:w w:val="100"/>
          <w:position w:val="0"/>
          <w:sz w:val="20"/>
          <w:szCs w:val="20"/>
          <w:shd w:val="clear" w:color="auto" w:fill="000000"/>
          <w:lang w:val="cs-CZ" w:eastAsia="cs-CZ" w:bidi="cs-CZ"/>
        </w:rPr>
        <w:t>....</w:t>
      </w:r>
      <w:r>
        <w:rPr>
          <w:color w:val="000000"/>
          <w:spacing w:val="8"/>
          <w:w w:val="100"/>
          <w:position w:val="0"/>
          <w:sz w:val="20"/>
          <w:szCs w:val="20"/>
          <w:shd w:val="clear" w:color="auto" w:fill="000000"/>
          <w:lang w:val="cs-CZ" w:eastAsia="cs-CZ" w:bidi="cs-CZ"/>
        </w:rPr>
        <w:t>...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20" w:line="228" w:lineRule="auto"/>
        <w:ind w:left="800" w:right="320" w:firstLine="0"/>
        <w:jc w:val="righ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000000"/>
          <w:lang w:val="cs-CZ" w:eastAsia="cs-CZ" w:bidi="cs-CZ"/>
        </w:rPr>
        <w:t>..​</w:t>
      </w:r>
      <w:r>
        <w:rPr>
          <w:color w:val="000000"/>
          <w:spacing w:val="6"/>
          <w:w w:val="100"/>
          <w:position w:val="0"/>
          <w:sz w:val="20"/>
          <w:szCs w:val="20"/>
          <w:shd w:val="clear" w:color="auto" w:fill="000000"/>
          <w:lang w:val="cs-CZ" w:eastAsia="cs-CZ" w:bidi="cs-CZ"/>
        </w:rPr>
        <w:t>......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000000"/>
          <w:lang w:val="cs-CZ" w:eastAsia="cs-CZ" w:bidi="cs-CZ"/>
        </w:rPr>
        <w:t>​</w:t>
      </w:r>
      <w:r>
        <w:rPr>
          <w:color w:val="000000"/>
          <w:spacing w:val="13"/>
          <w:w w:val="100"/>
          <w:position w:val="0"/>
          <w:sz w:val="20"/>
          <w:szCs w:val="20"/>
          <w:shd w:val="clear" w:color="auto" w:fill="000000"/>
          <w:lang w:val="cs-CZ" w:eastAsia="cs-CZ" w:bidi="cs-CZ"/>
        </w:rPr>
        <w:t>..</w:t>
      </w:r>
      <w:r>
        <w:rPr>
          <w:color w:val="000000"/>
          <w:spacing w:val="14"/>
          <w:w w:val="100"/>
          <w:position w:val="0"/>
          <w:sz w:val="20"/>
          <w:szCs w:val="20"/>
          <w:shd w:val="clear" w:color="auto" w:fill="000000"/>
          <w:lang w:val="cs-CZ" w:eastAsia="cs-CZ" w:bidi="cs-CZ"/>
        </w:rPr>
        <w:t>..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000000"/>
          <w:lang w:val="cs-CZ" w:eastAsia="cs-CZ" w:bidi="cs-CZ"/>
        </w:rPr>
        <w:t>​</w:t>
      </w:r>
      <w:r>
        <w:rPr>
          <w:color w:val="000000"/>
          <w:spacing w:val="1"/>
          <w:w w:val="100"/>
          <w:position w:val="0"/>
          <w:sz w:val="20"/>
          <w:szCs w:val="20"/>
          <w:shd w:val="clear" w:color="auto" w:fill="000000"/>
          <w:lang w:val="cs-CZ" w:eastAsia="cs-CZ" w:bidi="cs-CZ"/>
        </w:rPr>
        <w:t>...............</w:t>
      </w:r>
      <w:r>
        <w:rPr>
          <w:color w:val="000000"/>
          <w:spacing w:val="2"/>
          <w:w w:val="100"/>
          <w:position w:val="0"/>
          <w:sz w:val="20"/>
          <w:szCs w:val="20"/>
          <w:shd w:val="clear" w:color="auto" w:fill="000000"/>
          <w:lang w:val="cs-CZ" w:eastAsia="cs-CZ" w:bidi="cs-CZ"/>
        </w:rPr>
        <w:t>.........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000000"/>
          <w:lang w:val="cs-CZ" w:eastAsia="cs-CZ" w:bidi="cs-CZ"/>
        </w:rPr>
        <w:t>​</w:t>
      </w:r>
      <w:r>
        <w:rPr>
          <w:color w:val="000000"/>
          <w:spacing w:val="3"/>
          <w:w w:val="100"/>
          <w:position w:val="0"/>
          <w:sz w:val="20"/>
          <w:szCs w:val="20"/>
          <w:shd w:val="clear" w:color="auto" w:fill="000000"/>
          <w:lang w:val="cs-CZ" w:eastAsia="cs-CZ" w:bidi="cs-CZ"/>
        </w:rPr>
        <w:t>...</w:t>
      </w:r>
      <w:r>
        <w:rPr>
          <w:color w:val="000000"/>
          <w:spacing w:val="4"/>
          <w:w w:val="100"/>
          <w:position w:val="0"/>
          <w:sz w:val="20"/>
          <w:szCs w:val="20"/>
          <w:shd w:val="clear" w:color="auto" w:fill="000000"/>
          <w:lang w:val="cs-CZ" w:eastAsia="cs-CZ" w:bidi="cs-CZ"/>
        </w:rPr>
        <w:t>.....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000000"/>
          <w:lang w:val="cs-CZ" w:eastAsia="cs-CZ" w:bidi="cs-CZ"/>
        </w:rPr>
        <w:t>​</w:t>
      </w:r>
      <w:r>
        <w:rPr>
          <w:color w:val="000000"/>
          <w:spacing w:val="5"/>
          <w:w w:val="100"/>
          <w:position w:val="0"/>
          <w:sz w:val="20"/>
          <w:szCs w:val="20"/>
          <w:shd w:val="clear" w:color="auto" w:fill="000000"/>
          <w:lang w:val="cs-CZ" w:eastAsia="cs-CZ" w:bidi="cs-CZ"/>
        </w:rPr>
        <w:t>.......</w:t>
      </w:r>
      <w:r>
        <w:rPr>
          <w:color w:val="000000"/>
          <w:spacing w:val="6"/>
          <w:w w:val="100"/>
          <w:position w:val="0"/>
          <w:sz w:val="20"/>
          <w:szCs w:val="20"/>
          <w:shd w:val="clear" w:color="auto" w:fill="000000"/>
          <w:lang w:val="cs-CZ" w:eastAsia="cs-CZ" w:bidi="cs-CZ"/>
        </w:rPr>
        <w:t>.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 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000000"/>
          <w:lang w:val="cs-CZ" w:eastAsia="cs-CZ" w:bidi="cs-CZ"/>
        </w:rPr>
        <w:t>​</w:t>
      </w:r>
      <w:r>
        <w:rPr>
          <w:smallCaps/>
          <w:color w:val="000000"/>
          <w:spacing w:val="5"/>
          <w:w w:val="100"/>
          <w:position w:val="0"/>
          <w:sz w:val="30"/>
          <w:szCs w:val="30"/>
          <w:shd w:val="clear" w:color="auto" w:fill="000000"/>
          <w:lang w:val="cs-CZ" w:eastAsia="cs-CZ" w:bidi="cs-CZ"/>
        </w:rPr>
        <w:t>......</w:t>
      </w:r>
      <w:r>
        <w:rPr>
          <w:smallCaps/>
          <w:color w:val="000000"/>
          <w:spacing w:val="6"/>
          <w:w w:val="100"/>
          <w:position w:val="0"/>
          <w:sz w:val="30"/>
          <w:szCs w:val="30"/>
          <w:shd w:val="clear" w:color="auto" w:fill="000000"/>
          <w:lang w:val="cs-CZ" w:eastAsia="cs-CZ" w:bidi="cs-CZ"/>
        </w:rPr>
        <w:t>.</w:t>
      </w:r>
      <w:r>
        <w:rPr>
          <w:smallCaps/>
          <w:color w:val="000000"/>
          <w:spacing w:val="19"/>
          <w:w w:val="100"/>
          <w:position w:val="0"/>
          <w:sz w:val="30"/>
          <w:szCs w:val="30"/>
          <w:shd w:val="clear" w:color="auto" w:fill="000000"/>
          <w:lang w:val="cs-CZ" w:eastAsia="cs-CZ" w:bidi="cs-CZ"/>
        </w:rPr>
        <w:t>.</w:t>
      </w:r>
      <w:r>
        <w:rPr>
          <w:smallCaps/>
          <w:color w:val="000000"/>
          <w:spacing w:val="20"/>
          <w:w w:val="100"/>
          <w:position w:val="0"/>
          <w:sz w:val="30"/>
          <w:szCs w:val="30"/>
          <w:shd w:val="clear" w:color="auto" w:fill="000000"/>
          <w:lang w:val="cs-CZ" w:eastAsia="cs-CZ" w:bidi="cs-CZ"/>
        </w:rPr>
        <w:t>.</w:t>
      </w:r>
      <w:r>
        <w:rPr>
          <w:smallCaps/>
          <w:color w:val="000000"/>
          <w:spacing w:val="2"/>
          <w:w w:val="100"/>
          <w:position w:val="0"/>
          <w:sz w:val="30"/>
          <w:szCs w:val="30"/>
          <w:shd w:val="clear" w:color="auto" w:fill="000000"/>
          <w:lang w:val="cs-CZ" w:eastAsia="cs-CZ" w:bidi="cs-CZ"/>
        </w:rPr>
        <w:t>..</w:t>
      </w:r>
      <w:r>
        <w:rPr>
          <w:smallCaps/>
          <w:color w:val="000000"/>
          <w:spacing w:val="3"/>
          <w:w w:val="100"/>
          <w:position w:val="0"/>
          <w:sz w:val="30"/>
          <w:szCs w:val="30"/>
          <w:shd w:val="clear" w:color="auto" w:fill="000000"/>
          <w:lang w:val="cs-CZ" w:eastAsia="cs-CZ" w:bidi="cs-CZ"/>
        </w:rPr>
        <w:t>.....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000000"/>
          <w:lang w:val="cs-CZ" w:eastAsia="cs-CZ" w:bidi="cs-CZ"/>
        </w:rPr>
        <w:t>.​</w:t>
      </w:r>
      <w:r>
        <w:rPr>
          <w:color w:val="000000"/>
          <w:spacing w:val="1"/>
          <w:w w:val="100"/>
          <w:position w:val="0"/>
          <w:sz w:val="20"/>
          <w:szCs w:val="20"/>
          <w:shd w:val="clear" w:color="auto" w:fill="000000"/>
          <w:lang w:val="cs-CZ" w:eastAsia="cs-CZ" w:bidi="cs-CZ"/>
        </w:rPr>
        <w:t>......</w:t>
      </w:r>
      <w:r>
        <w:rPr>
          <w:color w:val="000000"/>
          <w:spacing w:val="2"/>
          <w:w w:val="100"/>
          <w:position w:val="0"/>
          <w:sz w:val="20"/>
          <w:szCs w:val="20"/>
          <w:shd w:val="clear" w:color="auto" w:fill="000000"/>
          <w:lang w:val="cs-CZ" w:eastAsia="cs-CZ" w:bidi="cs-CZ"/>
        </w:rPr>
        <w:t>..............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166" w:val="left"/>
        </w:tabs>
        <w:bidi w:val="0"/>
        <w:spacing w:before="0" w:after="0" w:line="298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Jiří Řídký</w:t>
        <w:tab/>
        <w:t>Lubomír Šmíd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166" w:val="left"/>
        </w:tabs>
        <w:bidi w:val="0"/>
        <w:spacing w:before="0" w:after="0" w:line="298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předseda</w:t>
        <w:tab/>
        <w:t>místopředseda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166" w:val="left"/>
        </w:tabs>
        <w:bidi w:val="0"/>
        <w:spacing w:before="0" w:after="0" w:line="298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představenstva</w:t>
        <w:tab/>
        <w:t>představenstva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780" w:line="298" w:lineRule="auto"/>
        <w:ind w:left="0" w:right="0" w:firstLine="8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zhotovitele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59" w:right="1187" w:bottom="1490" w:left="1612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 Položkový rozpočet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POLOŽKOVÝ ROZPOČET</w:t>
      </w:r>
    </w:p>
    <w:tbl>
      <w:tblPr>
        <w:tblOverlap w:val="never"/>
        <w:jc w:val="center"/>
        <w:tblLayout w:type="fixed"/>
      </w:tblPr>
      <w:tblGrid>
        <w:gridCol w:w="461"/>
        <w:gridCol w:w="3431"/>
        <w:gridCol w:w="3380"/>
        <w:gridCol w:w="2203"/>
        <w:gridCol w:w="1361"/>
        <w:gridCol w:w="680"/>
        <w:gridCol w:w="1411"/>
        <w:gridCol w:w="1429"/>
      </w:tblGrid>
      <w:tr>
        <w:trPr>
          <w:trHeight w:val="82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Název výrobku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Popis výrobku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Rozměry (cm)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Cena za 1 kus v Kč 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Počet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Cena celkem v Kč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Cena celkem v Kč vč. DPH</w:t>
            </w:r>
          </w:p>
        </w:tc>
      </w:tr>
      <w:tr>
        <w:trPr>
          <w:trHeight w:val="9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Šatní trojskříňka s otevřeným nástavcem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Šatní skříňka 3 modul s elektronickými zámky na kartu, nosná kostra kov RAL 9006, bez lavičky, korpus skříňky vč. konstrukce nástavby kompaktní desky.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š. 90 / v.215+50 / hl. 50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34 237,-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68 474,-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82 853,54</w:t>
            </w:r>
          </w:p>
        </w:tc>
      </w:tr>
      <w:tr>
        <w:trPr>
          <w:trHeight w:val="5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Nástavec šatní skříně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Otevřená nika se třemi oddíly, provedení kompaktní deska 8 mm.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š. 90/v. 50 / hl. 50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5 254,-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15 762,-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19 072,02</w:t>
            </w:r>
          </w:p>
        </w:tc>
      </w:tr>
      <w:tr>
        <w:trPr>
          <w:trHeight w:val="5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Nástavec šatní skříně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Otevřená nika se dvěma oddíly, provedení kompaktní deska 8 mm.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š. 60/ v. 50 / hl. 50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3 955,-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7 910,-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9 571,10</w:t>
            </w:r>
          </w:p>
        </w:tc>
      </w:tr>
      <w:tr>
        <w:trPr>
          <w:trHeight w:val="9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Skříňka na kolečkách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Skříňka určená na šanony, půda skříňky laminát na MDF 25 mm, boční plochy lak čirý bezbarvý, ostatní plochy konstrukce LTD + ABS, 4x brzděné kolečko.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š. 80 /v. 66 / hl. 40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5 375,-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5 375,-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6 503,75</w:t>
            </w:r>
          </w:p>
        </w:tc>
      </w:tr>
      <w:tr>
        <w:trPr>
          <w:trHeight w:val="590" w:hRule="exact"/>
        </w:trPr>
        <w:tc>
          <w:tcPr>
            <w:gridSpan w:val="6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CELKOVÁ NABÍDKOVÁ CENA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97 521,-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118 000,41</w:t>
            </w:r>
          </w:p>
        </w:tc>
      </w:tr>
    </w:tbl>
    <w:p>
      <w:pPr>
        <w:widowControl w:val="0"/>
        <w:spacing w:after="44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Veřejná zakázka: 10^2021 Doplnění nábytku výjezdové základny Brno-Bohunice</w:t>
      </w:r>
    </w:p>
    <w:sectPr>
      <w:footerReference w:type="default" r:id="rId12"/>
      <w:footnotePr>
        <w:pos w:val="pageBottom"/>
        <w:numFmt w:val="decimal"/>
        <w:numRestart w:val="continuous"/>
      </w:footnotePr>
      <w:pgSz w:w="16840" w:h="11900" w:orient="landscape"/>
      <w:pgMar w:top="807" w:right="1151" w:bottom="446" w:left="1331" w:header="379" w:footer="18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1083945</wp:posOffset>
              </wp:positionH>
              <wp:positionV relativeFrom="page">
                <wp:posOffset>10088880</wp:posOffset>
              </wp:positionV>
              <wp:extent cx="4039235" cy="11176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39235" cy="1117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Veřejná zakázka: 10_2021 Doplnění nábytku výjezdové základny Brno-Bohunice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5.350000000000009pt;margin-top:794.39999999999998pt;width:318.05000000000001pt;height:8.8000000000000007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Veřejná zakázka: 10_2021 Doplnění nábytku výjezdové základny Brno-Bohunice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6">
    <w:name w:val="Záhlaví nebo zápatí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Titulek obrázku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Nadpis #1_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character" w:customStyle="1" w:styleId="CharStyle13">
    <w:name w:val="Základní text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5">
    <w:name w:val="Titulek tabulky_"/>
    <w:basedOn w:val="DefaultParagraphFont"/>
    <w:link w:val="Style14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18">
    <w:name w:val="Jiné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auto"/>
      <w:ind w:firstLine="100"/>
    </w:pPr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Style5">
    <w:name w:val="Záhlaví nebo zápatí (2)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Titulek obrázku"/>
    <w:basedOn w:val="Normal"/>
    <w:link w:val="CharStyle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0">
    <w:name w:val="Nadpis #1"/>
    <w:basedOn w:val="Normal"/>
    <w:link w:val="CharStyle11"/>
    <w:pPr>
      <w:widowControl w:val="0"/>
      <w:shd w:val="clear" w:color="auto" w:fill="auto"/>
      <w:spacing w:after="24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paragraph" w:customStyle="1" w:styleId="Style12">
    <w:name w:val="Základní text"/>
    <w:basedOn w:val="Normal"/>
    <w:link w:val="CharStyle13"/>
    <w:pPr>
      <w:widowControl w:val="0"/>
      <w:shd w:val="clear" w:color="auto" w:fill="auto"/>
      <w:spacing w:after="220" w:line="28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4">
    <w:name w:val="Titulek tabulky"/>
    <w:basedOn w:val="Normal"/>
    <w:link w:val="CharStyle15"/>
    <w:pPr>
      <w:widowControl w:val="0"/>
      <w:shd w:val="clear" w:color="auto" w:fill="auto"/>
    </w:pPr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Style17">
    <w:name w:val="Jiné"/>
    <w:basedOn w:val="Normal"/>
    <w:link w:val="CharStyle18"/>
    <w:pPr>
      <w:widowControl w:val="0"/>
      <w:shd w:val="clear" w:color="auto" w:fill="auto"/>
      <w:spacing w:after="220" w:line="28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Relationship Id="rId12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22C-6e-20210312115024</dc:title>
  <dc:subject/>
  <dc:creator/>
  <cp:keywords/>
</cp:coreProperties>
</file>