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E13E6" w14:textId="77777777" w:rsidR="004D1A9A" w:rsidRDefault="001C3BE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Dodatek č. 2</w:t>
      </w:r>
    </w:p>
    <w:p w14:paraId="5CAE2FED" w14:textId="77777777" w:rsidR="004D1A9A" w:rsidRDefault="001C3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 Smlouvě o dílo ze dne 14. 8. 2019 ve znění pozdějších dodatků</w:t>
      </w:r>
    </w:p>
    <w:p w14:paraId="21717AFB" w14:textId="77777777" w:rsidR="004D1A9A" w:rsidRDefault="004D1A9A">
      <w:pPr>
        <w:spacing w:after="0"/>
        <w:rPr>
          <w:b/>
        </w:rPr>
      </w:pPr>
    </w:p>
    <w:p w14:paraId="1987A788" w14:textId="77777777" w:rsidR="004D1A9A" w:rsidRDefault="001C3BEA">
      <w:pPr>
        <w:spacing w:before="40" w:after="40"/>
        <w:rPr>
          <w:b/>
        </w:rPr>
      </w:pPr>
      <w:r>
        <w:rPr>
          <w:b/>
        </w:rPr>
        <w:t>Mikrobiologický ústav AV ČR, v. v. i.</w:t>
      </w:r>
    </w:p>
    <w:p w14:paraId="0432D6AA" w14:textId="77777777" w:rsidR="004D1A9A" w:rsidRDefault="001C3BEA">
      <w:pPr>
        <w:spacing w:before="40" w:after="40"/>
      </w:pPr>
      <w:r>
        <w:t>se sídlem:</w:t>
      </w:r>
      <w:r>
        <w:tab/>
      </w:r>
      <w:r>
        <w:tab/>
        <w:t>Vídeňská 1083, Praha 4 – Krč, 142 20</w:t>
      </w:r>
    </w:p>
    <w:p w14:paraId="2D61EB76" w14:textId="77777777" w:rsidR="004D1A9A" w:rsidRDefault="001C3BEA">
      <w:pPr>
        <w:spacing w:before="40" w:after="40"/>
      </w:pPr>
      <w:r>
        <w:t xml:space="preserve">IČ: </w:t>
      </w:r>
      <w:r>
        <w:tab/>
      </w:r>
      <w:r>
        <w:tab/>
      </w:r>
      <w:r>
        <w:tab/>
        <w:t>613 88 971</w:t>
      </w:r>
    </w:p>
    <w:p w14:paraId="2092CE15" w14:textId="77777777" w:rsidR="004D1A9A" w:rsidRDefault="001C3BEA">
      <w:pPr>
        <w:spacing w:before="40" w:after="40"/>
      </w:pPr>
      <w:r>
        <w:t>DIČ:</w:t>
      </w:r>
      <w:r>
        <w:tab/>
      </w:r>
      <w:r>
        <w:tab/>
      </w:r>
      <w:r>
        <w:tab/>
        <w:t>CZ61388971</w:t>
      </w:r>
    </w:p>
    <w:p w14:paraId="3AF8C8A8" w14:textId="77777777" w:rsidR="004D1A9A" w:rsidRDefault="001C3BEA">
      <w:pPr>
        <w:spacing w:before="40" w:after="40"/>
      </w:pPr>
      <w:r>
        <w:t>Bankovní spojení:</w:t>
      </w:r>
      <w:r>
        <w:tab/>
        <w:t>2246660227/0100</w:t>
      </w:r>
    </w:p>
    <w:p w14:paraId="7536A461" w14:textId="77777777" w:rsidR="004D1A9A" w:rsidRDefault="001C3BEA">
      <w:pPr>
        <w:spacing w:before="40" w:after="40"/>
      </w:pPr>
      <w:r>
        <w:t>Zastoupena:</w:t>
      </w:r>
      <w:r>
        <w:tab/>
      </w:r>
      <w:r>
        <w:tab/>
        <w:t>Ing. Jiří Hašek, CSc., ředitel</w:t>
      </w:r>
    </w:p>
    <w:p w14:paraId="4C4D04CA" w14:textId="77777777" w:rsidR="004D1A9A" w:rsidRDefault="001C3BEA">
      <w:pPr>
        <w:spacing w:before="40" w:after="40"/>
      </w:pPr>
      <w:r>
        <w:t>zapsaná v rejstříku veřejných výzkumných institucí u MŠMT</w:t>
      </w:r>
    </w:p>
    <w:p w14:paraId="41BD946C" w14:textId="77777777" w:rsidR="004D1A9A" w:rsidRDefault="004D1A9A">
      <w:pPr>
        <w:spacing w:before="40" w:after="40"/>
      </w:pPr>
    </w:p>
    <w:p w14:paraId="20F3C150" w14:textId="77777777" w:rsidR="004D1A9A" w:rsidRDefault="001C3BEA">
      <w:pPr>
        <w:spacing w:before="40" w:after="40"/>
      </w:pPr>
      <w:r>
        <w:t>(dále jen „</w:t>
      </w:r>
      <w:r>
        <w:rPr>
          <w:rStyle w:val="dn"/>
          <w:b/>
          <w:bCs/>
        </w:rPr>
        <w:t xml:space="preserve">MBÚ“ </w:t>
      </w:r>
      <w:r>
        <w:rPr>
          <w:rStyle w:val="dn"/>
          <w:bCs/>
        </w:rPr>
        <w:t>nebo</w:t>
      </w:r>
      <w:r>
        <w:rPr>
          <w:rStyle w:val="dn"/>
          <w:b/>
          <w:bCs/>
        </w:rPr>
        <w:t xml:space="preserve"> „objednatel</w:t>
      </w:r>
      <w:r>
        <w:t>“)</w:t>
      </w:r>
    </w:p>
    <w:p w14:paraId="424BD7E1" w14:textId="77777777" w:rsidR="004D1A9A" w:rsidRDefault="004D1A9A">
      <w:pPr>
        <w:spacing w:before="40" w:after="40"/>
      </w:pPr>
    </w:p>
    <w:p w14:paraId="72A5A6F4" w14:textId="77777777" w:rsidR="004D1A9A" w:rsidRDefault="001C3BEA">
      <w:pPr>
        <w:rPr>
          <w:rFonts w:eastAsia="Arial Unicode MS" w:cs="Arial Unicode MS"/>
        </w:rPr>
      </w:pPr>
      <w:r>
        <w:rPr>
          <w:rFonts w:eastAsia="Arial Unicode MS" w:cs="Arial Unicode MS"/>
        </w:rPr>
        <w:t>a</w:t>
      </w:r>
    </w:p>
    <w:p w14:paraId="5802E523" w14:textId="77777777" w:rsidR="004D1A9A" w:rsidRDefault="004D1A9A"/>
    <w:p w14:paraId="021D4B5B" w14:textId="77777777" w:rsidR="004D1A9A" w:rsidRDefault="001C3BEA">
      <w:pPr>
        <w:spacing w:before="40" w:after="40"/>
        <w:rPr>
          <w:rStyle w:val="dn"/>
          <w:b/>
          <w:bCs/>
        </w:rPr>
      </w:pPr>
      <w:r>
        <w:rPr>
          <w:rStyle w:val="dn"/>
          <w:b/>
          <w:bCs/>
        </w:rPr>
        <w:t>Michal Kohút</w:t>
      </w:r>
    </w:p>
    <w:p w14:paraId="38E09B28" w14:textId="77777777" w:rsidR="004D1A9A" w:rsidRDefault="001C3BEA">
      <w:pPr>
        <w:spacing w:before="40" w:after="40"/>
      </w:pPr>
      <w:r>
        <w:t>se sídlem/bytem:</w:t>
      </w:r>
      <w:r>
        <w:tab/>
        <w:t>Jankovcova 1480/19, Praha 7, 170 00</w:t>
      </w:r>
    </w:p>
    <w:p w14:paraId="1BAD10BF" w14:textId="5E0C47E0" w:rsidR="004D1A9A" w:rsidRDefault="001C3BEA">
      <w:pPr>
        <w:spacing w:before="40" w:after="40"/>
      </w:pPr>
      <w:r>
        <w:t>nar.</w:t>
      </w:r>
      <w:r>
        <w:tab/>
      </w:r>
      <w:r>
        <w:tab/>
      </w:r>
      <w:r>
        <w:tab/>
      </w:r>
      <w:bookmarkStart w:id="0" w:name="_GoBack"/>
      <w:bookmarkEnd w:id="0"/>
      <w:r w:rsidR="00715B76" w:rsidRPr="00715B76">
        <w:rPr>
          <w:highlight w:val="black"/>
        </w:rPr>
        <w:t>XXXXXXXXXXXXXXXX</w:t>
      </w:r>
    </w:p>
    <w:p w14:paraId="5968373E" w14:textId="77777777" w:rsidR="004D1A9A" w:rsidRDefault="001C3BEA">
      <w:pPr>
        <w:spacing w:before="40" w:after="40"/>
      </w:pPr>
      <w:r>
        <w:t xml:space="preserve">IČ: </w:t>
      </w:r>
      <w:r>
        <w:tab/>
      </w:r>
      <w:r>
        <w:tab/>
      </w:r>
      <w:r>
        <w:tab/>
        <w:t>07957378</w:t>
      </w:r>
      <w:r>
        <w:tab/>
      </w:r>
    </w:p>
    <w:p w14:paraId="0E1C26C9" w14:textId="77777777" w:rsidR="004D1A9A" w:rsidRDefault="001C3BEA">
      <w:pPr>
        <w:spacing w:before="40" w:after="40"/>
      </w:pPr>
      <w:r>
        <w:t>DIČ:</w:t>
      </w:r>
      <w:r>
        <w:tab/>
      </w:r>
      <w:r>
        <w:tab/>
      </w:r>
      <w:r>
        <w:tab/>
        <w:t>CZ8509102008</w:t>
      </w:r>
    </w:p>
    <w:p w14:paraId="690897A7" w14:textId="77777777" w:rsidR="004D1A9A" w:rsidRDefault="004D1A9A">
      <w:pPr>
        <w:spacing w:before="40" w:after="40"/>
      </w:pPr>
    </w:p>
    <w:p w14:paraId="09AEC913" w14:textId="77777777" w:rsidR="004D1A9A" w:rsidRDefault="001C3BEA">
      <w:pPr>
        <w:spacing w:before="40" w:after="40"/>
      </w:pPr>
      <w:r>
        <w:t>(dále jako „</w:t>
      </w:r>
      <w:r>
        <w:rPr>
          <w:b/>
        </w:rPr>
        <w:t>zhotovitel</w:t>
      </w:r>
      <w:r>
        <w:t>“)</w:t>
      </w:r>
    </w:p>
    <w:p w14:paraId="1164847E" w14:textId="77777777" w:rsidR="004D1A9A" w:rsidRDefault="004D1A9A"/>
    <w:p w14:paraId="583B9E27" w14:textId="77777777" w:rsidR="004D1A9A" w:rsidRDefault="004D1A9A"/>
    <w:p w14:paraId="022F29D8" w14:textId="77777777" w:rsidR="004D1A9A" w:rsidRDefault="001C3BEA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rPr>
          <w:b/>
        </w:rPr>
      </w:pPr>
      <w:r>
        <w:rPr>
          <w:b/>
        </w:rPr>
        <w:t>Preambule</w:t>
      </w:r>
    </w:p>
    <w:p w14:paraId="6664F79E" w14:textId="77777777" w:rsidR="004D1A9A" w:rsidRDefault="001C3BEA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Smluvní strany uzavřely dne 14. 8. 2019 smlouvu o dílo ve znění pozdějších dodatků (dále jen „Smlouva“). Strany se s ohledem na nové skutečnosti dohodly na následujících změnách Smlouvy.</w:t>
      </w:r>
    </w:p>
    <w:p w14:paraId="4A7C526D" w14:textId="77777777" w:rsidR="004D1A9A" w:rsidRDefault="004D1A9A">
      <w:pPr>
        <w:pStyle w:val="Nzev"/>
        <w:spacing w:before="120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E72EAE7" w14:textId="77777777" w:rsidR="004D1A9A" w:rsidRDefault="001C3BEA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rPr>
          <w:b/>
        </w:rPr>
      </w:pPr>
      <w:r>
        <w:rPr>
          <w:b/>
        </w:rPr>
        <w:t>Předmět dodatku</w:t>
      </w:r>
    </w:p>
    <w:p w14:paraId="39AA6873" w14:textId="77777777" w:rsidR="00D23E14" w:rsidRDefault="00D23E14" w:rsidP="00D23E14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Smluvní strany shodně uvádí, že došlo ke změně sídla zhotovitele, a tedy stará adresa sídla zhotovitele </w:t>
      </w:r>
      <w:r w:rsidRPr="00D23E14">
        <w:rPr>
          <w:rFonts w:asciiTheme="minorHAnsi" w:eastAsiaTheme="minorHAnsi" w:hAnsiTheme="minorHAnsi" w:cstheme="minorBidi"/>
          <w:sz w:val="22"/>
          <w:szCs w:val="22"/>
          <w:lang w:eastAsia="en-US"/>
        </w:rPr>
        <w:t>Nákladní 193/9, Karlovy Vary, 360 05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 </w:t>
      </w:r>
      <w:r w:rsidR="00F759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ve Smlouvě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nahrazuje novou adresou sídla zhotovitele </w:t>
      </w:r>
      <w:r w:rsidRPr="00D23E1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Jankovcova 1480/19, Praha 7, 170 00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</w:t>
      </w:r>
    </w:p>
    <w:p w14:paraId="5975D705" w14:textId="469973F3" w:rsidR="004D1A9A" w:rsidRDefault="001C3BEA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článku II. odst.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II.1 bodě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d) Smlouvy (zkouška exponátu) se datum </w:t>
      </w:r>
      <w:r w:rsidR="00D23E14">
        <w:rPr>
          <w:rFonts w:asciiTheme="minorHAnsi" w:eastAsiaTheme="minorHAnsi" w:hAnsiTheme="minorHAnsi" w:cstheme="minorBidi"/>
          <w:sz w:val="22"/>
          <w:szCs w:val="22"/>
          <w:lang w:eastAsia="en-US"/>
        </w:rPr>
        <w:t>15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 3. 202</w:t>
      </w:r>
      <w:r w:rsidR="00D23E14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nahrazuje datem</w:t>
      </w:r>
      <w:r w:rsidR="00D23E1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32D22">
        <w:rPr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D23E14" w:rsidRPr="00D23E1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. </w:t>
      </w:r>
      <w:r w:rsidR="00232D2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4</w:t>
      </w:r>
      <w:r w:rsidR="00D23E14" w:rsidRPr="00D23E1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 2021</w:t>
      </w:r>
      <w:r w:rsidR="00D23E14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18C6D374" w14:textId="77777777" w:rsidR="004D1A9A" w:rsidRDefault="001C3BEA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článku II. odst.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II.1 bodě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d) Smlouvy se text ve znění: 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„Zhotovitel bere na vědomí, že nejzazším termínem pro zhotovení a odzkoušení plně funkčního exponátu je 31. 5. 2020.“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ruší.</w:t>
      </w:r>
    </w:p>
    <w:p w14:paraId="1EAACD8D" w14:textId="77777777" w:rsidR="004D1A9A" w:rsidRDefault="001C3BEA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článku II. odst.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II.1 bodě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e) Smlouvy (instalace exponátu v Dubaji) se datum 30 9. 2020 nahrazuje datem </w:t>
      </w:r>
      <w:r w:rsidR="00D23E1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10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 9. 2021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199C6DD8" w14:textId="77777777" w:rsidR="004D1A9A" w:rsidRDefault="001C3BEA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V článku II. odst.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II.1 bodě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e) Smlouvy (zabalení exponátu k přepravě do Dubaje) se datum 31. 5. 2020 nahrazuje datem</w:t>
      </w:r>
      <w:r w:rsidR="00D23E1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23E14" w:rsidRPr="00D23E1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31. 5. 2021.</w:t>
      </w:r>
    </w:p>
    <w:p w14:paraId="212EC638" w14:textId="77777777" w:rsidR="004D1A9A" w:rsidRDefault="001C3BEA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článku II. odst.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II.1 bodě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e) Smlouvy se text ve znění: 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„Objednatel předpokládá transport zabaleného exponátu lodí do Dubaje v létě 2020.“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ruší.</w:t>
      </w:r>
    </w:p>
    <w:p w14:paraId="1A772884" w14:textId="77777777" w:rsidR="004D1A9A" w:rsidRDefault="001C3BEA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článku II. odst.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II.1 bodě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g) Smlouvy (zabalení exponátu po skončení výstavy) se datum 10. 4. 2021 nahrazuje datem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1. 4. 2022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859FF15" w14:textId="77777777" w:rsidR="004D1A9A" w:rsidRDefault="001C3BEA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článku VII. odst.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VII.2 Smlouvy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 text ve znění: 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„tj. do 10. 4. 2021,“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ruší.</w:t>
      </w:r>
    </w:p>
    <w:p w14:paraId="5F9BAC22" w14:textId="77777777" w:rsidR="004D1A9A" w:rsidRDefault="001C3BEA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článku X.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odst. X.1 Smlouvy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 text ve znění: </w:t>
      </w: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„tj. do 10. 4. 2021,“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ruší.</w:t>
      </w:r>
    </w:p>
    <w:p w14:paraId="72277694" w14:textId="77777777" w:rsidR="004D1A9A" w:rsidRDefault="00F554E3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 článku IV. Smlouvy se přidává bod </w:t>
      </w: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IV.15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 znění: </w:t>
      </w:r>
      <w:r w:rsidRPr="00F554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„</w:t>
      </w:r>
      <w:r w:rsidR="001C3BEA" w:rsidRPr="00F554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Smluvní strany ujednávají, že pokud by se z jakéhokoli důvodu EXPO 2020 nekonalo v období do 1. 4. 2022, tak se</w:t>
      </w:r>
      <w:r w:rsidR="001C3BEA" w:rsidRPr="00F554E3">
        <w:rPr>
          <w:b/>
        </w:rPr>
        <w:t xml:space="preserve"> </w:t>
      </w:r>
      <w:r w:rsidR="001C3BEA" w:rsidRPr="00F554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okamžikem zveřejnění takového rozhodnutí pořadatele EXPO 2020 povinnosti zhotovitele dle čl. I. </w:t>
      </w:r>
      <w:proofErr w:type="gramStart"/>
      <w:r w:rsidR="001C3BEA" w:rsidRPr="00F554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odst. I.1 písm.</w:t>
      </w:r>
      <w:proofErr w:type="gramEnd"/>
      <w:r w:rsidR="001C3BEA" w:rsidRPr="00F554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e) až g) a potažmo též dle čl. II. odst. II.1. písm. e) až g) Smlouvy ruší a místo toho je objednatel oprávněn po konzultaci se zhotovitelem rozhodnout o instalaci exponátu na vhodném místě na území České republiky, k čemuž zhotovitel poskytne součinnost spočívající v přiměřené poradenské a dozorové asistenci při zabalení, instalaci a montáži exponátu. O tuto součinnost je objednatel zhotovitele požádat s rozumným předstihem a to tak, aby mohla být zhotovitelem poskytnuta nejpozději do 1. 4. 2022. Smluvní strany výslovně sjednávají, že po tomto datu nemá zhotovitel již žádné povinnosti vůči objednateli týkající se instalace, </w:t>
      </w:r>
      <w:proofErr w:type="spellStart"/>
      <w:r w:rsidR="001C3BEA" w:rsidRPr="00F554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deinstalace</w:t>
      </w:r>
      <w:proofErr w:type="spellEnd"/>
      <w:r w:rsidR="001C3BEA" w:rsidRPr="00F554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 montáže, demontáže, zabalení, přepravy, opravy či jiné obdobné manipulace s exponátem.</w:t>
      </w:r>
      <w:r w:rsidRPr="00F554E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“</w:t>
      </w:r>
    </w:p>
    <w:p w14:paraId="6EFD10FC" w14:textId="77777777" w:rsidR="00F554E3" w:rsidRPr="00F554E3" w:rsidRDefault="00F554E3" w:rsidP="000E012C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554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 článku </w:t>
      </w:r>
      <w:proofErr w:type="gramStart"/>
      <w:r w:rsidRPr="00F554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III.1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Smlouvy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54E3">
        <w:rPr>
          <w:rFonts w:asciiTheme="minorHAnsi" w:eastAsiaTheme="minorHAnsi" w:hAnsiTheme="minorHAnsi" w:cstheme="minorBidi"/>
          <w:sz w:val="22"/>
          <w:szCs w:val="22"/>
          <w:lang w:eastAsia="en-US"/>
        </w:rPr>
        <w:t>se text ve znění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: </w:t>
      </w:r>
      <w:r w:rsidRPr="00F554E3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„záloha na materiál a další nezbytné služby v souvislosti s provedením všech činností dle této smlouvy ve výši 1.500.000,- Kč bez DPH bude objednatelem zhotoviteli uhrazena na základě zálohové faktury vystavené do 14 dní po převzetí dokončeného projektu exponátu bez připomínek objednatele. Dokud nebudou připomínky objednatele k projektu, k technickým požadavkům nebo konečnému řešení zapracovány, nárok na úhradu zálohy nevzniká. Zhotovitel je oprávněn zálohu fakturovat více fakturami, přičemž první zálohovou fakturu je zhotovitel povinen vystavit na částku alespoň 1 mil. Kč;</w:t>
      </w:r>
      <w:r w:rsidR="000E012C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  <w:r w:rsidR="000E012C" w:rsidRPr="000E012C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zbývající částka, tj. částka ve výši 499.545,- Kč bez DPH a částka odpovídající příslušné sazbě DPH ze zálohových faktur, pokud se zhotovitel stane v průběhu smlouvy plátcem DPH, bude objednatelem zhotoviteli uhrazena na základě faktury vystavené do 14 dní po podpisu expedičního protokolu.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“ ruší a nahrazuje textem:</w:t>
      </w:r>
    </w:p>
    <w:p w14:paraId="7D81923F" w14:textId="41625947" w:rsidR="004D1A9A" w:rsidRPr="008D02FE" w:rsidRDefault="001C3BEA" w:rsidP="00F554E3">
      <w:pPr>
        <w:pStyle w:val="Nzev"/>
        <w:spacing w:before="120"/>
        <w:ind w:left="36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Smluvní strany konstatují, že do dne</w:t>
      </w:r>
      <w:r w:rsidR="0042791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uzavření dodatku č. 2 k této smlouvě</w:t>
      </w:r>
      <w:r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objednatel zaplatil </w:t>
      </w:r>
      <w:r w:rsidR="000E012C"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zhotoviteli na základě této </w:t>
      </w:r>
      <w:r w:rsidR="00232D2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</w:t>
      </w:r>
      <w:r w:rsidR="000E012C"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mlouvy </w:t>
      </w:r>
      <w:r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částku</w:t>
      </w:r>
      <w:r w:rsidR="00F554E3"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1.573.000</w:t>
      </w:r>
      <w:r w:rsidR="00AA6E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,-</w:t>
      </w:r>
      <w:r w:rsidR="00F554E3"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Kč včetně DPH (1.300.000</w:t>
      </w:r>
      <w:r w:rsidR="00AA6E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,-</w:t>
      </w:r>
      <w:r w:rsidR="00F554E3"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Kč bez DPH)</w:t>
      </w:r>
      <w:r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. Dále se strany dohodly, že zbývající část Ceny bude objednatelem uhrazena následovně: </w:t>
      </w:r>
    </w:p>
    <w:p w14:paraId="6ED48115" w14:textId="77777777" w:rsidR="004D1A9A" w:rsidRPr="008D02FE" w:rsidRDefault="001C3BEA" w:rsidP="00F554E3">
      <w:pPr>
        <w:pStyle w:val="Nzev"/>
        <w:spacing w:before="120"/>
        <w:ind w:left="36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Částka ve výši </w:t>
      </w:r>
      <w:r w:rsidR="00F554E3"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</w:t>
      </w:r>
      <w:r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00.000</w:t>
      </w:r>
      <w:r w:rsidR="00AA6E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,-</w:t>
      </w:r>
      <w:r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Kč + DPH bude objednatelem zaplacena na základě řádného daňového dokladu (faktury) se splatností 14 dní vystaveného zhotovitelem po </w:t>
      </w:r>
      <w:r w:rsidR="00F554E3"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uveřejnění dodatku č. 2 ke Smlouvě </w:t>
      </w:r>
      <w:r w:rsidR="00221F6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v </w:t>
      </w:r>
      <w:r w:rsidR="00F554E3"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registru smluv;</w:t>
      </w:r>
    </w:p>
    <w:p w14:paraId="6968E8C1" w14:textId="2E3D7DF7" w:rsidR="00F554E3" w:rsidRPr="008D02FE" w:rsidRDefault="00F554E3" w:rsidP="00F554E3">
      <w:pPr>
        <w:pStyle w:val="Nzev"/>
        <w:spacing w:before="120"/>
        <w:ind w:left="36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Částka ve výši 300.000</w:t>
      </w:r>
      <w:r w:rsidR="00AA6E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,-</w:t>
      </w:r>
      <w:r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Kč + DPH bude objednatelem zaplacena na základě řádného daňového dokladu (faktury) se splatností 14 dní vystaveného zhotovitelem po </w:t>
      </w:r>
      <w:r w:rsidR="000E012C"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prezentování kompletního a funkčního exponátu</w:t>
      </w:r>
      <w:r w:rsidR="0006753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dle čl. II. odst. </w:t>
      </w:r>
      <w:proofErr w:type="gramStart"/>
      <w:r w:rsidR="0006753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II.1 bodu</w:t>
      </w:r>
      <w:proofErr w:type="gramEnd"/>
      <w:r w:rsidR="0006753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d) Smlouvy</w:t>
      </w:r>
      <w:r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;</w:t>
      </w:r>
    </w:p>
    <w:p w14:paraId="78B62421" w14:textId="77777777" w:rsidR="004D1A9A" w:rsidRPr="008D02FE" w:rsidRDefault="001C3BEA" w:rsidP="00F554E3">
      <w:pPr>
        <w:pStyle w:val="Nzev"/>
        <w:spacing w:before="120"/>
        <w:ind w:left="36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Částka ve výši</w:t>
      </w:r>
      <w:r w:rsidR="000E012C"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199</w:t>
      </w:r>
      <w:r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</w:t>
      </w:r>
      <w:r w:rsidR="000E012C"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545</w:t>
      </w:r>
      <w:r w:rsidR="00AA6E7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,-</w:t>
      </w:r>
      <w:r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Kč + DPH bude objednatelem zaplacena na základě řádného daňového dokladu (faktury) se splatností 14 dní vystaveného zhotovitelem po 1.</w:t>
      </w:r>
      <w:r w:rsidR="000E012C"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4.</w:t>
      </w:r>
      <w:r w:rsidR="000E012C"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8D02F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2022.</w:t>
      </w:r>
    </w:p>
    <w:p w14:paraId="7E94F507" w14:textId="77777777" w:rsidR="004D1A9A" w:rsidRDefault="004D1A9A">
      <w:pPr>
        <w:pStyle w:val="Nzev"/>
        <w:spacing w:before="120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389153D" w14:textId="77777777" w:rsidR="004D1A9A" w:rsidRDefault="001C3BEA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rPr>
          <w:b/>
        </w:rPr>
      </w:pPr>
      <w:r>
        <w:rPr>
          <w:b/>
        </w:rPr>
        <w:t>Závěrečná ustanovení</w:t>
      </w:r>
    </w:p>
    <w:p w14:paraId="2D009D34" w14:textId="77777777" w:rsidR="000E012C" w:rsidRDefault="000E012C" w:rsidP="000E012C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01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 přehlednost smluvní strany shodně uvádí, že </w:t>
      </w:r>
      <w:r w:rsidR="00AA6E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celková </w:t>
      </w:r>
      <w:r w:rsidRPr="000E01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Cena díla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dle Smlouvy </w:t>
      </w:r>
      <w:r w:rsidRPr="000E012C">
        <w:rPr>
          <w:rFonts w:asciiTheme="minorHAnsi" w:eastAsiaTheme="minorHAnsi" w:hAnsiTheme="minorHAnsi" w:cstheme="minorBidi"/>
          <w:sz w:val="22"/>
          <w:szCs w:val="22"/>
          <w:lang w:eastAsia="en-US"/>
        </w:rPr>
        <w:t>v celkové výši 1.999.545</w:t>
      </w:r>
      <w:r w:rsidR="00D77F2E">
        <w:rPr>
          <w:rFonts w:asciiTheme="minorHAnsi" w:eastAsiaTheme="minorHAnsi" w:hAnsiTheme="minorHAnsi" w:cstheme="minorBidi"/>
          <w:sz w:val="22"/>
          <w:szCs w:val="22"/>
          <w:lang w:eastAsia="en-US"/>
        </w:rPr>
        <w:t>,-</w:t>
      </w:r>
      <w:r w:rsidRPr="000E01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Kč bez DPH je tímto dodatkem nedotčena.</w:t>
      </w:r>
    </w:p>
    <w:p w14:paraId="0B9B97C7" w14:textId="77777777" w:rsidR="004D1A9A" w:rsidRDefault="001C3BEA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Tento dodatek je vyhotoven ve 2 výtiscích, z nichž 1 vyhotovení obdrží objednatel a 1 vyhotovení zhotovitel. </w:t>
      </w:r>
    </w:p>
    <w:p w14:paraId="6B1A767F" w14:textId="77777777" w:rsidR="004D1A9A" w:rsidRDefault="001C3BEA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Obě smluvní strany prohlašují, že se seznámily s celým textem dodatku včetně případných příloh a s celým obsahem dodatku souhlasí. Současně prohlašují, že tento dodatek nebyl sjednán v tísni ani za jinak jednostranně nevýhodných podmínek.</w:t>
      </w:r>
    </w:p>
    <w:p w14:paraId="7140D1BB" w14:textId="77777777" w:rsidR="004D1A9A" w:rsidRDefault="001C3BEA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Tento dodatek nabývá platnosti dnem podpisu oběma smluvními stranami a účinnosti dnem zveřejnění v registru smluv.</w:t>
      </w:r>
    </w:p>
    <w:p w14:paraId="5EBAECD7" w14:textId="77777777" w:rsidR="004D1A9A" w:rsidRDefault="001C3BEA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Zhotovitel souhlasí s uveřejněním plného znění tohoto dodatku včetně jeho případných příloh v registru smluv podle zákona č. 340/2015 Sb., o zvláštních podmínkách účinnosti některých smluv, uveřejňování těchto smluv a o registru smluv (zákon o registru smluv). Povinnost uveřejnit tento dodatek zajistí objednatel v termínu do 10 dnů po podpisu tohoto dodatku.</w:t>
      </w:r>
    </w:p>
    <w:p w14:paraId="441CE253" w14:textId="77777777" w:rsidR="004D1A9A" w:rsidRDefault="001C3BEA">
      <w:pPr>
        <w:pStyle w:val="Nzev"/>
        <w:numPr>
          <w:ilvl w:val="1"/>
          <w:numId w:val="1"/>
        </w:numPr>
        <w:spacing w:before="1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Ostatní ujednání, která se dodatkem nemění, zůstávají nadále v platnosti dle původní Smlouvy.</w:t>
      </w:r>
    </w:p>
    <w:p w14:paraId="23236B69" w14:textId="77777777" w:rsidR="004D1A9A" w:rsidRDefault="004D1A9A"/>
    <w:p w14:paraId="20DC6C25" w14:textId="77777777" w:rsidR="004D1A9A" w:rsidRDefault="001C3BEA">
      <w:r>
        <w:t>Zhotovitel: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Objednatel:</w:t>
      </w:r>
    </w:p>
    <w:p w14:paraId="432D887B" w14:textId="77777777" w:rsidR="004D1A9A" w:rsidRDefault="004D1A9A">
      <w:pPr>
        <w:spacing w:after="0"/>
      </w:pPr>
    </w:p>
    <w:p w14:paraId="44D9A3A3" w14:textId="77777777" w:rsidR="004D1A9A" w:rsidRDefault="001C3BEA">
      <w:pPr>
        <w:spacing w:after="0"/>
      </w:pPr>
      <w:r>
        <w:t xml:space="preserve">V Praze dne  </w:t>
      </w:r>
      <w:r w:rsidR="00221F6C">
        <w:tab/>
      </w:r>
      <w:r w:rsidR="00221F6C">
        <w:tab/>
      </w:r>
    </w:p>
    <w:p w14:paraId="6C676C98" w14:textId="77777777" w:rsidR="004D1A9A" w:rsidRDefault="004D1A9A"/>
    <w:p w14:paraId="56BDEEE4" w14:textId="77777777" w:rsidR="004D1A9A" w:rsidRDefault="004D1A9A"/>
    <w:p w14:paraId="4F827B6A" w14:textId="77777777" w:rsidR="004D1A9A" w:rsidRDefault="004D1A9A"/>
    <w:p w14:paraId="5BC58280" w14:textId="77777777" w:rsidR="004D1A9A" w:rsidRDefault="001C3BEA">
      <w:r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432C3F0B" w14:textId="77777777" w:rsidR="004D1A9A" w:rsidRDefault="001C3BEA">
      <w:pPr>
        <w:spacing w:after="0"/>
      </w:pPr>
      <w:r>
        <w:t>Michal Kohút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Mikrobiologický ústav AV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14:paraId="137B5AF8" w14:textId="77777777" w:rsidR="004D1A9A" w:rsidRDefault="001C3BEA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Jiří Hašek, CSc., ředitel</w:t>
      </w:r>
    </w:p>
    <w:p w14:paraId="7E5DAAFD" w14:textId="77777777" w:rsidR="004D1A9A" w:rsidRDefault="004D1A9A">
      <w:pPr>
        <w:spacing w:after="0"/>
      </w:pPr>
    </w:p>
    <w:p w14:paraId="6A75B660" w14:textId="77777777" w:rsidR="004D1A9A" w:rsidRDefault="004D1A9A">
      <w:pPr>
        <w:spacing w:after="0"/>
      </w:pPr>
    </w:p>
    <w:p w14:paraId="40E2747D" w14:textId="77777777" w:rsidR="004D1A9A" w:rsidRDefault="004D1A9A">
      <w:pPr>
        <w:spacing w:after="0"/>
      </w:pPr>
    </w:p>
    <w:p w14:paraId="4A9BC3AA" w14:textId="77777777" w:rsidR="004D1A9A" w:rsidRDefault="004D1A9A">
      <w:pPr>
        <w:rPr>
          <w:b/>
          <w:sz w:val="28"/>
          <w:szCs w:val="28"/>
        </w:rPr>
      </w:pPr>
    </w:p>
    <w:sectPr w:rsidR="004D1A9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A55F7"/>
    <w:multiLevelType w:val="multilevel"/>
    <w:tmpl w:val="5D6463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2E7C7A"/>
    <w:multiLevelType w:val="multilevel"/>
    <w:tmpl w:val="588ECF7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wMjYxMzY2NTAztDRU0lEKTi0uzszPAykwqgUALJyYfiwAAAA="/>
  </w:docVars>
  <w:rsids>
    <w:rsidRoot w:val="004D1A9A"/>
    <w:rsid w:val="0006753A"/>
    <w:rsid w:val="000E012C"/>
    <w:rsid w:val="001C3BEA"/>
    <w:rsid w:val="00221F6C"/>
    <w:rsid w:val="00232D22"/>
    <w:rsid w:val="0042791E"/>
    <w:rsid w:val="004D1A9A"/>
    <w:rsid w:val="005F6B8A"/>
    <w:rsid w:val="00715B76"/>
    <w:rsid w:val="0081071E"/>
    <w:rsid w:val="008D02FE"/>
    <w:rsid w:val="00AA6E72"/>
    <w:rsid w:val="00D23E14"/>
    <w:rsid w:val="00D77F2E"/>
    <w:rsid w:val="00F554E3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BEED"/>
  <w15:docId w15:val="{4AEA25C4-1195-48D1-9931-0EC5B832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3F445F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3F445F"/>
    <w:rPr>
      <w:color w:val="0563C1" w:themeColor="hyperlink"/>
      <w:u w:val="single"/>
    </w:rPr>
  </w:style>
  <w:style w:type="character" w:customStyle="1" w:styleId="dn">
    <w:name w:val="Žádný"/>
    <w:qFormat/>
    <w:rsid w:val="00DA737A"/>
  </w:style>
  <w:style w:type="character" w:styleId="Odkaznakoment">
    <w:name w:val="annotation reference"/>
    <w:basedOn w:val="Standardnpsmoodstavce"/>
    <w:uiPriority w:val="99"/>
    <w:semiHidden/>
    <w:unhideWhenUsed/>
    <w:qFormat/>
    <w:rsid w:val="0071461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1461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14618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14618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8C008C"/>
    <w:pPr>
      <w:spacing w:after="200" w:line="276" w:lineRule="auto"/>
      <w:ind w:left="720"/>
      <w:contextualSpacing/>
    </w:pPr>
  </w:style>
  <w:style w:type="paragraph" w:styleId="Nzev">
    <w:name w:val="Title"/>
    <w:basedOn w:val="Normln"/>
    <w:link w:val="NzevChar"/>
    <w:qFormat/>
    <w:rsid w:val="003F445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1461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1461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1461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DDBC-1B95-41AB-BE1B-D221E889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883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Janata Jiří</dc:creator>
  <dc:description/>
  <cp:lastModifiedBy>Čudová Lucie</cp:lastModifiedBy>
  <cp:revision>3</cp:revision>
  <cp:lastPrinted>2021-02-24T13:32:00Z</cp:lastPrinted>
  <dcterms:created xsi:type="dcterms:W3CDTF">2021-03-12T11:52:00Z</dcterms:created>
  <dcterms:modified xsi:type="dcterms:W3CDTF">2021-03-12T12:14:00Z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Mikrobiologický ústav AV ČR, v. v. 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