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1D" w:rsidRPr="00B51FB4" w:rsidRDefault="0060131D" w:rsidP="0060131D">
      <w:pPr>
        <w:pStyle w:val="Nzev"/>
        <w:rPr>
          <w:szCs w:val="28"/>
        </w:rPr>
      </w:pPr>
      <w:bookmarkStart w:id="0" w:name="_GoBack"/>
      <w:bookmarkEnd w:id="0"/>
      <w:r w:rsidRPr="00B51FB4">
        <w:rPr>
          <w:szCs w:val="28"/>
        </w:rPr>
        <w:t>Smlouva o spolupráci</w:t>
      </w:r>
    </w:p>
    <w:p w:rsidR="0060131D" w:rsidRPr="004D1453" w:rsidRDefault="00205001" w:rsidP="0060131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4D1453">
        <w:rPr>
          <w:rFonts w:ascii="Times New Roman" w:hAnsi="Times New Roman"/>
          <w:sz w:val="24"/>
        </w:rPr>
        <w:t xml:space="preserve">uzavřená </w:t>
      </w:r>
      <w:r w:rsidR="0060131D" w:rsidRPr="004D1453">
        <w:rPr>
          <w:rFonts w:ascii="Times New Roman" w:hAnsi="Times New Roman"/>
          <w:sz w:val="24"/>
        </w:rPr>
        <w:t xml:space="preserve">v souladu s ustanovením § </w:t>
      </w:r>
      <w:r w:rsidRPr="004D1453">
        <w:rPr>
          <w:rFonts w:ascii="Times New Roman" w:hAnsi="Times New Roman"/>
          <w:sz w:val="24"/>
        </w:rPr>
        <w:t>1746 odst. 2</w:t>
      </w:r>
      <w:r w:rsidR="0060131D" w:rsidRPr="004D1453">
        <w:rPr>
          <w:rFonts w:ascii="Times New Roman" w:hAnsi="Times New Roman"/>
          <w:sz w:val="24"/>
        </w:rPr>
        <w:t xml:space="preserve">. zákona č. </w:t>
      </w:r>
      <w:r w:rsidRPr="004D1453">
        <w:rPr>
          <w:rFonts w:ascii="Times New Roman" w:hAnsi="Times New Roman"/>
          <w:sz w:val="24"/>
        </w:rPr>
        <w:t xml:space="preserve">89/2012 </w:t>
      </w:r>
      <w:r w:rsidR="0060131D" w:rsidRPr="004D1453">
        <w:rPr>
          <w:rFonts w:ascii="Times New Roman" w:hAnsi="Times New Roman"/>
          <w:sz w:val="24"/>
        </w:rPr>
        <w:t xml:space="preserve">Sb., </w:t>
      </w:r>
    </w:p>
    <w:p w:rsidR="0060131D" w:rsidRDefault="0060131D" w:rsidP="0060131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4D1453">
        <w:rPr>
          <w:rFonts w:ascii="Times New Roman" w:hAnsi="Times New Roman"/>
          <w:sz w:val="24"/>
        </w:rPr>
        <w:t>občanský zákoník, v platném znění</w:t>
      </w:r>
    </w:p>
    <w:p w:rsidR="0060131D" w:rsidRDefault="0060131D" w:rsidP="0060131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0131D" w:rsidRDefault="0060131D" w:rsidP="0060131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0131D" w:rsidRDefault="0060131D" w:rsidP="0060131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Níže uvedeného dne, měsíce a roku uzavřeli</w:t>
      </w:r>
      <w:r>
        <w:rPr>
          <w:rFonts w:ascii="Times New Roman" w:hAnsi="Times New Roman"/>
          <w:sz w:val="24"/>
        </w:rPr>
        <w:t>:</w:t>
      </w:r>
    </w:p>
    <w:p w:rsidR="0060131D" w:rsidRDefault="0060131D" w:rsidP="0060131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0131D" w:rsidRPr="00F91305" w:rsidRDefault="0060131D" w:rsidP="0060131D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F91305">
        <w:rPr>
          <w:rFonts w:ascii="Times New Roman" w:hAnsi="Times New Roman"/>
          <w:b/>
          <w:color w:val="000000"/>
          <w:sz w:val="24"/>
        </w:rPr>
        <w:t>OKD, a.s.</w:t>
      </w:r>
    </w:p>
    <w:p w:rsidR="0060131D" w:rsidRPr="00F40921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 sídlem Stonavská 2179, Doly, 735 06 Karviná</w:t>
      </w:r>
    </w:p>
    <w:p w:rsidR="0060131D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IČ: 26863154, DIČ: CZ 26863154</w:t>
      </w:r>
    </w:p>
    <w:p w:rsidR="0060131D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zapsan</w:t>
      </w:r>
      <w:r w:rsidR="00636D2B">
        <w:rPr>
          <w:rFonts w:ascii="Times New Roman" w:hAnsi="Times New Roman"/>
          <w:color w:val="000000"/>
          <w:sz w:val="24"/>
        </w:rPr>
        <w:t>á</w:t>
      </w:r>
      <w:r>
        <w:rPr>
          <w:rFonts w:ascii="Times New Roman" w:hAnsi="Times New Roman"/>
          <w:color w:val="000000"/>
          <w:sz w:val="24"/>
        </w:rPr>
        <w:t xml:space="preserve"> v obchodním rejstříku vedeném Krajským soudem v Ostravě, oddíl C, vložka 2900</w:t>
      </w:r>
    </w:p>
    <w:p w:rsidR="0060131D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zastoupena Ing. Radkou Naňákovou,</w:t>
      </w:r>
      <w:r w:rsidR="008D00E9">
        <w:rPr>
          <w:rFonts w:ascii="Times New Roman" w:hAnsi="Times New Roman"/>
          <w:color w:val="000000"/>
          <w:sz w:val="24"/>
        </w:rPr>
        <w:t xml:space="preserve"> MBA, </w:t>
      </w:r>
      <w:r>
        <w:rPr>
          <w:rFonts w:ascii="Times New Roman" w:hAnsi="Times New Roman"/>
          <w:color w:val="000000"/>
          <w:sz w:val="24"/>
        </w:rPr>
        <w:t xml:space="preserve"> pověřenou řízením útvaru personálního ředitele</w:t>
      </w:r>
      <w:r w:rsidR="000317B0">
        <w:rPr>
          <w:rFonts w:ascii="Times New Roman" w:hAnsi="Times New Roman"/>
          <w:color w:val="000000"/>
          <w:sz w:val="24"/>
        </w:rPr>
        <w:t>, na základě plné moci ze dne 9</w:t>
      </w:r>
      <w:r>
        <w:rPr>
          <w:rFonts w:ascii="Times New Roman" w:hAnsi="Times New Roman"/>
          <w:color w:val="000000"/>
          <w:sz w:val="24"/>
        </w:rPr>
        <w:t>.</w:t>
      </w:r>
      <w:r w:rsidR="000317B0"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2.2016</w:t>
      </w:r>
    </w:p>
    <w:p w:rsidR="00AE7BF7" w:rsidRDefault="0060131D" w:rsidP="00AE7BF7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garant smlouvy:  </w:t>
      </w:r>
      <w:r w:rsidR="00AE7BF7">
        <w:rPr>
          <w:rFonts w:ascii="Times New Roman" w:hAnsi="Times New Roman"/>
          <w:color w:val="000000"/>
          <w:sz w:val="24"/>
        </w:rPr>
        <w:t>Mgr. Radomír Štix, pověřený řízením Centra personálních služeb</w:t>
      </w:r>
      <w:r w:rsidR="000317B0">
        <w:rPr>
          <w:rFonts w:ascii="Times New Roman" w:hAnsi="Times New Roman"/>
          <w:color w:val="000000"/>
          <w:sz w:val="24"/>
        </w:rPr>
        <w:t>, na základě plné moci ze dne 9</w:t>
      </w:r>
      <w:r w:rsidR="00AE7BF7">
        <w:rPr>
          <w:rFonts w:ascii="Times New Roman" w:hAnsi="Times New Roman"/>
          <w:color w:val="000000"/>
          <w:sz w:val="24"/>
        </w:rPr>
        <w:t>.</w:t>
      </w:r>
      <w:r w:rsidR="000317B0">
        <w:rPr>
          <w:rFonts w:ascii="Times New Roman" w:hAnsi="Times New Roman"/>
          <w:color w:val="000000"/>
          <w:sz w:val="24"/>
        </w:rPr>
        <w:t>1</w:t>
      </w:r>
      <w:r w:rsidR="00AE7BF7">
        <w:rPr>
          <w:rFonts w:ascii="Times New Roman" w:hAnsi="Times New Roman"/>
          <w:color w:val="000000"/>
          <w:sz w:val="24"/>
        </w:rPr>
        <w:t>2.2016</w:t>
      </w:r>
    </w:p>
    <w:p w:rsidR="0060131D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60131D" w:rsidRDefault="0060131D" w:rsidP="0060131D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 w:rsidDel="00B4124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(dále jen „OKD“)</w:t>
      </w:r>
    </w:p>
    <w:p w:rsidR="0060131D" w:rsidRDefault="0060131D" w:rsidP="0060131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0131D" w:rsidRDefault="0060131D" w:rsidP="0060131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60131D" w:rsidRDefault="0060131D" w:rsidP="0060131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0131D" w:rsidRPr="009B6D17" w:rsidRDefault="009B6D17" w:rsidP="0060131D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</w:rPr>
      </w:pPr>
      <w:r>
        <w:rPr>
          <w:rFonts w:ascii="Times New Roman" w:hAnsi="Times New Roman"/>
          <w:b/>
          <w:iCs/>
          <w:color w:val="000000"/>
          <w:sz w:val="24"/>
        </w:rPr>
        <w:t>Česká pošta, s.</w:t>
      </w:r>
      <w:r w:rsidRPr="009B6D17">
        <w:rPr>
          <w:rFonts w:ascii="Times New Roman" w:hAnsi="Times New Roman"/>
          <w:b/>
          <w:iCs/>
          <w:color w:val="000000"/>
          <w:sz w:val="24"/>
        </w:rPr>
        <w:t>p.</w:t>
      </w:r>
    </w:p>
    <w:p w:rsidR="0060131D" w:rsidRPr="009B6D17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9B6D17">
        <w:rPr>
          <w:rFonts w:ascii="Times New Roman" w:hAnsi="Times New Roman"/>
          <w:color w:val="000000"/>
          <w:sz w:val="24"/>
        </w:rPr>
        <w:t xml:space="preserve">IČ: </w:t>
      </w:r>
      <w:r w:rsidR="009B6D17" w:rsidRPr="009B6D17">
        <w:rPr>
          <w:rFonts w:ascii="Times New Roman" w:hAnsi="Times New Roman"/>
          <w:color w:val="000000"/>
          <w:sz w:val="24"/>
        </w:rPr>
        <w:t>47114983</w:t>
      </w:r>
    </w:p>
    <w:p w:rsidR="0060131D" w:rsidRPr="009B6D17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9B6D17">
        <w:rPr>
          <w:rFonts w:ascii="Times New Roman" w:hAnsi="Times New Roman"/>
          <w:color w:val="000000"/>
          <w:sz w:val="24"/>
        </w:rPr>
        <w:t xml:space="preserve">se sídlem </w:t>
      </w:r>
      <w:r w:rsidR="009B6D17" w:rsidRPr="009B6D17">
        <w:rPr>
          <w:rFonts w:ascii="Times New Roman" w:hAnsi="Times New Roman"/>
          <w:color w:val="000000"/>
          <w:sz w:val="24"/>
        </w:rPr>
        <w:t>Praha 1, Politických vězňů 909/4, 225 99</w:t>
      </w:r>
    </w:p>
    <w:p w:rsidR="0060131D" w:rsidRPr="009B6D17" w:rsidRDefault="0060131D" w:rsidP="0060131D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9B6D17">
        <w:rPr>
          <w:rFonts w:ascii="Times New Roman" w:hAnsi="Times New Roman"/>
          <w:color w:val="000000"/>
          <w:sz w:val="24"/>
        </w:rPr>
        <w:t xml:space="preserve">zastoupena </w:t>
      </w:r>
      <w:r w:rsidR="009B6D17" w:rsidRPr="009B6D17">
        <w:rPr>
          <w:rFonts w:ascii="Times New Roman" w:hAnsi="Times New Roman"/>
          <w:color w:val="000000"/>
          <w:sz w:val="24"/>
        </w:rPr>
        <w:t>Mgr. Zdeněk Salcman, ředitel sekce rozvoj lidských zdrojů</w:t>
      </w:r>
      <w:r w:rsidRPr="009B6D17">
        <w:rPr>
          <w:rFonts w:ascii="Times New Roman" w:hAnsi="Times New Roman"/>
          <w:color w:val="000000"/>
          <w:sz w:val="24"/>
        </w:rPr>
        <w:t>.</w:t>
      </w:r>
    </w:p>
    <w:p w:rsidR="0060131D" w:rsidRDefault="0060131D" w:rsidP="0060131D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 w:rsidRPr="009B6D17">
        <w:rPr>
          <w:rFonts w:ascii="Times New Roman" w:hAnsi="Times New Roman"/>
          <w:b/>
          <w:sz w:val="24"/>
        </w:rPr>
        <w:t>(dále jen „spolupracující firma</w:t>
      </w:r>
      <w:r w:rsidR="00D3363E" w:rsidRPr="009B6D17">
        <w:rPr>
          <w:rFonts w:ascii="Times New Roman" w:hAnsi="Times New Roman"/>
          <w:b/>
          <w:sz w:val="24"/>
        </w:rPr>
        <w:t>“</w:t>
      </w:r>
      <w:r w:rsidRPr="009B6D17">
        <w:rPr>
          <w:rFonts w:ascii="Times New Roman" w:hAnsi="Times New Roman"/>
          <w:b/>
          <w:sz w:val="24"/>
        </w:rPr>
        <w:t>)</w:t>
      </w:r>
    </w:p>
    <w:p w:rsidR="0060131D" w:rsidRDefault="0060131D" w:rsidP="0060131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0131D" w:rsidRDefault="0060131D" w:rsidP="0060131D">
      <w:pPr>
        <w:pStyle w:val="Zkladntext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na základě vzájemné dohody tuto</w:t>
      </w:r>
    </w:p>
    <w:p w:rsidR="00F52009" w:rsidRDefault="00F52009" w:rsidP="0060131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0131D" w:rsidRDefault="0060131D" w:rsidP="0060131D">
      <w:pPr>
        <w:widowControl w:val="0"/>
        <w:spacing w:after="0" w:line="240" w:lineRule="auto"/>
        <w:ind w:left="3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smlouvu o spolupráci</w:t>
      </w:r>
    </w:p>
    <w:p w:rsidR="00B51FB4" w:rsidRDefault="00B51FB4" w:rsidP="0060131D">
      <w:pPr>
        <w:pStyle w:val="Normlnweb1"/>
        <w:spacing w:before="0" w:after="0"/>
        <w:jc w:val="center"/>
        <w:rPr>
          <w:b/>
          <w:bCs/>
        </w:rPr>
      </w:pPr>
    </w:p>
    <w:p w:rsidR="00FA4013" w:rsidRDefault="00FA4013" w:rsidP="0060131D">
      <w:pPr>
        <w:pStyle w:val="Normlnweb1"/>
        <w:spacing w:before="0" w:after="0"/>
        <w:jc w:val="center"/>
        <w:rPr>
          <w:b/>
          <w:bCs/>
        </w:rPr>
      </w:pPr>
    </w:p>
    <w:p w:rsidR="0060131D" w:rsidRDefault="0060131D" w:rsidP="0060131D">
      <w:pPr>
        <w:pStyle w:val="Normlnweb1"/>
        <w:spacing w:before="0" w:after="0"/>
        <w:jc w:val="center"/>
        <w:rPr>
          <w:b/>
          <w:bCs/>
        </w:rPr>
      </w:pPr>
      <w:r>
        <w:rPr>
          <w:b/>
          <w:bCs/>
        </w:rPr>
        <w:t>Článek I.</w:t>
      </w:r>
    </w:p>
    <w:p w:rsidR="0060131D" w:rsidRDefault="0060131D" w:rsidP="0060131D">
      <w:pPr>
        <w:pStyle w:val="Normlnweb1"/>
        <w:spacing w:before="0" w:after="0"/>
        <w:jc w:val="center"/>
      </w:pPr>
      <w:r>
        <w:rPr>
          <w:b/>
          <w:bCs/>
        </w:rPr>
        <w:t>Základní pojmy</w:t>
      </w:r>
    </w:p>
    <w:p w:rsidR="0060131D" w:rsidRPr="00E6581E" w:rsidRDefault="0060131D" w:rsidP="0060131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6581E">
        <w:rPr>
          <w:rFonts w:ascii="Times New Roman" w:hAnsi="Times New Roman"/>
          <w:sz w:val="24"/>
        </w:rPr>
        <w:t>Nová Šichta (dále jen NŠ) je nástrojem outplacementu společnosti OKD. NŠ podává pomocnou ruku zaměstnancům odcházejícím z OKD (tj. svým klientům). Jejím cílem je rozvinout schopnosti a dovednosti klientů pro dosažení nového pracovního u</w:t>
      </w:r>
      <w:r>
        <w:rPr>
          <w:rFonts w:ascii="Times New Roman" w:hAnsi="Times New Roman"/>
          <w:sz w:val="24"/>
        </w:rPr>
        <w:t>platnění</w:t>
      </w:r>
      <w:r w:rsidRPr="00E6581E">
        <w:rPr>
          <w:rFonts w:ascii="Times New Roman" w:hAnsi="Times New Roman"/>
          <w:sz w:val="24"/>
        </w:rPr>
        <w:t>.</w:t>
      </w:r>
    </w:p>
    <w:p w:rsidR="0060131D" w:rsidRPr="00E6581E" w:rsidRDefault="0060131D" w:rsidP="0060131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6581E">
        <w:rPr>
          <w:rFonts w:ascii="Times New Roman" w:hAnsi="Times New Roman"/>
          <w:sz w:val="24"/>
        </w:rPr>
        <w:t xml:space="preserve">Služby poskytované konzultanty NŠ jsou: </w:t>
      </w:r>
    </w:p>
    <w:p w:rsidR="0060131D" w:rsidRDefault="0060131D" w:rsidP="0060131D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C5F1C">
        <w:rPr>
          <w:rFonts w:ascii="Times New Roman" w:hAnsi="Times New Roman"/>
          <w:sz w:val="24"/>
        </w:rPr>
        <w:t xml:space="preserve">Poradenství </w:t>
      </w:r>
    </w:p>
    <w:p w:rsidR="0060131D" w:rsidRDefault="0060131D" w:rsidP="0060131D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C5F1C">
        <w:rPr>
          <w:rFonts w:ascii="Times New Roman" w:hAnsi="Times New Roman"/>
          <w:sz w:val="24"/>
        </w:rPr>
        <w:t>Přímá pomoc s hledáním práce</w:t>
      </w:r>
    </w:p>
    <w:p w:rsidR="0060131D" w:rsidRPr="006C5F1C" w:rsidRDefault="0060131D" w:rsidP="0060131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C5F1C">
        <w:rPr>
          <w:rFonts w:ascii="Times New Roman" w:hAnsi="Times New Roman"/>
          <w:sz w:val="24"/>
        </w:rPr>
        <w:t xml:space="preserve">Přímá pomoc s hledáním práce představuje </w:t>
      </w:r>
      <w:r w:rsidRPr="00C64F0C">
        <w:rPr>
          <w:rFonts w:ascii="Times New Roman" w:hAnsi="Times New Roman"/>
          <w:sz w:val="24"/>
        </w:rPr>
        <w:t>služby poskytované konzultanty NŠ v rámci vyhledávání vhodných pracovních pozic pro klienty NŠ.</w:t>
      </w:r>
    </w:p>
    <w:p w:rsidR="00B91CEA" w:rsidRDefault="00C34123" w:rsidP="00FE7E4C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34123">
        <w:rPr>
          <w:rFonts w:ascii="Times New Roman" w:hAnsi="Times New Roman"/>
          <w:sz w:val="24"/>
        </w:rPr>
        <w:t>Klienty se rozumí bývalí zaměstnanci OKD</w:t>
      </w:r>
      <w:r w:rsidR="00FA4013">
        <w:rPr>
          <w:rFonts w:ascii="Times New Roman" w:hAnsi="Times New Roman"/>
          <w:sz w:val="24"/>
        </w:rPr>
        <w:t>,</w:t>
      </w:r>
      <w:r w:rsidRPr="00C34123">
        <w:rPr>
          <w:rFonts w:ascii="Times New Roman" w:hAnsi="Times New Roman"/>
          <w:sz w:val="24"/>
        </w:rPr>
        <w:t xml:space="preserve"> </w:t>
      </w:r>
      <w:r w:rsidR="006A1322">
        <w:rPr>
          <w:rFonts w:ascii="Times New Roman" w:hAnsi="Times New Roman"/>
          <w:sz w:val="24"/>
        </w:rPr>
        <w:t>aktivně registrovaní v programu NŠ.</w:t>
      </w:r>
      <w:r w:rsidR="00FE7E4C">
        <w:rPr>
          <w:rFonts w:ascii="Times New Roman" w:hAnsi="Times New Roman"/>
          <w:sz w:val="24"/>
        </w:rPr>
        <w:t xml:space="preserve"> </w:t>
      </w:r>
      <w:r w:rsidRPr="00C34123">
        <w:rPr>
          <w:rFonts w:ascii="Times New Roman" w:hAnsi="Times New Roman"/>
          <w:sz w:val="24"/>
        </w:rPr>
        <w:t xml:space="preserve">Klientem nemůže být zaměstnanec dodavatelské ani spolupracující firmy s OKD, ani rodinný příslušník zaměstnance OKD. </w:t>
      </w:r>
    </w:p>
    <w:p w:rsidR="00B51FB4" w:rsidRDefault="00B51FB4" w:rsidP="0060131D">
      <w:pPr>
        <w:pStyle w:val="Normlnweb1"/>
        <w:spacing w:before="170" w:after="0"/>
        <w:jc w:val="center"/>
        <w:rPr>
          <w:b/>
          <w:bCs/>
        </w:rPr>
      </w:pPr>
    </w:p>
    <w:p w:rsidR="0060131D" w:rsidRPr="00AE7BF7" w:rsidRDefault="0060131D" w:rsidP="0060131D">
      <w:pPr>
        <w:pStyle w:val="Normlnweb1"/>
        <w:spacing w:before="170" w:after="0"/>
        <w:jc w:val="center"/>
        <w:rPr>
          <w:b/>
          <w:bCs/>
        </w:rPr>
      </w:pPr>
      <w:r w:rsidRPr="00AE7BF7">
        <w:rPr>
          <w:b/>
          <w:bCs/>
        </w:rPr>
        <w:t>Článek II.</w:t>
      </w:r>
    </w:p>
    <w:p w:rsidR="0060131D" w:rsidRPr="00AE7BF7" w:rsidRDefault="00A00DC3" w:rsidP="0060131D">
      <w:pPr>
        <w:pStyle w:val="Normlnweb1"/>
        <w:spacing w:before="0" w:after="0"/>
        <w:jc w:val="center"/>
      </w:pPr>
      <w:r>
        <w:rPr>
          <w:b/>
          <w:bCs/>
        </w:rPr>
        <w:t>Předmět a účel smlouvy</w:t>
      </w:r>
    </w:p>
    <w:p w:rsidR="0060131D" w:rsidRPr="00AE7BF7" w:rsidRDefault="00A00DC3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smlouvy je spolupráce smluvních stran na zajištění vhodných pracovních nabídek klientům NŠ. </w:t>
      </w:r>
    </w:p>
    <w:p w:rsidR="0060131D" w:rsidRPr="00AE7BF7" w:rsidRDefault="00A00DC3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Účelem smlouvy je zajistit klientům příležitosti k nalézání nové práce a spolupracující firmě zajistit možnost výběru vhodného kandidáta na obsazení požadované pracovní pozice.</w:t>
      </w:r>
    </w:p>
    <w:p w:rsidR="0060131D" w:rsidRPr="00AE7BF7" w:rsidRDefault="00A00DC3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se dohodly, že spolupráce je dobrovolná a bezplatná, žádné ze smluvních stran nevzniká nárok na jakoukoliv odměnu. </w:t>
      </w:r>
    </w:p>
    <w:p w:rsidR="0060131D" w:rsidRDefault="00A00DC3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OKD jednají v rozsahu této smlouvy konzultanti NŠ, manažerka NŠ, manažer centra personálních služeb OKD nebo personální ředite</w:t>
      </w:r>
      <w:r w:rsidR="0060131D">
        <w:rPr>
          <w:rFonts w:ascii="Times New Roman" w:hAnsi="Times New Roman"/>
          <w:sz w:val="24"/>
        </w:rPr>
        <w:t>lka OKD.</w:t>
      </w:r>
    </w:p>
    <w:p w:rsidR="0060131D" w:rsidRDefault="0060131D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informace za  NŠ : Ing. Markéta Klopcová, manažerka NŠ, +420 725 756 827, marketa.klopcova@okd.cz.</w:t>
      </w:r>
    </w:p>
    <w:p w:rsidR="0060131D" w:rsidRPr="009B6D17" w:rsidRDefault="009B6D17" w:rsidP="006013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9B6D17">
        <w:rPr>
          <w:rFonts w:ascii="Times New Roman" w:hAnsi="Times New Roman"/>
          <w:sz w:val="24"/>
        </w:rPr>
        <w:t>Mgr. Pavla Knotková, vedoucí odboru programy rozvoje lidských zdrojů, +420 733 611 402, knotkova.pavla.3@cpost.cz</w:t>
      </w:r>
    </w:p>
    <w:p w:rsidR="00B51FB4" w:rsidRPr="00B91CEA" w:rsidRDefault="00B51FB4" w:rsidP="00B51FB4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highlight w:val="yellow"/>
        </w:rPr>
      </w:pPr>
    </w:p>
    <w:p w:rsidR="00B51FB4" w:rsidRDefault="00B51FB4" w:rsidP="00B51FB4">
      <w:pPr>
        <w:pStyle w:val="Normlnweb1"/>
        <w:spacing w:before="0" w:after="0"/>
        <w:rPr>
          <w:b/>
          <w:bCs/>
        </w:rPr>
      </w:pPr>
    </w:p>
    <w:p w:rsidR="0060131D" w:rsidRDefault="0060131D" w:rsidP="00B51FB4">
      <w:pPr>
        <w:pStyle w:val="Normlnweb1"/>
        <w:spacing w:before="0" w:after="0"/>
        <w:jc w:val="center"/>
        <w:rPr>
          <w:b/>
          <w:bCs/>
        </w:rPr>
      </w:pPr>
      <w:r>
        <w:rPr>
          <w:b/>
          <w:bCs/>
        </w:rPr>
        <w:t>Článek III.</w:t>
      </w:r>
    </w:p>
    <w:p w:rsidR="0060131D" w:rsidRDefault="0060131D" w:rsidP="00B51FB4">
      <w:pPr>
        <w:pStyle w:val="Normlnweb1"/>
        <w:spacing w:before="0" w:after="0"/>
        <w:jc w:val="center"/>
      </w:pPr>
      <w:r>
        <w:rPr>
          <w:b/>
          <w:bCs/>
        </w:rPr>
        <w:t>Práva a povinnosti smluvních stran</w:t>
      </w:r>
    </w:p>
    <w:p w:rsidR="0060131D" w:rsidRDefault="0060131D" w:rsidP="006013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32C9D">
        <w:rPr>
          <w:rFonts w:ascii="Times New Roman" w:hAnsi="Times New Roman"/>
          <w:sz w:val="24"/>
        </w:rPr>
        <w:t>OKD se zavazuje ke spolupráci se spolupracující firmou</w:t>
      </w:r>
      <w:r>
        <w:rPr>
          <w:rFonts w:ascii="Times New Roman" w:hAnsi="Times New Roman"/>
          <w:sz w:val="24"/>
        </w:rPr>
        <w:t xml:space="preserve"> v rámci NŠ</w:t>
      </w:r>
      <w:r w:rsidRPr="00C32C9D">
        <w:rPr>
          <w:rFonts w:ascii="Times New Roman" w:hAnsi="Times New Roman"/>
          <w:sz w:val="24"/>
        </w:rPr>
        <w:t>, zejména pak k poskytování veškerých potřebných informací o vhodných klientech za účelem obsazení volného pracovního místa ve spolupracující firmě.</w:t>
      </w:r>
      <w:r>
        <w:rPr>
          <w:rFonts w:ascii="Times New Roman" w:hAnsi="Times New Roman"/>
          <w:sz w:val="24"/>
        </w:rPr>
        <w:t xml:space="preserve"> Informace o klientech budou vkládány do aplikace </w:t>
      </w:r>
      <w:r w:rsidR="00173D49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urzy práce a v přípa</w:t>
      </w:r>
      <w:r w:rsidR="007377CB">
        <w:rPr>
          <w:rFonts w:ascii="Times New Roman" w:hAnsi="Times New Roman"/>
          <w:sz w:val="24"/>
        </w:rPr>
        <w:t>dě zájmu spolupracující firmy o </w:t>
      </w:r>
      <w:r w:rsidR="00C975AF">
        <w:rPr>
          <w:rFonts w:ascii="Times New Roman" w:hAnsi="Times New Roman"/>
          <w:sz w:val="24"/>
        </w:rPr>
        <w:t>konkrétního klienta</w:t>
      </w:r>
      <w:r w:rsidR="00636D2B">
        <w:rPr>
          <w:rFonts w:ascii="Times New Roman" w:hAnsi="Times New Roman"/>
          <w:sz w:val="24"/>
        </w:rPr>
        <w:t xml:space="preserve"> jí </w:t>
      </w:r>
      <w:r>
        <w:rPr>
          <w:rFonts w:ascii="Times New Roman" w:hAnsi="Times New Roman"/>
          <w:sz w:val="24"/>
        </w:rPr>
        <w:t xml:space="preserve">bude zasílán životopis klienta. </w:t>
      </w:r>
    </w:p>
    <w:p w:rsidR="00AE7BF7" w:rsidRDefault="00AE7BF7" w:rsidP="006013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OKD prohlašuje, že má s aktivně nabízenými klienty NŠ sjednán souhlas s poskytováním osobních údajů spolupracující firmě.</w:t>
      </w:r>
    </w:p>
    <w:p w:rsidR="0060131D" w:rsidRDefault="0060131D" w:rsidP="006013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Spolupracující firma se zavazuje ke spolupráci s OKD v rámci NŠ, zejména pak vkládat do aplikace </w:t>
      </w:r>
      <w:r w:rsidR="00173D49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urzy práce aktuální vhodné pracovní pozice a </w:t>
      </w:r>
      <w:r w:rsidR="00C975AF">
        <w:rPr>
          <w:rFonts w:ascii="Times New Roman" w:hAnsi="Times New Roman"/>
          <w:sz w:val="24"/>
        </w:rPr>
        <w:t>pravidelně aktualizovat údaje u </w:t>
      </w:r>
      <w:r>
        <w:rPr>
          <w:rFonts w:ascii="Times New Roman" w:hAnsi="Times New Roman"/>
          <w:sz w:val="24"/>
        </w:rPr>
        <w:t xml:space="preserve">nabízených pracovních pozic. V případě, kdy spolupracující firma projeví zájem o klienta, následně s klientem podepíše pracovní smlouvu a klient nastoupí na základě této smlouvy do práce, je spolupracující firma o všech těchto skutečnostech povinna informovat e-mailem konzultanta NŠ. </w:t>
      </w:r>
    </w:p>
    <w:p w:rsidR="0060131D" w:rsidRDefault="0060131D" w:rsidP="006013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Spolupracující firma se zavazuje poskytovat OKD změny (telefonicky, e-mailem, prostřednictvím </w:t>
      </w:r>
      <w:r w:rsidR="00274313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urzy práce) v personálním obsazení jednajících osob v rozsahu této smlouvy, včetně kontaktních údajů (telefon, e-mail).</w:t>
      </w:r>
    </w:p>
    <w:p w:rsidR="0060131D" w:rsidRPr="00C32C9D" w:rsidRDefault="0060131D" w:rsidP="006013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Spolupracující firma se zavazuje k mlčenlivosti o všech skutečnostech a údajích získaných od NŠ o klientovi</w:t>
      </w:r>
      <w:r w:rsidR="006A1322">
        <w:rPr>
          <w:rFonts w:ascii="Times New Roman" w:hAnsi="Times New Roman"/>
          <w:sz w:val="24"/>
        </w:rPr>
        <w:t>, a to ve vztahu k</w:t>
      </w:r>
      <w:r w:rsidR="00AE7BF7">
        <w:rPr>
          <w:rFonts w:ascii="Times New Roman" w:hAnsi="Times New Roman"/>
          <w:sz w:val="24"/>
        </w:rPr>
        <w:t> ostatním třetím s</w:t>
      </w:r>
      <w:r w:rsidR="006A1322">
        <w:rPr>
          <w:rFonts w:ascii="Times New Roman" w:hAnsi="Times New Roman"/>
          <w:sz w:val="24"/>
        </w:rPr>
        <w:t>ubjektů</w:t>
      </w:r>
      <w:r w:rsidR="00AE7BF7"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z w:val="24"/>
        </w:rPr>
        <w:t xml:space="preserve"> </w:t>
      </w:r>
    </w:p>
    <w:p w:rsidR="0060131D" w:rsidRDefault="0060131D" w:rsidP="0060131D">
      <w:pPr>
        <w:tabs>
          <w:tab w:val="left" w:pos="1440"/>
        </w:tabs>
        <w:ind w:left="720"/>
        <w:rPr>
          <w:rFonts w:ascii="Times New Roman" w:hAnsi="Times New Roman"/>
          <w:sz w:val="24"/>
        </w:rPr>
      </w:pPr>
    </w:p>
    <w:p w:rsidR="00B51FB4" w:rsidRDefault="00B51FB4" w:rsidP="0060131D">
      <w:pPr>
        <w:tabs>
          <w:tab w:val="left" w:pos="1440"/>
        </w:tabs>
        <w:ind w:left="720"/>
        <w:rPr>
          <w:rFonts w:ascii="Times New Roman" w:hAnsi="Times New Roman"/>
          <w:sz w:val="24"/>
        </w:rPr>
      </w:pPr>
    </w:p>
    <w:p w:rsidR="0060131D" w:rsidRDefault="0060131D" w:rsidP="00B51FB4">
      <w:pPr>
        <w:pStyle w:val="Normlnweb1"/>
        <w:spacing w:before="0" w:after="0"/>
        <w:jc w:val="center"/>
        <w:rPr>
          <w:b/>
          <w:bCs/>
        </w:rPr>
      </w:pPr>
      <w:r>
        <w:rPr>
          <w:b/>
          <w:bCs/>
        </w:rPr>
        <w:t>Článek IV.</w:t>
      </w:r>
    </w:p>
    <w:p w:rsidR="0060131D" w:rsidRDefault="00B51FB4" w:rsidP="00B51FB4">
      <w:pPr>
        <w:pStyle w:val="Normlnweb1"/>
        <w:spacing w:before="0" w:after="0"/>
        <w:jc w:val="center"/>
        <w:rPr>
          <w:b/>
          <w:bCs/>
        </w:rPr>
      </w:pPr>
      <w:r>
        <w:rPr>
          <w:b/>
          <w:bCs/>
        </w:rPr>
        <w:t>B</w:t>
      </w:r>
      <w:r w:rsidR="004D1453" w:rsidRPr="004D1453">
        <w:rPr>
          <w:b/>
          <w:bCs/>
        </w:rPr>
        <w:t>urza práce - Nová šichta OKD</w:t>
      </w:r>
    </w:p>
    <w:p w:rsidR="005E3F7F" w:rsidRPr="00F52009" w:rsidRDefault="00636D2B" w:rsidP="00636D2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Spolupracující</w:t>
      </w:r>
      <w:r w:rsidR="005E3F7F" w:rsidRPr="00F52009">
        <w:rPr>
          <w:rFonts w:ascii="Times New Roman" w:hAnsi="Times New Roman" w:cs="Times New Roman"/>
          <w:sz w:val="24"/>
        </w:rPr>
        <w:t xml:space="preserve"> firm</w:t>
      </w:r>
      <w:r>
        <w:rPr>
          <w:rFonts w:ascii="Times New Roman" w:hAnsi="Times New Roman" w:cs="Times New Roman"/>
          <w:sz w:val="24"/>
        </w:rPr>
        <w:t>a</w:t>
      </w:r>
      <w:r w:rsidR="005E3F7F" w:rsidRPr="00F52009">
        <w:rPr>
          <w:rFonts w:ascii="Times New Roman" w:hAnsi="Times New Roman" w:cs="Times New Roman"/>
          <w:sz w:val="24"/>
        </w:rPr>
        <w:t xml:space="preserve"> obdrží na základě podepsané Smlouvy o spolupráci s NŠ přístupové oprávnění do aplikace </w:t>
      </w:r>
      <w:r w:rsidR="00173D49">
        <w:rPr>
          <w:rFonts w:ascii="Times New Roman" w:hAnsi="Times New Roman" w:cs="Times New Roman"/>
          <w:sz w:val="24"/>
        </w:rPr>
        <w:t>B</w:t>
      </w:r>
      <w:r w:rsidR="005E3F7F" w:rsidRPr="00F52009">
        <w:rPr>
          <w:rFonts w:ascii="Times New Roman" w:hAnsi="Times New Roman" w:cs="Times New Roman"/>
          <w:sz w:val="24"/>
        </w:rPr>
        <w:t>urzy práce. Po prvním přihlášení m</w:t>
      </w:r>
      <w:r>
        <w:rPr>
          <w:rFonts w:ascii="Times New Roman" w:hAnsi="Times New Roman" w:cs="Times New Roman"/>
          <w:sz w:val="24"/>
        </w:rPr>
        <w:t>á spolupracující firma</w:t>
      </w:r>
      <w:r w:rsidR="00B51FB4">
        <w:rPr>
          <w:rFonts w:ascii="Times New Roman" w:hAnsi="Times New Roman" w:cs="Times New Roman"/>
          <w:sz w:val="24"/>
        </w:rPr>
        <w:t xml:space="preserve"> </w:t>
      </w:r>
      <w:r w:rsidR="005E3F7F" w:rsidRPr="00F52009">
        <w:rPr>
          <w:rFonts w:ascii="Times New Roman" w:hAnsi="Times New Roman" w:cs="Times New Roman"/>
          <w:sz w:val="24"/>
        </w:rPr>
        <w:t>možnost změny svého hesla. Na základě přístupových oprávnění vloží</w:t>
      </w:r>
      <w:r w:rsidR="00B51F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spolupracující firma</w:t>
      </w:r>
      <w:r w:rsidR="005E3F7F" w:rsidRPr="00F52009">
        <w:rPr>
          <w:rFonts w:ascii="Times New Roman" w:hAnsi="Times New Roman" w:cs="Times New Roman"/>
          <w:sz w:val="24"/>
        </w:rPr>
        <w:t xml:space="preserve"> vyplněním formuláře do aplikace požadavky na hledanou pracovní pozici (pozice) a</w:t>
      </w:r>
      <w:r w:rsidR="00C2629E">
        <w:rPr>
          <w:rFonts w:ascii="Times New Roman" w:hAnsi="Times New Roman" w:cs="Times New Roman"/>
          <w:sz w:val="24"/>
        </w:rPr>
        <w:t> </w:t>
      </w:r>
      <w:r w:rsidR="005E3F7F" w:rsidRPr="00F52009">
        <w:rPr>
          <w:rFonts w:ascii="Times New Roman" w:hAnsi="Times New Roman" w:cs="Times New Roman"/>
          <w:sz w:val="24"/>
        </w:rPr>
        <w:t>vyhledáv</w:t>
      </w:r>
      <w:r>
        <w:rPr>
          <w:rFonts w:ascii="Times New Roman" w:hAnsi="Times New Roman" w:cs="Times New Roman"/>
          <w:sz w:val="24"/>
        </w:rPr>
        <w:t xml:space="preserve">á z této aplikace </w:t>
      </w:r>
      <w:r w:rsidR="005E3F7F" w:rsidRPr="00F52009">
        <w:rPr>
          <w:rFonts w:ascii="Times New Roman" w:hAnsi="Times New Roman" w:cs="Times New Roman"/>
          <w:sz w:val="24"/>
        </w:rPr>
        <w:t xml:space="preserve">vhodné kandidáty na její obsazení.  V případě, </w:t>
      </w:r>
      <w:r w:rsidR="00DE7F0B" w:rsidRPr="00F52009">
        <w:rPr>
          <w:rFonts w:ascii="Times New Roman" w:hAnsi="Times New Roman" w:cs="Times New Roman"/>
          <w:sz w:val="24"/>
        </w:rPr>
        <w:t xml:space="preserve">kdy </w:t>
      </w:r>
      <w:r w:rsidR="00DE7F0B">
        <w:rPr>
          <w:rFonts w:ascii="Times New Roman" w:hAnsi="Times New Roman" w:cs="Times New Roman"/>
          <w:sz w:val="24"/>
        </w:rPr>
        <w:t>spolupracující</w:t>
      </w:r>
      <w:r>
        <w:rPr>
          <w:rFonts w:ascii="Times New Roman" w:hAnsi="Times New Roman" w:cs="Times New Roman"/>
          <w:sz w:val="24"/>
        </w:rPr>
        <w:t xml:space="preserve"> firma </w:t>
      </w:r>
      <w:r w:rsidR="005E3F7F" w:rsidRPr="00F52009">
        <w:rPr>
          <w:rFonts w:ascii="Times New Roman" w:hAnsi="Times New Roman" w:cs="Times New Roman"/>
          <w:sz w:val="24"/>
        </w:rPr>
        <w:t xml:space="preserve">projeví zájem o klienta, je předepsán následující postup: </w:t>
      </w:r>
    </w:p>
    <w:p w:rsidR="00B91CEA" w:rsidRDefault="00636D2B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Spolupracující firma </w:t>
      </w:r>
      <w:r w:rsidR="005E3F7F" w:rsidRPr="00F52009">
        <w:rPr>
          <w:rFonts w:ascii="Times New Roman" w:hAnsi="Times New Roman" w:cs="Times New Roman"/>
          <w:sz w:val="24"/>
          <w:szCs w:val="24"/>
        </w:rPr>
        <w:t xml:space="preserve">informuje prostřednictvím aplikace </w:t>
      </w:r>
      <w:r w:rsidR="00173D49">
        <w:rPr>
          <w:rFonts w:ascii="Times New Roman" w:hAnsi="Times New Roman" w:cs="Times New Roman"/>
          <w:sz w:val="24"/>
          <w:szCs w:val="24"/>
        </w:rPr>
        <w:t>B</w:t>
      </w:r>
      <w:r w:rsidR="005E3F7F" w:rsidRPr="00F52009">
        <w:rPr>
          <w:rFonts w:ascii="Times New Roman" w:hAnsi="Times New Roman" w:cs="Times New Roman"/>
          <w:sz w:val="24"/>
          <w:szCs w:val="24"/>
        </w:rPr>
        <w:t>urzy práce konzultanta NŠ o</w:t>
      </w:r>
      <w:r w:rsidR="00C2629E">
        <w:rPr>
          <w:rFonts w:ascii="Times New Roman" w:hAnsi="Times New Roman" w:cs="Times New Roman"/>
          <w:sz w:val="24"/>
          <w:szCs w:val="24"/>
        </w:rPr>
        <w:t> </w:t>
      </w:r>
      <w:r w:rsidR="005E3F7F" w:rsidRPr="00F52009">
        <w:rPr>
          <w:rFonts w:ascii="Times New Roman" w:hAnsi="Times New Roman" w:cs="Times New Roman"/>
          <w:sz w:val="24"/>
          <w:szCs w:val="24"/>
        </w:rPr>
        <w:t xml:space="preserve">zájmu o konkrétního klienta.  Tato činnost je zajištěna </w:t>
      </w:r>
      <w:r w:rsidR="00B91CEA">
        <w:rPr>
          <w:rFonts w:ascii="Times New Roman" w:hAnsi="Times New Roman" w:cs="Times New Roman"/>
          <w:sz w:val="24"/>
          <w:szCs w:val="24"/>
        </w:rPr>
        <w:t xml:space="preserve">prostřednictvím funkce </w:t>
      </w:r>
      <w:r w:rsidR="00173D49">
        <w:rPr>
          <w:rFonts w:ascii="Times New Roman" w:hAnsi="Times New Roman" w:cs="Times New Roman"/>
          <w:sz w:val="24"/>
          <w:szCs w:val="24"/>
        </w:rPr>
        <w:t>p</w:t>
      </w:r>
      <w:r w:rsidR="00B91CEA">
        <w:rPr>
          <w:rFonts w:ascii="Times New Roman" w:hAnsi="Times New Roman" w:cs="Times New Roman"/>
          <w:sz w:val="24"/>
          <w:szCs w:val="24"/>
        </w:rPr>
        <w:t>rojevení zájmu</w:t>
      </w:r>
      <w:r w:rsidR="005E3F7F" w:rsidRPr="00F52009">
        <w:rPr>
          <w:rFonts w:ascii="Times New Roman" w:hAnsi="Times New Roman" w:cs="Times New Roman"/>
          <w:sz w:val="24"/>
          <w:szCs w:val="24"/>
        </w:rPr>
        <w:t>, kdy dojde k rezervaci daného klienta.</w:t>
      </w:r>
    </w:p>
    <w:p w:rsidR="00B91CEA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>Konzultant NŠ je povinen, zpravidla ráno každého pracovního dne, zajistit seznam takto rezervovaných klientů. U každého klienta musí být uvedeno jméno konzultanta NŠ, který zodpovídá za jeho řešení. V aplikaci je uvedena informace „v řešení“.</w:t>
      </w:r>
    </w:p>
    <w:p w:rsidR="00B91CEA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>Zodpovědný konzultant NŠ je dále povinen telefonicky informovat daného klienta o</w:t>
      </w:r>
      <w:r w:rsidR="00C2629E">
        <w:rPr>
          <w:rFonts w:ascii="Times New Roman" w:hAnsi="Times New Roman" w:cs="Times New Roman"/>
          <w:sz w:val="24"/>
          <w:szCs w:val="24"/>
        </w:rPr>
        <w:t> </w:t>
      </w:r>
      <w:r w:rsidRPr="00F52009">
        <w:rPr>
          <w:rFonts w:ascii="Times New Roman" w:hAnsi="Times New Roman" w:cs="Times New Roman"/>
          <w:sz w:val="24"/>
          <w:szCs w:val="24"/>
        </w:rPr>
        <w:t xml:space="preserve">zájmu </w:t>
      </w:r>
      <w:r w:rsidR="00636D2B">
        <w:rPr>
          <w:rFonts w:ascii="Times New Roman" w:hAnsi="Times New Roman" w:cs="Times New Roman"/>
          <w:sz w:val="24"/>
          <w:szCs w:val="24"/>
        </w:rPr>
        <w:t xml:space="preserve">spolupracující </w:t>
      </w:r>
      <w:r w:rsidRPr="00F52009">
        <w:rPr>
          <w:rFonts w:ascii="Times New Roman" w:hAnsi="Times New Roman" w:cs="Times New Roman"/>
          <w:sz w:val="24"/>
          <w:szCs w:val="24"/>
        </w:rPr>
        <w:t xml:space="preserve">firmy, seznámit ho s dalším postupem a dle dohody zaslat </w:t>
      </w:r>
      <w:r w:rsidRPr="00F52009">
        <w:rPr>
          <w:rFonts w:ascii="Times New Roman" w:hAnsi="Times New Roman" w:cs="Times New Roman"/>
          <w:sz w:val="24"/>
          <w:szCs w:val="24"/>
        </w:rPr>
        <w:lastRenderedPageBreak/>
        <w:t xml:space="preserve">nabídku práce na jeho email. Konzultant NŠ je zde povinen stanovit termín a způsob, jakým dá klient zpětnou vazbu. </w:t>
      </w:r>
    </w:p>
    <w:p w:rsidR="00B91CEA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 xml:space="preserve">Jakmile klient informuje o svém zájmu, konzultant NŠ obratem zašle CV daného klienta kontaktní osobě uvedené v nabídce volné pracovní pozice. </w:t>
      </w:r>
    </w:p>
    <w:p w:rsidR="00B91CEA" w:rsidRDefault="00636D2B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Spolupracující firma </w:t>
      </w:r>
      <w:r w:rsidR="005E3F7F" w:rsidRPr="00F52009">
        <w:rPr>
          <w:rFonts w:ascii="Times New Roman" w:hAnsi="Times New Roman" w:cs="Times New Roman"/>
          <w:sz w:val="24"/>
          <w:szCs w:val="24"/>
        </w:rPr>
        <w:t xml:space="preserve">je dále </w:t>
      </w:r>
      <w:r w:rsidR="00B51FB4" w:rsidRPr="00F52009">
        <w:rPr>
          <w:rFonts w:ascii="Times New Roman" w:hAnsi="Times New Roman" w:cs="Times New Roman"/>
          <w:sz w:val="24"/>
          <w:szCs w:val="24"/>
        </w:rPr>
        <w:t>povinna</w:t>
      </w:r>
      <w:r w:rsidR="005E3F7F" w:rsidRPr="00F52009">
        <w:rPr>
          <w:rFonts w:ascii="Times New Roman" w:hAnsi="Times New Roman" w:cs="Times New Roman"/>
          <w:sz w:val="24"/>
          <w:szCs w:val="24"/>
        </w:rPr>
        <w:t xml:space="preserve"> informovat, prostřednictvím emailu</w:t>
      </w:r>
      <w:r w:rsidR="004D1453">
        <w:rPr>
          <w:rFonts w:ascii="Times New Roman" w:hAnsi="Times New Roman" w:cs="Times New Roman"/>
          <w:sz w:val="24"/>
          <w:szCs w:val="24"/>
        </w:rPr>
        <w:t xml:space="preserve">, </w:t>
      </w:r>
      <w:r w:rsidR="00C34123" w:rsidRPr="00C34123">
        <w:rPr>
          <w:rFonts w:ascii="Times New Roman" w:hAnsi="Times New Roman" w:cs="Times New Roman"/>
          <w:sz w:val="24"/>
          <w:szCs w:val="24"/>
        </w:rPr>
        <w:t>či webové aplikace Burzy práce</w:t>
      </w:r>
      <w:r w:rsidR="005E3F7F" w:rsidRPr="00F52009">
        <w:rPr>
          <w:rFonts w:ascii="Times New Roman" w:hAnsi="Times New Roman" w:cs="Times New Roman"/>
          <w:sz w:val="24"/>
          <w:szCs w:val="24"/>
        </w:rPr>
        <w:t>, o výsledku svého jednání, zejména o potvrzení svého zájmu o</w:t>
      </w:r>
      <w:r w:rsidR="00C2629E">
        <w:rPr>
          <w:rFonts w:ascii="Times New Roman" w:hAnsi="Times New Roman" w:cs="Times New Roman"/>
          <w:sz w:val="24"/>
          <w:szCs w:val="24"/>
        </w:rPr>
        <w:t> </w:t>
      </w:r>
      <w:r w:rsidR="005E3F7F" w:rsidRPr="00F52009">
        <w:rPr>
          <w:rFonts w:ascii="Times New Roman" w:hAnsi="Times New Roman" w:cs="Times New Roman"/>
          <w:sz w:val="24"/>
          <w:szCs w:val="24"/>
        </w:rPr>
        <w:t>daného klienta, dohodě na termínu pohovoru a nástupu na danou pracovní pozici.</w:t>
      </w:r>
    </w:p>
    <w:p w:rsidR="00B91CEA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>Konzultant NŠ je dále povinen tohoto klienta vyřadit z aplikace z důvodu nalezení práce. V aplikaci je uvedena informace „ukončení rezervace“.</w:t>
      </w:r>
    </w:p>
    <w:p w:rsidR="00B91CEA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>V případě, že klient o danou pracovní pozici zájem nemá, je povinen konzultant NŠ, po zjištění této skutečnosti</w:t>
      </w:r>
      <w:r w:rsidR="004D1453">
        <w:rPr>
          <w:rFonts w:ascii="Times New Roman" w:hAnsi="Times New Roman" w:cs="Times New Roman"/>
          <w:sz w:val="24"/>
          <w:szCs w:val="24"/>
        </w:rPr>
        <w:t>, obratem informovat kontaktní osobu</w:t>
      </w:r>
      <w:r w:rsidR="00636D2B">
        <w:rPr>
          <w:rFonts w:ascii="Times New Roman" w:hAnsi="Times New Roman" w:cs="Times New Roman"/>
          <w:sz w:val="24"/>
          <w:szCs w:val="24"/>
        </w:rPr>
        <w:t xml:space="preserve"> spolupracující </w:t>
      </w:r>
      <w:r w:rsidRPr="00F52009">
        <w:rPr>
          <w:rFonts w:ascii="Times New Roman" w:hAnsi="Times New Roman" w:cs="Times New Roman"/>
          <w:sz w:val="24"/>
          <w:szCs w:val="24"/>
        </w:rPr>
        <w:t>firmy. Současně je uvedena informace „ukončení rezervace“.</w:t>
      </w:r>
    </w:p>
    <w:p w:rsidR="0060131D" w:rsidRDefault="005E3F7F" w:rsidP="00B51FB4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09">
        <w:rPr>
          <w:rFonts w:ascii="Times New Roman" w:hAnsi="Times New Roman" w:cs="Times New Roman"/>
          <w:sz w:val="24"/>
          <w:szCs w:val="24"/>
        </w:rPr>
        <w:t>O všech skutečnostech musí konzultant NŠ vést řádně veškeré záznamy.</w:t>
      </w:r>
    </w:p>
    <w:p w:rsidR="00B51FB4" w:rsidRDefault="00B51FB4" w:rsidP="00B51FB4">
      <w:pPr>
        <w:pStyle w:val="Normlnweb1"/>
        <w:spacing w:before="170" w:after="0"/>
        <w:rPr>
          <w:rFonts w:eastAsiaTheme="minorHAnsi"/>
          <w:lang w:eastAsia="en-US"/>
        </w:rPr>
      </w:pPr>
    </w:p>
    <w:p w:rsidR="0060131D" w:rsidRDefault="0060131D" w:rsidP="00B51FB4">
      <w:pPr>
        <w:pStyle w:val="Normlnweb1"/>
        <w:spacing w:before="170" w:after="0"/>
        <w:jc w:val="center"/>
        <w:rPr>
          <w:b/>
          <w:bCs/>
        </w:rPr>
      </w:pPr>
      <w:r>
        <w:rPr>
          <w:b/>
          <w:bCs/>
        </w:rPr>
        <w:t>Článek V.</w:t>
      </w:r>
    </w:p>
    <w:p w:rsidR="0060131D" w:rsidRDefault="0060131D" w:rsidP="00B51FB4">
      <w:pPr>
        <w:pStyle w:val="Normlnweb1"/>
        <w:spacing w:before="0" w:after="0"/>
        <w:jc w:val="center"/>
        <w:rPr>
          <w:b/>
          <w:bCs/>
        </w:rPr>
      </w:pPr>
      <w:r w:rsidRPr="00174D99">
        <w:rPr>
          <w:b/>
          <w:bCs/>
        </w:rPr>
        <w:t>Závěrečná ustanovení</w:t>
      </w:r>
    </w:p>
    <w:p w:rsidR="0060131D" w:rsidRDefault="0060131D" w:rsidP="0060131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Tato smlouva se uzavírá na dobu neurčitou. Platnost a účinnost této smlouvy je dána dnem podpisu smluvních stran.</w:t>
      </w:r>
    </w:p>
    <w:p w:rsidR="00B51FB4" w:rsidRDefault="0060131D" w:rsidP="0060131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B51FB4">
        <w:rPr>
          <w:rFonts w:ascii="Times New Roman" w:hAnsi="Times New Roman"/>
          <w:sz w:val="24"/>
        </w:rPr>
        <w:t xml:space="preserve">Smlouva může být ukončena vzájemnou dohodou smluvních stran, nebo písemným oznámením smluvní strany o ukončení smluvního </w:t>
      </w:r>
      <w:r w:rsidR="00B91CEA" w:rsidRPr="00B51FB4">
        <w:rPr>
          <w:rFonts w:ascii="Times New Roman" w:hAnsi="Times New Roman"/>
          <w:sz w:val="24"/>
        </w:rPr>
        <w:t>vztahu druhé smluvní straně. Za </w:t>
      </w:r>
      <w:r w:rsidRPr="00B51FB4">
        <w:rPr>
          <w:rFonts w:ascii="Times New Roman" w:hAnsi="Times New Roman"/>
          <w:sz w:val="24"/>
        </w:rPr>
        <w:t>písemné oznámení se považuje i forma emailové korespondence</w:t>
      </w:r>
      <w:r w:rsidR="00C975AF">
        <w:rPr>
          <w:rFonts w:ascii="Times New Roman" w:hAnsi="Times New Roman"/>
          <w:sz w:val="24"/>
        </w:rPr>
        <w:t>.</w:t>
      </w:r>
    </w:p>
    <w:p w:rsidR="0060131D" w:rsidRPr="00B51FB4" w:rsidRDefault="0060131D" w:rsidP="0060131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B51FB4">
        <w:rPr>
          <w:rFonts w:ascii="Times New Roman" w:hAnsi="Times New Roman"/>
          <w:sz w:val="24"/>
        </w:rPr>
        <w:t>Smluvní strany se zavazují řešit případné spory vzájemnou dohodou.</w:t>
      </w:r>
    </w:p>
    <w:p w:rsidR="0060131D" w:rsidRDefault="0060131D" w:rsidP="0060131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je vyhotovena ve dvou stejnopisech, z nichž každá strana obdrží po jednom.</w:t>
      </w:r>
    </w:p>
    <w:p w:rsidR="0060131D" w:rsidRDefault="0060131D" w:rsidP="0060131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prohlašují, že si text smlouvy přečetly, že obsah smlouvy je projevem jejich pravé a svobodné vůle, že smlouva byla uzavřena </w:t>
      </w:r>
      <w:r w:rsidR="00B91CEA">
        <w:rPr>
          <w:rFonts w:ascii="Times New Roman" w:hAnsi="Times New Roman"/>
          <w:sz w:val="24"/>
        </w:rPr>
        <w:t>určitě, vážně a srozumitelně, a </w:t>
      </w:r>
      <w:r>
        <w:rPr>
          <w:rFonts w:ascii="Times New Roman" w:hAnsi="Times New Roman"/>
          <w:sz w:val="24"/>
        </w:rPr>
        <w:t>že nebyla sjednána v tísni za nápadně nevýhodných podmínek. Na důkaz toho připojují podpisy svých oprávněných zástupců.</w:t>
      </w:r>
    </w:p>
    <w:p w:rsidR="0060131D" w:rsidRDefault="0060131D" w:rsidP="0060131D">
      <w:pPr>
        <w:pStyle w:val="Normlnweb1"/>
        <w:spacing w:before="0" w:after="0"/>
      </w:pPr>
    </w:p>
    <w:p w:rsidR="00B51FB4" w:rsidRDefault="00B51FB4" w:rsidP="0060131D">
      <w:pPr>
        <w:pStyle w:val="Normlnweb1"/>
        <w:spacing w:before="0" w:after="0"/>
      </w:pPr>
    </w:p>
    <w:p w:rsidR="00B51FB4" w:rsidRDefault="00B51FB4" w:rsidP="0060131D">
      <w:pPr>
        <w:pStyle w:val="Normlnweb1"/>
        <w:spacing w:before="0" w:after="0"/>
      </w:pPr>
    </w:p>
    <w:p w:rsidR="00B51FB4" w:rsidRDefault="00B51FB4" w:rsidP="0060131D">
      <w:pPr>
        <w:pStyle w:val="Normlnweb1"/>
        <w:spacing w:before="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C8F">
              <w:rPr>
                <w:rFonts w:ascii="Times New Roman" w:hAnsi="Times New Roman" w:cs="Times New Roman"/>
                <w:sz w:val="24"/>
                <w:szCs w:val="24"/>
              </w:rPr>
              <w:t xml:space="preserve">V Karviné 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6" w:type="dxa"/>
            <w:vAlign w:val="bottom"/>
          </w:tcPr>
          <w:p w:rsidR="00B51FB4" w:rsidRPr="00220C8F" w:rsidRDefault="00B51FB4" w:rsidP="009B6D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C8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9B6D17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220C8F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D17">
              <w:rPr>
                <w:rFonts w:ascii="Times New Roman" w:hAnsi="Times New Roman" w:cs="Times New Roman"/>
                <w:sz w:val="24"/>
                <w:szCs w:val="24"/>
              </w:rPr>
              <w:t xml:space="preserve"> 10.1.2017</w:t>
            </w: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8F">
              <w:rPr>
                <w:rFonts w:ascii="Times New Roman" w:hAnsi="Times New Roman" w:cs="Times New Roman"/>
                <w:b/>
                <w:sz w:val="24"/>
                <w:szCs w:val="24"/>
              </w:rPr>
              <w:t>OKD, a.s.</w:t>
            </w:r>
          </w:p>
        </w:tc>
        <w:tc>
          <w:tcPr>
            <w:tcW w:w="4606" w:type="dxa"/>
            <w:vAlign w:val="bottom"/>
          </w:tcPr>
          <w:p w:rsidR="00B51FB4" w:rsidRPr="00570BB3" w:rsidRDefault="009B6D17" w:rsidP="00736E4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Česká pošta, s.p.</w:t>
            </w: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B51FB4" w:rsidRPr="00570BB3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B51FB4" w:rsidRPr="00570BB3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B51FB4" w:rsidRPr="00570BB3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bottom"/>
          </w:tcPr>
          <w:p w:rsidR="00B51FB4" w:rsidRPr="00570BB3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vAlign w:val="bottom"/>
          </w:tcPr>
          <w:p w:rsidR="00B51FB4" w:rsidRPr="00570BB3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B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8F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Radka Naňáková</w:t>
            </w:r>
            <w:r w:rsidR="00C975AF"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</w:tc>
        <w:tc>
          <w:tcPr>
            <w:tcW w:w="4606" w:type="dxa"/>
            <w:vAlign w:val="bottom"/>
          </w:tcPr>
          <w:p w:rsidR="009B6D17" w:rsidRPr="00570BB3" w:rsidRDefault="009B6D17" w:rsidP="009B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Zdeněk Salcman</w:t>
            </w: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pověřena řízením útvaru personálního ředitele</w:t>
            </w:r>
          </w:p>
        </w:tc>
        <w:tc>
          <w:tcPr>
            <w:tcW w:w="4606" w:type="dxa"/>
            <w:vAlign w:val="bottom"/>
          </w:tcPr>
          <w:p w:rsidR="00B51FB4" w:rsidRPr="00220C8F" w:rsidRDefault="009B6D17" w:rsidP="009B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sekce rozvoj lidských zdrojů</w:t>
            </w:r>
          </w:p>
        </w:tc>
      </w:tr>
      <w:tr w:rsidR="00B51FB4" w:rsidRPr="00220C8F" w:rsidTr="00B51FB4">
        <w:trPr>
          <w:jc w:val="center"/>
        </w:trPr>
        <w:tc>
          <w:tcPr>
            <w:tcW w:w="4606" w:type="dxa"/>
            <w:vAlign w:val="bottom"/>
          </w:tcPr>
          <w:p w:rsidR="00B51FB4" w:rsidRPr="00220C8F" w:rsidRDefault="000317B0" w:rsidP="000317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základě plné moci ze dne 9.12.</w:t>
            </w:r>
            <w:r w:rsidR="00B51FB4" w:rsidRPr="00220C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51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vAlign w:val="bottom"/>
          </w:tcPr>
          <w:p w:rsidR="00B51FB4" w:rsidRPr="00220C8F" w:rsidRDefault="00B51FB4" w:rsidP="00736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758" w:rsidRPr="00173706" w:rsidRDefault="00D31758" w:rsidP="00B51FB4">
      <w:pPr>
        <w:pStyle w:val="Normlnweb1"/>
        <w:spacing w:before="0" w:after="0"/>
      </w:pPr>
    </w:p>
    <w:sectPr w:rsidR="00D31758" w:rsidRPr="00173706" w:rsidSect="00B51FB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7C" w:rsidRDefault="00301F7C" w:rsidP="00D129F2">
      <w:pPr>
        <w:spacing w:after="0" w:line="240" w:lineRule="auto"/>
      </w:pPr>
      <w:r>
        <w:separator/>
      </w:r>
    </w:p>
  </w:endnote>
  <w:endnote w:type="continuationSeparator" w:id="0">
    <w:p w:rsidR="00301F7C" w:rsidRDefault="00301F7C" w:rsidP="00D1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52925"/>
      <w:docPartObj>
        <w:docPartGallery w:val="Page Numbers (Bottom of Page)"/>
        <w:docPartUnique/>
      </w:docPartObj>
    </w:sdtPr>
    <w:sdtEndPr/>
    <w:sdtContent>
      <w:p w:rsidR="00D129F2" w:rsidRDefault="0095668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9F2" w:rsidRDefault="00D129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7C" w:rsidRDefault="00301F7C" w:rsidP="00D129F2">
      <w:pPr>
        <w:spacing w:after="0" w:line="240" w:lineRule="auto"/>
      </w:pPr>
      <w:r>
        <w:separator/>
      </w:r>
    </w:p>
  </w:footnote>
  <w:footnote w:type="continuationSeparator" w:id="0">
    <w:p w:rsidR="00301F7C" w:rsidRDefault="00301F7C" w:rsidP="00D1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E309B"/>
    <w:multiLevelType w:val="hybridMultilevel"/>
    <w:tmpl w:val="41A0FC28"/>
    <w:lvl w:ilvl="0" w:tplc="77707A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960B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F3A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153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709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E7F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24BC6"/>
    <w:multiLevelType w:val="hybridMultilevel"/>
    <w:tmpl w:val="559213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9D362C"/>
    <w:multiLevelType w:val="hybridMultilevel"/>
    <w:tmpl w:val="4BD4828C"/>
    <w:lvl w:ilvl="0" w:tplc="6E60C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40907"/>
    <w:multiLevelType w:val="hybridMultilevel"/>
    <w:tmpl w:val="B32085F0"/>
    <w:lvl w:ilvl="0" w:tplc="0405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5" w:hanging="360"/>
      </w:pPr>
      <w:rPr>
        <w:rFonts w:ascii="Wingdings" w:hAnsi="Wingdings" w:hint="default"/>
      </w:rPr>
    </w:lvl>
  </w:abstractNum>
  <w:abstractNum w:abstractNumId="10">
    <w:nsid w:val="60393251"/>
    <w:multiLevelType w:val="multilevel"/>
    <w:tmpl w:val="1DB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42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1D"/>
    <w:rsid w:val="00030349"/>
    <w:rsid w:val="000317B0"/>
    <w:rsid w:val="0005052E"/>
    <w:rsid w:val="0006163E"/>
    <w:rsid w:val="000C338C"/>
    <w:rsid w:val="001066AD"/>
    <w:rsid w:val="00173706"/>
    <w:rsid w:val="00173D49"/>
    <w:rsid w:val="001849B6"/>
    <w:rsid w:val="00205001"/>
    <w:rsid w:val="00212E3E"/>
    <w:rsid w:val="00213C7E"/>
    <w:rsid w:val="002168B3"/>
    <w:rsid w:val="00243806"/>
    <w:rsid w:val="00274313"/>
    <w:rsid w:val="002B7DCE"/>
    <w:rsid w:val="00301F7C"/>
    <w:rsid w:val="00350E74"/>
    <w:rsid w:val="003934D5"/>
    <w:rsid w:val="00410298"/>
    <w:rsid w:val="004D1453"/>
    <w:rsid w:val="00570BB3"/>
    <w:rsid w:val="005760CF"/>
    <w:rsid w:val="005A1067"/>
    <w:rsid w:val="005D3CA6"/>
    <w:rsid w:val="005E3F7F"/>
    <w:rsid w:val="0060131D"/>
    <w:rsid w:val="00636D2B"/>
    <w:rsid w:val="0064508E"/>
    <w:rsid w:val="00656148"/>
    <w:rsid w:val="00680CC7"/>
    <w:rsid w:val="00680D40"/>
    <w:rsid w:val="006924A6"/>
    <w:rsid w:val="006A1322"/>
    <w:rsid w:val="006B4E2B"/>
    <w:rsid w:val="00734F6D"/>
    <w:rsid w:val="007377CB"/>
    <w:rsid w:val="00777BDA"/>
    <w:rsid w:val="007A13A5"/>
    <w:rsid w:val="007B3212"/>
    <w:rsid w:val="008B76D0"/>
    <w:rsid w:val="008D00E9"/>
    <w:rsid w:val="008F5952"/>
    <w:rsid w:val="00937843"/>
    <w:rsid w:val="00956681"/>
    <w:rsid w:val="00957830"/>
    <w:rsid w:val="00977F3E"/>
    <w:rsid w:val="00993FC3"/>
    <w:rsid w:val="00994017"/>
    <w:rsid w:val="009B6D17"/>
    <w:rsid w:val="00A00DC3"/>
    <w:rsid w:val="00A965E9"/>
    <w:rsid w:val="00AE4552"/>
    <w:rsid w:val="00AE4D1A"/>
    <w:rsid w:val="00AE7BF7"/>
    <w:rsid w:val="00B51FB4"/>
    <w:rsid w:val="00B877B5"/>
    <w:rsid w:val="00B91CEA"/>
    <w:rsid w:val="00BA555C"/>
    <w:rsid w:val="00C2629E"/>
    <w:rsid w:val="00C34123"/>
    <w:rsid w:val="00C975AF"/>
    <w:rsid w:val="00CB0356"/>
    <w:rsid w:val="00CB7E9C"/>
    <w:rsid w:val="00D129F2"/>
    <w:rsid w:val="00D31758"/>
    <w:rsid w:val="00D3363E"/>
    <w:rsid w:val="00DC1CF6"/>
    <w:rsid w:val="00DE7F0B"/>
    <w:rsid w:val="00DF0669"/>
    <w:rsid w:val="00DF7869"/>
    <w:rsid w:val="00E06876"/>
    <w:rsid w:val="00E86B5C"/>
    <w:rsid w:val="00F133AB"/>
    <w:rsid w:val="00F52009"/>
    <w:rsid w:val="00FA4013"/>
    <w:rsid w:val="00FE3770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131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60131D"/>
    <w:pPr>
      <w:suppressAutoHyphens/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0131D"/>
    <w:rPr>
      <w:rFonts w:ascii="Tahoma" w:eastAsia="Times New Roman" w:hAnsi="Tahoma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6013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013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ormlnweb1">
    <w:name w:val="Normální (web)1"/>
    <w:basedOn w:val="Normln"/>
    <w:rsid w:val="0060131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601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01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76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0C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0C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74"/>
    <w:rPr>
      <w:b/>
      <w:bCs/>
      <w:sz w:val="20"/>
      <w:szCs w:val="20"/>
    </w:rPr>
  </w:style>
  <w:style w:type="character" w:customStyle="1" w:styleId="appname-part1">
    <w:name w:val="appname-part1"/>
    <w:basedOn w:val="Standardnpsmoodstavce"/>
    <w:rsid w:val="004D1453"/>
    <w:rPr>
      <w:rFonts w:ascii="Verdana" w:hAnsi="Verdana" w:hint="default"/>
      <w:b/>
      <w:bCs/>
      <w:color w:val="666666"/>
      <w:sz w:val="36"/>
      <w:szCs w:val="36"/>
    </w:rPr>
  </w:style>
  <w:style w:type="paragraph" w:styleId="Zhlav">
    <w:name w:val="header"/>
    <w:basedOn w:val="Normln"/>
    <w:link w:val="ZhlavChar"/>
    <w:uiPriority w:val="99"/>
    <w:semiHidden/>
    <w:unhideWhenUsed/>
    <w:rsid w:val="00D1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9F2"/>
  </w:style>
  <w:style w:type="paragraph" w:styleId="Zpat">
    <w:name w:val="footer"/>
    <w:basedOn w:val="Normln"/>
    <w:link w:val="ZpatChar"/>
    <w:uiPriority w:val="99"/>
    <w:unhideWhenUsed/>
    <w:rsid w:val="00D1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9F2"/>
  </w:style>
  <w:style w:type="table" w:styleId="Mkatabulky">
    <w:name w:val="Table Grid"/>
    <w:basedOn w:val="Normlntabulka"/>
    <w:uiPriority w:val="59"/>
    <w:rsid w:val="00B5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131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60131D"/>
    <w:pPr>
      <w:suppressAutoHyphens/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0131D"/>
    <w:rPr>
      <w:rFonts w:ascii="Tahoma" w:eastAsia="Times New Roman" w:hAnsi="Tahoma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6013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013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ormlnweb1">
    <w:name w:val="Normální (web)1"/>
    <w:basedOn w:val="Normln"/>
    <w:rsid w:val="0060131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601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01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76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0C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0C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74"/>
    <w:rPr>
      <w:b/>
      <w:bCs/>
      <w:sz w:val="20"/>
      <w:szCs w:val="20"/>
    </w:rPr>
  </w:style>
  <w:style w:type="character" w:customStyle="1" w:styleId="appname-part1">
    <w:name w:val="appname-part1"/>
    <w:basedOn w:val="Standardnpsmoodstavce"/>
    <w:rsid w:val="004D1453"/>
    <w:rPr>
      <w:rFonts w:ascii="Verdana" w:hAnsi="Verdana" w:hint="default"/>
      <w:b/>
      <w:bCs/>
      <w:color w:val="666666"/>
      <w:sz w:val="36"/>
      <w:szCs w:val="36"/>
    </w:rPr>
  </w:style>
  <w:style w:type="paragraph" w:styleId="Zhlav">
    <w:name w:val="header"/>
    <w:basedOn w:val="Normln"/>
    <w:link w:val="ZhlavChar"/>
    <w:uiPriority w:val="99"/>
    <w:semiHidden/>
    <w:unhideWhenUsed/>
    <w:rsid w:val="00D1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9F2"/>
  </w:style>
  <w:style w:type="paragraph" w:styleId="Zpat">
    <w:name w:val="footer"/>
    <w:basedOn w:val="Normln"/>
    <w:link w:val="ZpatChar"/>
    <w:uiPriority w:val="99"/>
    <w:unhideWhenUsed/>
    <w:rsid w:val="00D1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9F2"/>
  </w:style>
  <w:style w:type="table" w:styleId="Mkatabulky">
    <w:name w:val="Table Grid"/>
    <w:basedOn w:val="Normlntabulka"/>
    <w:uiPriority w:val="59"/>
    <w:rsid w:val="00B5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77klopcova</dc:creator>
  <cp:lastModifiedBy>Molíková Ivana</cp:lastModifiedBy>
  <cp:revision>2</cp:revision>
  <dcterms:created xsi:type="dcterms:W3CDTF">2017-02-15T12:50:00Z</dcterms:created>
  <dcterms:modified xsi:type="dcterms:W3CDTF">2017-02-15T12:50:00Z</dcterms:modified>
</cp:coreProperties>
</file>