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4344"/>
        <w:gridCol w:w="1670"/>
        <w:gridCol w:w="1536"/>
      </w:tblGrid>
      <w:tr w:rsidR="009C5A04">
        <w:tblPrEx>
          <w:tblCellMar>
            <w:top w:w="0" w:type="dxa"/>
            <w:bottom w:w="0" w:type="dxa"/>
          </w:tblCellMar>
        </w:tblPrEx>
        <w:trPr>
          <w:trHeight w:hRule="exact" w:val="749"/>
          <w:jc w:val="center"/>
        </w:trPr>
        <w:tc>
          <w:tcPr>
            <w:tcW w:w="6744" w:type="dxa"/>
            <w:gridSpan w:val="2"/>
            <w:shd w:val="clear" w:color="auto" w:fill="FFFFFF"/>
            <w:vAlign w:val="center"/>
          </w:tcPr>
          <w:p w:rsidR="009C5A04" w:rsidRDefault="00172CC0">
            <w:pPr>
              <w:pStyle w:val="Other0"/>
              <w:shd w:val="clear" w:color="auto" w:fill="auto"/>
              <w:jc w:val="left"/>
              <w:rPr>
                <w:sz w:val="15"/>
                <w:szCs w:val="15"/>
              </w:rPr>
            </w:pPr>
            <w:r>
              <w:rPr>
                <w:sz w:val="15"/>
                <w:szCs w:val="15"/>
              </w:rPr>
              <w:t>Níže uvedeného dne, měsíce a roku uzavřely smluvní strany (dále jen „Strany“)</w:t>
            </w:r>
          </w:p>
        </w:tc>
        <w:tc>
          <w:tcPr>
            <w:tcW w:w="1670" w:type="dxa"/>
            <w:shd w:val="clear" w:color="auto" w:fill="FFFFFF"/>
            <w:vAlign w:val="center"/>
          </w:tcPr>
          <w:p w:rsidR="009C5A04" w:rsidRDefault="00172CC0">
            <w:pPr>
              <w:pStyle w:val="Other0"/>
              <w:shd w:val="clear" w:color="auto" w:fill="auto"/>
              <w:spacing w:line="276" w:lineRule="auto"/>
              <w:ind w:right="140"/>
              <w:jc w:val="right"/>
              <w:rPr>
                <w:sz w:val="14"/>
                <w:szCs w:val="14"/>
              </w:rPr>
            </w:pPr>
            <w:r>
              <w:rPr>
                <w:sz w:val="15"/>
                <w:szCs w:val="15"/>
                <w:lang w:val="en-US" w:eastAsia="en-US" w:bidi="en-US"/>
              </w:rPr>
              <w:t xml:space="preserve">Making out </w:t>
            </w:r>
            <w:r>
              <w:rPr>
                <w:sz w:val="14"/>
                <w:szCs w:val="14"/>
                <w:lang w:val="en-US" w:eastAsia="en-US" w:bidi="en-US"/>
              </w:rPr>
              <w:t>world more productive</w:t>
            </w:r>
          </w:p>
        </w:tc>
        <w:tc>
          <w:tcPr>
            <w:tcW w:w="1536" w:type="dxa"/>
            <w:shd w:val="clear" w:color="auto" w:fill="000000"/>
            <w:vAlign w:val="bottom"/>
          </w:tcPr>
          <w:p w:rsidR="009C5A04" w:rsidRDefault="00172CC0">
            <w:pPr>
              <w:pStyle w:val="Other0"/>
              <w:shd w:val="clear" w:color="auto" w:fill="auto"/>
              <w:ind w:right="140"/>
              <w:jc w:val="right"/>
              <w:rPr>
                <w:sz w:val="20"/>
                <w:szCs w:val="20"/>
              </w:rPr>
            </w:pPr>
            <w:r>
              <w:rPr>
                <w:i/>
                <w:iCs/>
                <w:color w:val="FFFFFF"/>
                <w:sz w:val="20"/>
                <w:szCs w:val="20"/>
                <w:lang w:val="en-US" w:eastAsia="en-US" w:bidi="en-US"/>
              </w:rPr>
              <w:t>ii/</w:t>
            </w:r>
            <w:proofErr w:type="spellStart"/>
            <w:r>
              <w:rPr>
                <w:i/>
                <w:iCs/>
                <w:color w:val="FFFFFF"/>
                <w:sz w:val="20"/>
                <w:szCs w:val="20"/>
                <w:lang w:val="en-US" w:eastAsia="en-US" w:bidi="en-US"/>
              </w:rPr>
              <w:t>inilc</w:t>
            </w:r>
            <w:proofErr w:type="spellEnd"/>
          </w:p>
        </w:tc>
      </w:tr>
      <w:tr w:rsidR="009C5A04">
        <w:tblPrEx>
          <w:tblCellMar>
            <w:top w:w="0" w:type="dxa"/>
            <w:bottom w:w="0" w:type="dxa"/>
          </w:tblCellMar>
        </w:tblPrEx>
        <w:trPr>
          <w:trHeight w:hRule="exact" w:val="418"/>
          <w:jc w:val="center"/>
        </w:trPr>
        <w:tc>
          <w:tcPr>
            <w:tcW w:w="2400" w:type="dxa"/>
            <w:shd w:val="clear" w:color="auto" w:fill="FFFFFF"/>
            <w:vAlign w:val="bottom"/>
          </w:tcPr>
          <w:p w:rsidR="009C5A04" w:rsidRDefault="00172CC0">
            <w:pPr>
              <w:pStyle w:val="Other0"/>
              <w:shd w:val="clear" w:color="auto" w:fill="auto"/>
              <w:jc w:val="left"/>
              <w:rPr>
                <w:sz w:val="15"/>
                <w:szCs w:val="15"/>
              </w:rPr>
            </w:pPr>
            <w:r>
              <w:rPr>
                <w:sz w:val="15"/>
                <w:szCs w:val="15"/>
              </w:rPr>
              <w:t>Na straně jedné:</w:t>
            </w:r>
          </w:p>
          <w:p w:rsidR="009C5A04" w:rsidRDefault="00172CC0">
            <w:pPr>
              <w:pStyle w:val="Other0"/>
              <w:shd w:val="clear" w:color="auto" w:fill="auto"/>
              <w:jc w:val="left"/>
              <w:rPr>
                <w:sz w:val="15"/>
                <w:szCs w:val="15"/>
              </w:rPr>
            </w:pPr>
            <w:r>
              <w:rPr>
                <w:sz w:val="15"/>
                <w:szCs w:val="15"/>
              </w:rPr>
              <w:t>Sídlo:</w:t>
            </w:r>
          </w:p>
        </w:tc>
        <w:tc>
          <w:tcPr>
            <w:tcW w:w="4344" w:type="dxa"/>
            <w:vMerge w:val="restart"/>
            <w:shd w:val="clear" w:color="auto" w:fill="FFFFFF"/>
            <w:vAlign w:val="bottom"/>
          </w:tcPr>
          <w:p w:rsidR="009C5A04" w:rsidRDefault="00172CC0">
            <w:pPr>
              <w:pStyle w:val="Other0"/>
              <w:shd w:val="clear" w:color="auto" w:fill="auto"/>
              <w:ind w:left="280"/>
              <w:jc w:val="left"/>
              <w:rPr>
                <w:sz w:val="15"/>
                <w:szCs w:val="15"/>
              </w:rPr>
            </w:pPr>
            <w:r>
              <w:rPr>
                <w:b/>
                <w:bCs/>
                <w:sz w:val="15"/>
                <w:szCs w:val="15"/>
                <w:lang w:val="en-US" w:eastAsia="en-US" w:bidi="en-US"/>
              </w:rPr>
              <w:t xml:space="preserve">Linde Gas </w:t>
            </w:r>
            <w:r>
              <w:rPr>
                <w:b/>
                <w:bCs/>
                <w:sz w:val="15"/>
                <w:szCs w:val="15"/>
              </w:rPr>
              <w:t>a.s.</w:t>
            </w:r>
          </w:p>
          <w:p w:rsidR="009C5A04" w:rsidRDefault="00172CC0">
            <w:pPr>
              <w:pStyle w:val="Other0"/>
              <w:shd w:val="clear" w:color="auto" w:fill="auto"/>
              <w:ind w:left="280"/>
              <w:jc w:val="left"/>
              <w:rPr>
                <w:sz w:val="15"/>
                <w:szCs w:val="15"/>
              </w:rPr>
            </w:pPr>
            <w:r>
              <w:rPr>
                <w:sz w:val="15"/>
                <w:szCs w:val="15"/>
              </w:rPr>
              <w:t xml:space="preserve">U </w:t>
            </w:r>
            <w:proofErr w:type="spellStart"/>
            <w:r>
              <w:rPr>
                <w:sz w:val="15"/>
                <w:szCs w:val="15"/>
              </w:rPr>
              <w:t>Technoplynu</w:t>
            </w:r>
            <w:proofErr w:type="spellEnd"/>
            <w:r>
              <w:rPr>
                <w:sz w:val="15"/>
                <w:szCs w:val="15"/>
              </w:rPr>
              <w:t xml:space="preserve"> 1324,198 00 Praha 9 - Kyje</w:t>
            </w:r>
          </w:p>
          <w:p w:rsidR="009C5A04" w:rsidRDefault="00172CC0">
            <w:pPr>
              <w:pStyle w:val="Other0"/>
              <w:shd w:val="clear" w:color="auto" w:fill="auto"/>
              <w:ind w:left="280"/>
              <w:jc w:val="left"/>
              <w:rPr>
                <w:sz w:val="15"/>
                <w:szCs w:val="15"/>
              </w:rPr>
            </w:pPr>
            <w:r>
              <w:rPr>
                <w:sz w:val="15"/>
                <w:szCs w:val="15"/>
              </w:rPr>
              <w:t xml:space="preserve">Ladislavem </w:t>
            </w:r>
            <w:proofErr w:type="gramStart"/>
            <w:r>
              <w:rPr>
                <w:sz w:val="15"/>
                <w:szCs w:val="15"/>
              </w:rPr>
              <w:t xml:space="preserve">Mádrem - </w:t>
            </w:r>
            <w:r>
              <w:rPr>
                <w:sz w:val="15"/>
                <w:szCs w:val="15"/>
                <w:lang w:val="en-US" w:eastAsia="en-US" w:bidi="en-US"/>
              </w:rPr>
              <w:t>Inhouse</w:t>
            </w:r>
            <w:proofErr w:type="gramEnd"/>
            <w:r>
              <w:rPr>
                <w:sz w:val="15"/>
                <w:szCs w:val="15"/>
                <w:lang w:val="en-US" w:eastAsia="en-US" w:bidi="en-US"/>
              </w:rPr>
              <w:t xml:space="preserve"> Sales </w:t>
            </w:r>
            <w:proofErr w:type="spellStart"/>
            <w:r>
              <w:rPr>
                <w:sz w:val="15"/>
                <w:szCs w:val="15"/>
              </w:rPr>
              <w:t>managerem</w:t>
            </w:r>
            <w:proofErr w:type="spellEnd"/>
            <w:r>
              <w:rPr>
                <w:sz w:val="15"/>
                <w:szCs w:val="15"/>
              </w:rPr>
              <w:t xml:space="preserve"> a</w:t>
            </w:r>
          </w:p>
        </w:tc>
        <w:tc>
          <w:tcPr>
            <w:tcW w:w="1670" w:type="dxa"/>
            <w:shd w:val="clear" w:color="auto" w:fill="FFFFFF"/>
          </w:tcPr>
          <w:p w:rsidR="009C5A04" w:rsidRDefault="009C5A04">
            <w:pPr>
              <w:rPr>
                <w:sz w:val="10"/>
                <w:szCs w:val="10"/>
              </w:rPr>
            </w:pPr>
            <w:bookmarkStart w:id="0" w:name="_GoBack"/>
            <w:bookmarkEnd w:id="0"/>
          </w:p>
        </w:tc>
        <w:tc>
          <w:tcPr>
            <w:tcW w:w="1536" w:type="dxa"/>
            <w:shd w:val="clear" w:color="auto" w:fill="FFFFFF"/>
          </w:tcPr>
          <w:p w:rsidR="009C5A04" w:rsidRDefault="009C5A04">
            <w:pPr>
              <w:rPr>
                <w:sz w:val="10"/>
                <w:szCs w:val="10"/>
              </w:rPr>
            </w:pPr>
          </w:p>
        </w:tc>
      </w:tr>
      <w:tr w:rsidR="009C5A04">
        <w:tblPrEx>
          <w:tblCellMar>
            <w:top w:w="0" w:type="dxa"/>
            <w:bottom w:w="0" w:type="dxa"/>
          </w:tblCellMar>
        </w:tblPrEx>
        <w:trPr>
          <w:trHeight w:hRule="exact" w:val="216"/>
          <w:jc w:val="center"/>
        </w:trPr>
        <w:tc>
          <w:tcPr>
            <w:tcW w:w="2400" w:type="dxa"/>
            <w:vMerge w:val="restart"/>
            <w:shd w:val="clear" w:color="auto" w:fill="FFFFFF"/>
          </w:tcPr>
          <w:p w:rsidR="009C5A04" w:rsidRDefault="00172CC0">
            <w:pPr>
              <w:pStyle w:val="Other0"/>
              <w:shd w:val="clear" w:color="auto" w:fill="auto"/>
              <w:jc w:val="left"/>
              <w:rPr>
                <w:sz w:val="15"/>
                <w:szCs w:val="15"/>
              </w:rPr>
            </w:pPr>
            <w:r>
              <w:rPr>
                <w:sz w:val="15"/>
                <w:szCs w:val="15"/>
              </w:rPr>
              <w:t>Zastoupená:</w:t>
            </w:r>
          </w:p>
        </w:tc>
        <w:tc>
          <w:tcPr>
            <w:tcW w:w="4344" w:type="dxa"/>
            <w:vMerge/>
            <w:shd w:val="clear" w:color="auto" w:fill="FFFFFF"/>
            <w:vAlign w:val="bottom"/>
          </w:tcPr>
          <w:p w:rsidR="009C5A04" w:rsidRDefault="009C5A04"/>
        </w:tc>
        <w:tc>
          <w:tcPr>
            <w:tcW w:w="1670" w:type="dxa"/>
            <w:vMerge w:val="restart"/>
            <w:tcBorders>
              <w:top w:val="single" w:sz="4" w:space="0" w:color="auto"/>
              <w:left w:val="single" w:sz="4" w:space="0" w:color="auto"/>
            </w:tcBorders>
            <w:shd w:val="clear" w:color="auto" w:fill="FFFFFF"/>
          </w:tcPr>
          <w:p w:rsidR="009C5A04" w:rsidRDefault="009C5A04">
            <w:pPr>
              <w:pStyle w:val="Other0"/>
              <w:shd w:val="clear" w:color="auto" w:fill="auto"/>
              <w:jc w:val="left"/>
              <w:rPr>
                <w:sz w:val="22"/>
                <w:szCs w:val="22"/>
              </w:rPr>
            </w:pPr>
          </w:p>
        </w:tc>
        <w:tc>
          <w:tcPr>
            <w:tcW w:w="1536" w:type="dxa"/>
            <w:vMerge w:val="restart"/>
            <w:tcBorders>
              <w:top w:val="single" w:sz="4" w:space="0" w:color="auto"/>
              <w:right w:val="single" w:sz="4" w:space="0" w:color="auto"/>
            </w:tcBorders>
            <w:shd w:val="clear" w:color="auto" w:fill="FFFFFF"/>
          </w:tcPr>
          <w:p w:rsidR="009C5A04" w:rsidRDefault="00172CC0">
            <w:pPr>
              <w:pStyle w:val="Other0"/>
              <w:shd w:val="clear" w:color="auto" w:fill="auto"/>
              <w:jc w:val="right"/>
              <w:rPr>
                <w:sz w:val="22"/>
                <w:szCs w:val="22"/>
              </w:rPr>
            </w:pPr>
            <w:r>
              <w:rPr>
                <w:b/>
                <w:bCs/>
                <w:sz w:val="22"/>
                <w:szCs w:val="22"/>
                <w:lang w:val="en-US" w:eastAsia="en-US" w:bidi="en-US"/>
              </w:rPr>
              <w:t>I</w:t>
            </w:r>
          </w:p>
        </w:tc>
      </w:tr>
      <w:tr w:rsidR="009C5A04">
        <w:tblPrEx>
          <w:tblCellMar>
            <w:top w:w="0" w:type="dxa"/>
            <w:bottom w:w="0" w:type="dxa"/>
          </w:tblCellMar>
        </w:tblPrEx>
        <w:trPr>
          <w:trHeight w:hRule="exact" w:val="163"/>
          <w:jc w:val="center"/>
        </w:trPr>
        <w:tc>
          <w:tcPr>
            <w:tcW w:w="2400" w:type="dxa"/>
            <w:vMerge/>
            <w:shd w:val="clear" w:color="auto" w:fill="FFFFFF"/>
          </w:tcPr>
          <w:p w:rsidR="009C5A04" w:rsidRDefault="009C5A04"/>
        </w:tc>
        <w:tc>
          <w:tcPr>
            <w:tcW w:w="4344" w:type="dxa"/>
            <w:shd w:val="clear" w:color="auto" w:fill="FFFFFF"/>
            <w:vAlign w:val="bottom"/>
          </w:tcPr>
          <w:p w:rsidR="009C5A04" w:rsidRDefault="00172CC0">
            <w:pPr>
              <w:pStyle w:val="Other0"/>
              <w:shd w:val="clear" w:color="auto" w:fill="auto"/>
              <w:ind w:left="280"/>
              <w:jc w:val="left"/>
              <w:rPr>
                <w:sz w:val="15"/>
                <w:szCs w:val="15"/>
              </w:rPr>
            </w:pPr>
            <w:r>
              <w:rPr>
                <w:sz w:val="15"/>
                <w:szCs w:val="15"/>
              </w:rPr>
              <w:t xml:space="preserve">Filipem </w:t>
            </w:r>
            <w:proofErr w:type="gramStart"/>
            <w:r>
              <w:rPr>
                <w:sz w:val="15"/>
                <w:szCs w:val="15"/>
              </w:rPr>
              <w:t>Mazalem - obchodním</w:t>
            </w:r>
            <w:proofErr w:type="gramEnd"/>
            <w:r>
              <w:rPr>
                <w:sz w:val="15"/>
                <w:szCs w:val="15"/>
              </w:rPr>
              <w:t xml:space="preserve"> zástupcem </w:t>
            </w:r>
            <w:r>
              <w:rPr>
                <w:sz w:val="15"/>
                <w:szCs w:val="15"/>
                <w:lang w:val="en-US" w:eastAsia="en-US" w:bidi="en-US"/>
              </w:rPr>
              <w:t>Inhouse Sales</w:t>
            </w:r>
          </w:p>
        </w:tc>
        <w:tc>
          <w:tcPr>
            <w:tcW w:w="1670" w:type="dxa"/>
            <w:vMerge/>
            <w:tcBorders>
              <w:left w:val="single" w:sz="4" w:space="0" w:color="auto"/>
            </w:tcBorders>
            <w:shd w:val="clear" w:color="auto" w:fill="FFFFFF"/>
          </w:tcPr>
          <w:p w:rsidR="009C5A04" w:rsidRDefault="009C5A04"/>
        </w:tc>
        <w:tc>
          <w:tcPr>
            <w:tcW w:w="1536" w:type="dxa"/>
            <w:vMerge/>
            <w:tcBorders>
              <w:right w:val="single" w:sz="4" w:space="0" w:color="auto"/>
            </w:tcBorders>
            <w:shd w:val="clear" w:color="auto" w:fill="FFFFFF"/>
          </w:tcPr>
          <w:p w:rsidR="009C5A04" w:rsidRDefault="009C5A04"/>
        </w:tc>
      </w:tr>
      <w:tr w:rsidR="009C5A04">
        <w:tblPrEx>
          <w:tblCellMar>
            <w:top w:w="0" w:type="dxa"/>
            <w:bottom w:w="0" w:type="dxa"/>
          </w:tblCellMar>
        </w:tblPrEx>
        <w:trPr>
          <w:trHeight w:hRule="exact" w:val="355"/>
          <w:jc w:val="center"/>
        </w:trPr>
        <w:tc>
          <w:tcPr>
            <w:tcW w:w="2400" w:type="dxa"/>
            <w:shd w:val="clear" w:color="auto" w:fill="FFFFFF"/>
          </w:tcPr>
          <w:p w:rsidR="009C5A04" w:rsidRDefault="00172CC0">
            <w:pPr>
              <w:pStyle w:val="Other0"/>
              <w:shd w:val="clear" w:color="auto" w:fill="auto"/>
              <w:jc w:val="left"/>
              <w:rPr>
                <w:sz w:val="15"/>
                <w:szCs w:val="15"/>
              </w:rPr>
            </w:pPr>
            <w:r>
              <w:rPr>
                <w:sz w:val="15"/>
                <w:szCs w:val="15"/>
              </w:rPr>
              <w:t>IČO:</w:t>
            </w:r>
          </w:p>
          <w:p w:rsidR="009C5A04" w:rsidRDefault="00172CC0">
            <w:pPr>
              <w:pStyle w:val="Other0"/>
              <w:shd w:val="clear" w:color="auto" w:fill="auto"/>
              <w:jc w:val="left"/>
              <w:rPr>
                <w:sz w:val="15"/>
                <w:szCs w:val="15"/>
              </w:rPr>
            </w:pPr>
            <w:r>
              <w:rPr>
                <w:sz w:val="15"/>
                <w:szCs w:val="15"/>
              </w:rPr>
              <w:t>DIČ:</w:t>
            </w:r>
          </w:p>
        </w:tc>
        <w:tc>
          <w:tcPr>
            <w:tcW w:w="4344" w:type="dxa"/>
            <w:shd w:val="clear" w:color="auto" w:fill="FFFFFF"/>
          </w:tcPr>
          <w:p w:rsidR="009C5A04" w:rsidRDefault="00172CC0">
            <w:pPr>
              <w:pStyle w:val="Other0"/>
              <w:shd w:val="clear" w:color="auto" w:fill="auto"/>
              <w:ind w:left="280"/>
              <w:jc w:val="left"/>
              <w:rPr>
                <w:sz w:val="15"/>
                <w:szCs w:val="15"/>
              </w:rPr>
            </w:pPr>
            <w:r>
              <w:rPr>
                <w:sz w:val="15"/>
                <w:szCs w:val="15"/>
              </w:rPr>
              <w:t>00011754</w:t>
            </w:r>
          </w:p>
          <w:p w:rsidR="009C5A04" w:rsidRDefault="00172CC0">
            <w:pPr>
              <w:pStyle w:val="Other0"/>
              <w:shd w:val="clear" w:color="auto" w:fill="auto"/>
              <w:ind w:left="280"/>
              <w:jc w:val="left"/>
              <w:rPr>
                <w:sz w:val="15"/>
                <w:szCs w:val="15"/>
              </w:rPr>
            </w:pPr>
            <w:r>
              <w:rPr>
                <w:sz w:val="15"/>
                <w:szCs w:val="15"/>
                <w:lang w:val="en-US" w:eastAsia="en-US" w:bidi="en-US"/>
              </w:rPr>
              <w:t>CZ000</w:t>
            </w:r>
            <w:r>
              <w:rPr>
                <w:sz w:val="15"/>
                <w:szCs w:val="15"/>
              </w:rPr>
              <w:t>11754</w:t>
            </w:r>
          </w:p>
        </w:tc>
        <w:tc>
          <w:tcPr>
            <w:tcW w:w="3206" w:type="dxa"/>
            <w:gridSpan w:val="2"/>
            <w:tcBorders>
              <w:left w:val="single" w:sz="4" w:space="0" w:color="auto"/>
              <w:right w:val="single" w:sz="4" w:space="0" w:color="auto"/>
            </w:tcBorders>
            <w:shd w:val="clear" w:color="auto" w:fill="FFFFFF"/>
          </w:tcPr>
          <w:p w:rsidR="009C5A04" w:rsidRDefault="009C5A04">
            <w:pPr>
              <w:pStyle w:val="Other0"/>
              <w:shd w:val="clear" w:color="auto" w:fill="auto"/>
              <w:ind w:left="160"/>
              <w:jc w:val="center"/>
              <w:rPr>
                <w:sz w:val="15"/>
                <w:szCs w:val="15"/>
              </w:rPr>
            </w:pPr>
          </w:p>
        </w:tc>
      </w:tr>
      <w:tr w:rsidR="009C5A04">
        <w:tblPrEx>
          <w:tblCellMar>
            <w:top w:w="0" w:type="dxa"/>
            <w:bottom w:w="0" w:type="dxa"/>
          </w:tblCellMar>
        </w:tblPrEx>
        <w:trPr>
          <w:trHeight w:hRule="exact" w:val="379"/>
          <w:jc w:val="center"/>
        </w:trPr>
        <w:tc>
          <w:tcPr>
            <w:tcW w:w="2400" w:type="dxa"/>
            <w:shd w:val="clear" w:color="auto" w:fill="FFFFFF"/>
            <w:vAlign w:val="bottom"/>
          </w:tcPr>
          <w:p w:rsidR="009C5A04" w:rsidRDefault="00172CC0">
            <w:pPr>
              <w:pStyle w:val="Other0"/>
              <w:shd w:val="clear" w:color="auto" w:fill="auto"/>
              <w:jc w:val="left"/>
              <w:rPr>
                <w:sz w:val="15"/>
                <w:szCs w:val="15"/>
              </w:rPr>
            </w:pPr>
            <w:r>
              <w:rPr>
                <w:sz w:val="15"/>
                <w:szCs w:val="15"/>
              </w:rPr>
              <w:t>Zapsaná v obchodním rejstříku (dále jen „Lindě“)</w:t>
            </w:r>
          </w:p>
        </w:tc>
        <w:tc>
          <w:tcPr>
            <w:tcW w:w="4344" w:type="dxa"/>
            <w:shd w:val="clear" w:color="auto" w:fill="FFFFFF"/>
          </w:tcPr>
          <w:p w:rsidR="009C5A04" w:rsidRDefault="00172CC0">
            <w:pPr>
              <w:pStyle w:val="Other0"/>
              <w:shd w:val="clear" w:color="auto" w:fill="auto"/>
              <w:ind w:left="280"/>
              <w:jc w:val="left"/>
              <w:rPr>
                <w:sz w:val="15"/>
                <w:szCs w:val="15"/>
              </w:rPr>
            </w:pPr>
            <w:r>
              <w:rPr>
                <w:sz w:val="15"/>
                <w:szCs w:val="15"/>
              </w:rPr>
              <w:t xml:space="preserve">vedeném Městským soudem v Praze pod </w:t>
            </w:r>
            <w:proofErr w:type="spellStart"/>
            <w:r>
              <w:rPr>
                <w:sz w:val="15"/>
                <w:szCs w:val="15"/>
              </w:rPr>
              <w:t>sp</w:t>
            </w:r>
            <w:proofErr w:type="spellEnd"/>
            <w:r>
              <w:rPr>
                <w:sz w:val="15"/>
                <w:szCs w:val="15"/>
              </w:rPr>
              <w:t>. zn. B 411</w:t>
            </w:r>
          </w:p>
        </w:tc>
        <w:tc>
          <w:tcPr>
            <w:tcW w:w="1670" w:type="dxa"/>
            <w:tcBorders>
              <w:left w:val="single" w:sz="4" w:space="0" w:color="auto"/>
            </w:tcBorders>
            <w:shd w:val="clear" w:color="auto" w:fill="FFFFFF"/>
          </w:tcPr>
          <w:p w:rsidR="009C5A04" w:rsidRDefault="009C5A04">
            <w:pPr>
              <w:pStyle w:val="Other0"/>
              <w:shd w:val="clear" w:color="auto" w:fill="auto"/>
              <w:ind w:left="1280"/>
              <w:jc w:val="left"/>
              <w:rPr>
                <w:sz w:val="15"/>
                <w:szCs w:val="15"/>
              </w:rPr>
            </w:pPr>
          </w:p>
        </w:tc>
        <w:tc>
          <w:tcPr>
            <w:tcW w:w="1536" w:type="dxa"/>
            <w:tcBorders>
              <w:right w:val="single" w:sz="4" w:space="0" w:color="auto"/>
            </w:tcBorders>
            <w:shd w:val="clear" w:color="auto" w:fill="FFFFFF"/>
            <w:vAlign w:val="bottom"/>
          </w:tcPr>
          <w:p w:rsidR="009C5A04" w:rsidRDefault="00172CC0">
            <w:pPr>
              <w:pStyle w:val="Other0"/>
              <w:shd w:val="clear" w:color="auto" w:fill="auto"/>
              <w:jc w:val="right"/>
              <w:rPr>
                <w:sz w:val="22"/>
                <w:szCs w:val="22"/>
              </w:rPr>
            </w:pPr>
            <w:r>
              <w:rPr>
                <w:b/>
                <w:bCs/>
                <w:sz w:val="22"/>
                <w:szCs w:val="22"/>
                <w:lang w:val="en-US" w:eastAsia="en-US" w:bidi="en-US"/>
              </w:rPr>
              <w:t>I</w:t>
            </w:r>
          </w:p>
        </w:tc>
      </w:tr>
      <w:tr w:rsidR="009C5A04">
        <w:tblPrEx>
          <w:tblCellMar>
            <w:top w:w="0" w:type="dxa"/>
            <w:bottom w:w="0" w:type="dxa"/>
          </w:tblCellMar>
        </w:tblPrEx>
        <w:trPr>
          <w:trHeight w:hRule="exact" w:val="485"/>
          <w:jc w:val="center"/>
        </w:trPr>
        <w:tc>
          <w:tcPr>
            <w:tcW w:w="2400" w:type="dxa"/>
            <w:shd w:val="clear" w:color="auto" w:fill="FFFFFF"/>
            <w:vAlign w:val="bottom"/>
          </w:tcPr>
          <w:p w:rsidR="009C5A04" w:rsidRDefault="00172CC0">
            <w:pPr>
              <w:pStyle w:val="Other0"/>
              <w:shd w:val="clear" w:color="auto" w:fill="auto"/>
              <w:jc w:val="left"/>
              <w:rPr>
                <w:sz w:val="15"/>
                <w:szCs w:val="15"/>
              </w:rPr>
            </w:pPr>
            <w:r>
              <w:rPr>
                <w:sz w:val="15"/>
                <w:szCs w:val="15"/>
              </w:rPr>
              <w:t>Na straně druhé:</w:t>
            </w:r>
          </w:p>
        </w:tc>
        <w:tc>
          <w:tcPr>
            <w:tcW w:w="4344" w:type="dxa"/>
            <w:shd w:val="clear" w:color="auto" w:fill="FFFFFF"/>
            <w:vAlign w:val="bottom"/>
          </w:tcPr>
          <w:p w:rsidR="009C5A04" w:rsidRDefault="00172CC0">
            <w:pPr>
              <w:pStyle w:val="Other0"/>
              <w:shd w:val="clear" w:color="auto" w:fill="auto"/>
              <w:ind w:left="280"/>
              <w:jc w:val="left"/>
              <w:rPr>
                <w:sz w:val="15"/>
                <w:szCs w:val="15"/>
              </w:rPr>
            </w:pPr>
            <w:r>
              <w:rPr>
                <w:b/>
                <w:bCs/>
                <w:sz w:val="15"/>
                <w:szCs w:val="15"/>
              </w:rPr>
              <w:t xml:space="preserve">Výzkumný ústav </w:t>
            </w:r>
            <w:r>
              <w:rPr>
                <w:b/>
                <w:bCs/>
                <w:sz w:val="15"/>
                <w:szCs w:val="15"/>
              </w:rPr>
              <w:t xml:space="preserve">živočišné výroby </w:t>
            </w:r>
            <w:proofErr w:type="spellStart"/>
            <w:r>
              <w:rPr>
                <w:b/>
                <w:bCs/>
                <w:sz w:val="15"/>
                <w:szCs w:val="15"/>
              </w:rPr>
              <w:t>v.v.i</w:t>
            </w:r>
            <w:proofErr w:type="spellEnd"/>
            <w:r>
              <w:rPr>
                <w:b/>
                <w:bCs/>
                <w:sz w:val="15"/>
                <w:szCs w:val="15"/>
              </w:rPr>
              <w:t>.</w:t>
            </w:r>
          </w:p>
        </w:tc>
        <w:tc>
          <w:tcPr>
            <w:tcW w:w="1670" w:type="dxa"/>
            <w:tcBorders>
              <w:top w:val="single" w:sz="4" w:space="0" w:color="auto"/>
            </w:tcBorders>
            <w:shd w:val="clear" w:color="auto" w:fill="FFFFFF"/>
          </w:tcPr>
          <w:p w:rsidR="009C5A04" w:rsidRDefault="009C5A04">
            <w:pPr>
              <w:rPr>
                <w:sz w:val="10"/>
                <w:szCs w:val="10"/>
              </w:rPr>
            </w:pPr>
          </w:p>
        </w:tc>
        <w:tc>
          <w:tcPr>
            <w:tcW w:w="1536" w:type="dxa"/>
            <w:tcBorders>
              <w:top w:val="single" w:sz="4" w:space="0" w:color="auto"/>
            </w:tcBorders>
            <w:shd w:val="clear" w:color="auto" w:fill="FFFFFF"/>
            <w:vAlign w:val="bottom"/>
          </w:tcPr>
          <w:p w:rsidR="009C5A04" w:rsidRDefault="00172CC0">
            <w:pPr>
              <w:pStyle w:val="Other0"/>
              <w:shd w:val="clear" w:color="auto" w:fill="auto"/>
              <w:jc w:val="left"/>
              <w:rPr>
                <w:sz w:val="15"/>
                <w:szCs w:val="15"/>
              </w:rPr>
            </w:pPr>
            <w:r>
              <w:rPr>
                <w:sz w:val="15"/>
                <w:szCs w:val="15"/>
              </w:rPr>
              <w:t>Číslo zákazníka:</w:t>
            </w:r>
          </w:p>
        </w:tc>
      </w:tr>
      <w:tr w:rsidR="009C5A04">
        <w:tblPrEx>
          <w:tblCellMar>
            <w:top w:w="0" w:type="dxa"/>
            <w:bottom w:w="0" w:type="dxa"/>
          </w:tblCellMar>
        </w:tblPrEx>
        <w:trPr>
          <w:trHeight w:hRule="exact" w:val="192"/>
          <w:jc w:val="center"/>
        </w:trPr>
        <w:tc>
          <w:tcPr>
            <w:tcW w:w="2400" w:type="dxa"/>
            <w:shd w:val="clear" w:color="auto" w:fill="FFFFFF"/>
            <w:vAlign w:val="bottom"/>
          </w:tcPr>
          <w:p w:rsidR="009C5A04" w:rsidRDefault="00172CC0">
            <w:pPr>
              <w:pStyle w:val="Other0"/>
              <w:shd w:val="clear" w:color="auto" w:fill="auto"/>
              <w:jc w:val="left"/>
              <w:rPr>
                <w:sz w:val="15"/>
                <w:szCs w:val="15"/>
              </w:rPr>
            </w:pPr>
            <w:r>
              <w:rPr>
                <w:sz w:val="15"/>
                <w:szCs w:val="15"/>
              </w:rPr>
              <w:t>Sídlo:</w:t>
            </w:r>
          </w:p>
        </w:tc>
        <w:tc>
          <w:tcPr>
            <w:tcW w:w="4344" w:type="dxa"/>
            <w:shd w:val="clear" w:color="auto" w:fill="FFFFFF"/>
            <w:vAlign w:val="bottom"/>
          </w:tcPr>
          <w:p w:rsidR="009C5A04" w:rsidRDefault="00172CC0">
            <w:pPr>
              <w:pStyle w:val="Other0"/>
              <w:shd w:val="clear" w:color="auto" w:fill="auto"/>
              <w:ind w:left="280"/>
              <w:jc w:val="left"/>
              <w:rPr>
                <w:sz w:val="15"/>
                <w:szCs w:val="15"/>
              </w:rPr>
            </w:pPr>
            <w:r>
              <w:rPr>
                <w:sz w:val="15"/>
                <w:szCs w:val="15"/>
              </w:rPr>
              <w:t>Přátelství 815, Praha 22 - Uhříněves</w:t>
            </w:r>
          </w:p>
        </w:tc>
        <w:tc>
          <w:tcPr>
            <w:tcW w:w="1670" w:type="dxa"/>
            <w:tcBorders>
              <w:top w:val="single" w:sz="4" w:space="0" w:color="auto"/>
            </w:tcBorders>
            <w:shd w:val="clear" w:color="auto" w:fill="FFFFFF"/>
            <w:vAlign w:val="bottom"/>
          </w:tcPr>
          <w:p w:rsidR="009C5A04" w:rsidRDefault="00172CC0">
            <w:pPr>
              <w:pStyle w:val="Other0"/>
              <w:shd w:val="clear" w:color="auto" w:fill="auto"/>
              <w:jc w:val="right"/>
              <w:rPr>
                <w:sz w:val="14"/>
                <w:szCs w:val="14"/>
              </w:rPr>
            </w:pPr>
            <w:r>
              <w:rPr>
                <w:sz w:val="14"/>
                <w:szCs w:val="14"/>
                <w:lang w:val="en-US" w:eastAsia="en-US" w:bidi="en-US"/>
              </w:rPr>
              <w:t>c</w:t>
            </w:r>
          </w:p>
        </w:tc>
        <w:tc>
          <w:tcPr>
            <w:tcW w:w="1536" w:type="dxa"/>
            <w:tcBorders>
              <w:top w:val="single" w:sz="4" w:space="0" w:color="auto"/>
            </w:tcBorders>
            <w:shd w:val="clear" w:color="auto" w:fill="FFFFFF"/>
            <w:vAlign w:val="bottom"/>
          </w:tcPr>
          <w:p w:rsidR="009C5A04" w:rsidRDefault="00172CC0">
            <w:pPr>
              <w:pStyle w:val="Other0"/>
              <w:shd w:val="clear" w:color="auto" w:fill="auto"/>
              <w:tabs>
                <w:tab w:val="left" w:pos="1332"/>
              </w:tabs>
              <w:ind w:left="180"/>
              <w:rPr>
                <w:sz w:val="15"/>
                <w:szCs w:val="15"/>
              </w:rPr>
            </w:pPr>
            <w:r>
              <w:rPr>
                <w:b/>
                <w:bCs/>
                <w:sz w:val="15"/>
                <w:szCs w:val="15"/>
                <w:lang w:val="en-US" w:eastAsia="en-US" w:bidi="en-US"/>
              </w:rPr>
              <w:t>510919660</w:t>
            </w:r>
            <w:r>
              <w:rPr>
                <w:b/>
                <w:bCs/>
                <w:sz w:val="15"/>
                <w:szCs w:val="15"/>
                <w:lang w:val="en-US" w:eastAsia="en-US" w:bidi="en-US"/>
              </w:rPr>
              <w:tab/>
              <w:t>|</w:t>
            </w:r>
          </w:p>
        </w:tc>
      </w:tr>
      <w:tr w:rsidR="009C5A04">
        <w:tblPrEx>
          <w:tblCellMar>
            <w:top w:w="0" w:type="dxa"/>
            <w:bottom w:w="0" w:type="dxa"/>
          </w:tblCellMar>
        </w:tblPrEx>
        <w:trPr>
          <w:trHeight w:hRule="exact" w:val="187"/>
          <w:jc w:val="center"/>
        </w:trPr>
        <w:tc>
          <w:tcPr>
            <w:tcW w:w="2400" w:type="dxa"/>
            <w:shd w:val="clear" w:color="auto" w:fill="FFFFFF"/>
            <w:vAlign w:val="bottom"/>
          </w:tcPr>
          <w:p w:rsidR="009C5A04" w:rsidRDefault="00172CC0">
            <w:pPr>
              <w:pStyle w:val="Other0"/>
              <w:shd w:val="clear" w:color="auto" w:fill="auto"/>
              <w:jc w:val="left"/>
              <w:rPr>
                <w:sz w:val="15"/>
                <w:szCs w:val="15"/>
              </w:rPr>
            </w:pPr>
            <w:r>
              <w:rPr>
                <w:sz w:val="15"/>
                <w:szCs w:val="15"/>
              </w:rPr>
              <w:t>Zastoupená:</w:t>
            </w:r>
          </w:p>
        </w:tc>
        <w:tc>
          <w:tcPr>
            <w:tcW w:w="4344" w:type="dxa"/>
            <w:shd w:val="clear" w:color="auto" w:fill="FFFFFF"/>
            <w:vAlign w:val="bottom"/>
          </w:tcPr>
          <w:p w:rsidR="009C5A04" w:rsidRDefault="00172CC0">
            <w:pPr>
              <w:pStyle w:val="Other0"/>
              <w:shd w:val="clear" w:color="auto" w:fill="auto"/>
              <w:ind w:left="280"/>
              <w:jc w:val="left"/>
              <w:rPr>
                <w:sz w:val="15"/>
                <w:szCs w:val="15"/>
              </w:rPr>
            </w:pPr>
            <w:r>
              <w:rPr>
                <w:sz w:val="15"/>
                <w:szCs w:val="15"/>
              </w:rPr>
              <w:t xml:space="preserve">Doc Ing. Petr Homolka, CSc., </w:t>
            </w:r>
            <w:proofErr w:type="spellStart"/>
            <w:r>
              <w:rPr>
                <w:sz w:val="15"/>
                <w:szCs w:val="15"/>
              </w:rPr>
              <w:t>Ph</w:t>
            </w:r>
            <w:proofErr w:type="spellEnd"/>
            <w:r>
              <w:rPr>
                <w:sz w:val="15"/>
                <w:szCs w:val="15"/>
              </w:rPr>
              <w:t xml:space="preserve"> D.</w:t>
            </w:r>
          </w:p>
        </w:tc>
        <w:tc>
          <w:tcPr>
            <w:tcW w:w="1670" w:type="dxa"/>
            <w:tcBorders>
              <w:top w:val="single" w:sz="4" w:space="0" w:color="auto"/>
            </w:tcBorders>
            <w:shd w:val="clear" w:color="auto" w:fill="FFFFFF"/>
          </w:tcPr>
          <w:p w:rsidR="009C5A04" w:rsidRDefault="009C5A04">
            <w:pPr>
              <w:rPr>
                <w:sz w:val="10"/>
                <w:szCs w:val="10"/>
              </w:rPr>
            </w:pPr>
          </w:p>
        </w:tc>
        <w:tc>
          <w:tcPr>
            <w:tcW w:w="1536" w:type="dxa"/>
            <w:tcBorders>
              <w:top w:val="single" w:sz="4" w:space="0" w:color="auto"/>
            </w:tcBorders>
            <w:shd w:val="clear" w:color="auto" w:fill="FFFFFF"/>
          </w:tcPr>
          <w:p w:rsidR="009C5A04" w:rsidRDefault="009C5A04">
            <w:pPr>
              <w:rPr>
                <w:sz w:val="10"/>
                <w:szCs w:val="10"/>
              </w:rPr>
            </w:pPr>
          </w:p>
        </w:tc>
      </w:tr>
      <w:tr w:rsidR="009C5A04">
        <w:tblPrEx>
          <w:tblCellMar>
            <w:top w:w="0" w:type="dxa"/>
            <w:bottom w:w="0" w:type="dxa"/>
          </w:tblCellMar>
        </w:tblPrEx>
        <w:trPr>
          <w:trHeight w:hRule="exact" w:val="168"/>
          <w:jc w:val="center"/>
        </w:trPr>
        <w:tc>
          <w:tcPr>
            <w:tcW w:w="2400" w:type="dxa"/>
            <w:shd w:val="clear" w:color="auto" w:fill="FFFFFF"/>
          </w:tcPr>
          <w:p w:rsidR="009C5A04" w:rsidRDefault="00172CC0">
            <w:pPr>
              <w:pStyle w:val="Other0"/>
              <w:shd w:val="clear" w:color="auto" w:fill="auto"/>
              <w:jc w:val="left"/>
              <w:rPr>
                <w:sz w:val="15"/>
                <w:szCs w:val="15"/>
              </w:rPr>
            </w:pPr>
            <w:r>
              <w:rPr>
                <w:sz w:val="15"/>
                <w:szCs w:val="15"/>
              </w:rPr>
              <w:t>IČO:</w:t>
            </w:r>
          </w:p>
        </w:tc>
        <w:tc>
          <w:tcPr>
            <w:tcW w:w="4344" w:type="dxa"/>
            <w:shd w:val="clear" w:color="auto" w:fill="FFFFFF"/>
          </w:tcPr>
          <w:p w:rsidR="009C5A04" w:rsidRDefault="00172CC0">
            <w:pPr>
              <w:pStyle w:val="Other0"/>
              <w:shd w:val="clear" w:color="auto" w:fill="auto"/>
              <w:ind w:left="280"/>
              <w:jc w:val="left"/>
              <w:rPr>
                <w:sz w:val="15"/>
                <w:szCs w:val="15"/>
              </w:rPr>
            </w:pPr>
            <w:r>
              <w:rPr>
                <w:sz w:val="15"/>
                <w:szCs w:val="15"/>
              </w:rPr>
              <w:t>00027014</w:t>
            </w:r>
          </w:p>
        </w:tc>
        <w:tc>
          <w:tcPr>
            <w:tcW w:w="1670" w:type="dxa"/>
            <w:shd w:val="clear" w:color="auto" w:fill="FFFFFF"/>
          </w:tcPr>
          <w:p w:rsidR="009C5A04" w:rsidRDefault="009C5A04">
            <w:pPr>
              <w:rPr>
                <w:sz w:val="10"/>
                <w:szCs w:val="10"/>
              </w:rPr>
            </w:pPr>
          </w:p>
        </w:tc>
        <w:tc>
          <w:tcPr>
            <w:tcW w:w="1536" w:type="dxa"/>
            <w:shd w:val="clear" w:color="auto" w:fill="FFFFFF"/>
          </w:tcPr>
          <w:p w:rsidR="009C5A04" w:rsidRDefault="009C5A04">
            <w:pPr>
              <w:rPr>
                <w:sz w:val="10"/>
                <w:szCs w:val="10"/>
              </w:rPr>
            </w:pPr>
          </w:p>
        </w:tc>
      </w:tr>
      <w:tr w:rsidR="009C5A04">
        <w:tblPrEx>
          <w:tblCellMar>
            <w:top w:w="0" w:type="dxa"/>
            <w:bottom w:w="0" w:type="dxa"/>
          </w:tblCellMar>
        </w:tblPrEx>
        <w:trPr>
          <w:trHeight w:hRule="exact" w:val="182"/>
          <w:jc w:val="center"/>
        </w:trPr>
        <w:tc>
          <w:tcPr>
            <w:tcW w:w="2400" w:type="dxa"/>
            <w:shd w:val="clear" w:color="auto" w:fill="FFFFFF"/>
          </w:tcPr>
          <w:p w:rsidR="009C5A04" w:rsidRDefault="00172CC0">
            <w:pPr>
              <w:pStyle w:val="Other0"/>
              <w:shd w:val="clear" w:color="auto" w:fill="auto"/>
              <w:jc w:val="left"/>
              <w:rPr>
                <w:sz w:val="15"/>
                <w:szCs w:val="15"/>
              </w:rPr>
            </w:pPr>
            <w:r>
              <w:rPr>
                <w:sz w:val="15"/>
                <w:szCs w:val="15"/>
              </w:rPr>
              <w:t>DIČ:</w:t>
            </w:r>
          </w:p>
        </w:tc>
        <w:tc>
          <w:tcPr>
            <w:tcW w:w="4344" w:type="dxa"/>
            <w:shd w:val="clear" w:color="auto" w:fill="FFFFFF"/>
          </w:tcPr>
          <w:p w:rsidR="009C5A04" w:rsidRDefault="00172CC0">
            <w:pPr>
              <w:pStyle w:val="Other0"/>
              <w:shd w:val="clear" w:color="auto" w:fill="auto"/>
              <w:ind w:left="280"/>
              <w:jc w:val="left"/>
              <w:rPr>
                <w:sz w:val="15"/>
                <w:szCs w:val="15"/>
              </w:rPr>
            </w:pPr>
            <w:r>
              <w:rPr>
                <w:sz w:val="15"/>
                <w:szCs w:val="15"/>
              </w:rPr>
              <w:t>CZ00027014</w:t>
            </w:r>
          </w:p>
        </w:tc>
        <w:tc>
          <w:tcPr>
            <w:tcW w:w="1670" w:type="dxa"/>
            <w:shd w:val="clear" w:color="auto" w:fill="FFFFFF"/>
          </w:tcPr>
          <w:p w:rsidR="009C5A04" w:rsidRDefault="009C5A04">
            <w:pPr>
              <w:rPr>
                <w:sz w:val="10"/>
                <w:szCs w:val="10"/>
              </w:rPr>
            </w:pPr>
          </w:p>
        </w:tc>
        <w:tc>
          <w:tcPr>
            <w:tcW w:w="1536" w:type="dxa"/>
            <w:shd w:val="clear" w:color="auto" w:fill="FFFFFF"/>
          </w:tcPr>
          <w:p w:rsidR="009C5A04" w:rsidRDefault="009C5A04">
            <w:pPr>
              <w:rPr>
                <w:sz w:val="10"/>
                <w:szCs w:val="10"/>
              </w:rPr>
            </w:pPr>
          </w:p>
        </w:tc>
      </w:tr>
      <w:tr w:rsidR="009C5A04">
        <w:tblPrEx>
          <w:tblCellMar>
            <w:top w:w="0" w:type="dxa"/>
            <w:bottom w:w="0" w:type="dxa"/>
          </w:tblCellMar>
        </w:tblPrEx>
        <w:trPr>
          <w:trHeight w:hRule="exact" w:val="202"/>
          <w:jc w:val="center"/>
        </w:trPr>
        <w:tc>
          <w:tcPr>
            <w:tcW w:w="2400" w:type="dxa"/>
            <w:shd w:val="clear" w:color="auto" w:fill="FFFFFF"/>
          </w:tcPr>
          <w:p w:rsidR="009C5A04" w:rsidRDefault="00172CC0">
            <w:pPr>
              <w:pStyle w:val="Other0"/>
              <w:shd w:val="clear" w:color="auto" w:fill="auto"/>
              <w:jc w:val="left"/>
              <w:rPr>
                <w:sz w:val="15"/>
                <w:szCs w:val="15"/>
              </w:rPr>
            </w:pPr>
            <w:r>
              <w:rPr>
                <w:sz w:val="15"/>
                <w:szCs w:val="15"/>
              </w:rPr>
              <w:t>E-mail:</w:t>
            </w:r>
          </w:p>
        </w:tc>
        <w:tc>
          <w:tcPr>
            <w:tcW w:w="4344" w:type="dxa"/>
            <w:shd w:val="clear" w:color="auto" w:fill="FFFFFF"/>
          </w:tcPr>
          <w:p w:rsidR="009C5A04" w:rsidRDefault="009C5A04" w:rsidP="00B57A35">
            <w:pPr>
              <w:pStyle w:val="Other0"/>
              <w:shd w:val="clear" w:color="auto" w:fill="auto"/>
              <w:jc w:val="left"/>
              <w:rPr>
                <w:sz w:val="15"/>
                <w:szCs w:val="15"/>
              </w:rPr>
            </w:pPr>
          </w:p>
        </w:tc>
        <w:tc>
          <w:tcPr>
            <w:tcW w:w="1670" w:type="dxa"/>
            <w:shd w:val="clear" w:color="auto" w:fill="FFFFFF"/>
          </w:tcPr>
          <w:p w:rsidR="009C5A04" w:rsidRDefault="009C5A04">
            <w:pPr>
              <w:rPr>
                <w:sz w:val="10"/>
                <w:szCs w:val="10"/>
              </w:rPr>
            </w:pPr>
          </w:p>
        </w:tc>
        <w:tc>
          <w:tcPr>
            <w:tcW w:w="1536" w:type="dxa"/>
            <w:shd w:val="clear" w:color="auto" w:fill="FFFFFF"/>
          </w:tcPr>
          <w:p w:rsidR="009C5A04" w:rsidRDefault="009C5A04">
            <w:pPr>
              <w:rPr>
                <w:sz w:val="10"/>
                <w:szCs w:val="10"/>
              </w:rPr>
            </w:pPr>
          </w:p>
        </w:tc>
      </w:tr>
    </w:tbl>
    <w:p w:rsidR="009C5A04" w:rsidRDefault="00172CC0">
      <w:pPr>
        <w:pStyle w:val="Tablecaption0"/>
        <w:shd w:val="clear" w:color="auto" w:fill="auto"/>
        <w:ind w:left="14"/>
      </w:pPr>
      <w:r>
        <w:t>(dále jen „zákazník)</w:t>
      </w:r>
    </w:p>
    <w:p w:rsidR="009C5A04" w:rsidRDefault="009C5A04">
      <w:pPr>
        <w:spacing w:after="126" w:line="14" w:lineRule="exact"/>
      </w:pPr>
    </w:p>
    <w:p w:rsidR="009C5A04" w:rsidRDefault="00172CC0">
      <w:pPr>
        <w:pStyle w:val="Bodytext20"/>
        <w:shd w:val="clear" w:color="auto" w:fill="auto"/>
        <w:spacing w:after="0" w:line="254" w:lineRule="auto"/>
        <w:jc w:val="center"/>
      </w:pPr>
      <w:r>
        <w:t>tento</w:t>
      </w:r>
    </w:p>
    <w:p w:rsidR="009C5A04" w:rsidRDefault="00172CC0">
      <w:pPr>
        <w:pStyle w:val="Bodytext20"/>
        <w:shd w:val="clear" w:color="auto" w:fill="auto"/>
        <w:spacing w:after="0" w:line="254" w:lineRule="auto"/>
        <w:jc w:val="center"/>
      </w:pPr>
      <w:r>
        <w:rPr>
          <w:b/>
          <w:bCs/>
        </w:rPr>
        <w:t>Dodatek č. 1</w:t>
      </w:r>
    </w:p>
    <w:p w:rsidR="009C5A04" w:rsidRDefault="00172CC0">
      <w:pPr>
        <w:pStyle w:val="Bodytext20"/>
        <w:shd w:val="clear" w:color="auto" w:fill="auto"/>
        <w:spacing w:after="100" w:line="254" w:lineRule="auto"/>
        <w:jc w:val="center"/>
      </w:pPr>
      <w:r>
        <w:rPr>
          <w:b/>
          <w:bCs/>
        </w:rPr>
        <w:t>číslo ev. 64/2020/TP/10/510919660</w:t>
      </w:r>
    </w:p>
    <w:p w:rsidR="009C5A04" w:rsidRDefault="00172CC0">
      <w:pPr>
        <w:pStyle w:val="Bodytext20"/>
        <w:shd w:val="clear" w:color="auto" w:fill="auto"/>
        <w:spacing w:after="260" w:line="254" w:lineRule="auto"/>
        <w:jc w:val="center"/>
      </w:pPr>
      <w:r>
        <w:t>ke Smlouvě na dodávky technických plynů v lahvích a kontejnerech a poskytování dalších plnění č. 240/2010/TP/10/510919660</w:t>
      </w:r>
      <w:r>
        <w:br/>
        <w:t xml:space="preserve">datované 23.7.2010 (dále jen </w:t>
      </w:r>
      <w:r>
        <w:t>„Smlouva")</w:t>
      </w:r>
    </w:p>
    <w:p w:rsidR="009C5A04" w:rsidRDefault="00172CC0">
      <w:pPr>
        <w:pStyle w:val="Bodytext20"/>
        <w:numPr>
          <w:ilvl w:val="0"/>
          <w:numId w:val="1"/>
        </w:numPr>
        <w:shd w:val="clear" w:color="auto" w:fill="auto"/>
        <w:tabs>
          <w:tab w:val="left" w:pos="341"/>
        </w:tabs>
        <w:spacing w:after="60"/>
      </w:pPr>
      <w:r>
        <w:t>Strany se dohodly na tom, že bod 5 Smlouvy se nahrazuje tito novým zněním:</w:t>
      </w:r>
    </w:p>
    <w:p w:rsidR="009C5A04" w:rsidRDefault="00172CC0">
      <w:pPr>
        <w:pStyle w:val="Bodytext20"/>
        <w:shd w:val="clear" w:color="auto" w:fill="auto"/>
        <w:ind w:left="360"/>
      </w:pPr>
      <w:r>
        <w:t xml:space="preserve">5. Tato </w:t>
      </w:r>
      <w:proofErr w:type="spellStart"/>
      <w:r>
        <w:rPr>
          <w:i/>
          <w:iCs/>
        </w:rPr>
        <w:t>Sm</w:t>
      </w:r>
      <w:proofErr w:type="spellEnd"/>
      <w:r>
        <w:rPr>
          <w:i/>
          <w:iCs/>
        </w:rPr>
        <w:t>/</w:t>
      </w:r>
      <w:proofErr w:type="spellStart"/>
      <w:r>
        <w:rPr>
          <w:i/>
          <w:iCs/>
        </w:rPr>
        <w:t>ouva</w:t>
      </w:r>
      <w:proofErr w:type="spellEnd"/>
      <w:r>
        <w:rPr>
          <w:i/>
          <w:iCs/>
        </w:rPr>
        <w:t xml:space="preserve"> se uzavírá se na dobu určitou do 31.12.2020. Její účinnost se prodlužuje pravidelně vždy o jeden rok, </w:t>
      </w:r>
      <w:proofErr w:type="spellStart"/>
      <w:r>
        <w:rPr>
          <w:i/>
          <w:iCs/>
        </w:rPr>
        <w:t>nesděli-li</w:t>
      </w:r>
      <w:proofErr w:type="spellEnd"/>
      <w:r>
        <w:rPr>
          <w:i/>
          <w:iCs/>
        </w:rPr>
        <w:t xml:space="preserve"> jedna smluvní strana písemně druhé </w:t>
      </w:r>
      <w:proofErr w:type="spellStart"/>
      <w:r>
        <w:rPr>
          <w:i/>
          <w:iCs/>
        </w:rPr>
        <w:t>smluvni</w:t>
      </w:r>
      <w:proofErr w:type="spellEnd"/>
      <w:r>
        <w:rPr>
          <w:i/>
          <w:iCs/>
        </w:rPr>
        <w:t xml:space="preserve"> straně nejméně tři měsíce před skončením Smlouvy, že na skončení Smlouvy uplynutím doby její</w:t>
      </w:r>
      <w:r>
        <w:rPr>
          <w:i/>
          <w:iCs/>
        </w:rPr>
        <w:t xml:space="preserve"> účinnosti trvá. V případě ukončení Smlouvy je zákazník povinen vrátit </w:t>
      </w:r>
      <w:r>
        <w:rPr>
          <w:i/>
          <w:iCs/>
          <w:lang w:val="en-US" w:eastAsia="en-US" w:bidi="en-US"/>
        </w:rPr>
        <w:t xml:space="preserve">Linde </w:t>
      </w:r>
      <w:r>
        <w:rPr>
          <w:i/>
          <w:iCs/>
        </w:rPr>
        <w:t>pronajaté Lahve a jiné Distribuční prostředky do 14 dnů od skončení Smlouvy.</w:t>
      </w:r>
    </w:p>
    <w:p w:rsidR="009C5A04" w:rsidRDefault="00172CC0">
      <w:pPr>
        <w:pStyle w:val="Bodytext20"/>
        <w:numPr>
          <w:ilvl w:val="0"/>
          <w:numId w:val="1"/>
        </w:numPr>
        <w:shd w:val="clear" w:color="auto" w:fill="auto"/>
        <w:tabs>
          <w:tab w:val="left" w:pos="341"/>
        </w:tabs>
      </w:pPr>
      <w:r>
        <w:t xml:space="preserve">Součástí Smlouvy se stávají níže přiložené Všeobecné podmínky </w:t>
      </w:r>
      <w:r>
        <w:rPr>
          <w:lang w:val="en-US" w:eastAsia="en-US" w:bidi="en-US"/>
        </w:rPr>
        <w:t xml:space="preserve">Linde </w:t>
      </w:r>
      <w:r>
        <w:t>pro prodej Plynů a nájem Distribuč</w:t>
      </w:r>
      <w:r>
        <w:t>ních prostředků.</w:t>
      </w:r>
    </w:p>
    <w:p w:rsidR="009C5A04" w:rsidRDefault="00172CC0">
      <w:pPr>
        <w:pStyle w:val="Bodytext20"/>
        <w:numPr>
          <w:ilvl w:val="0"/>
          <w:numId w:val="1"/>
        </w:numPr>
        <w:shd w:val="clear" w:color="auto" w:fill="auto"/>
        <w:tabs>
          <w:tab w:val="left" w:pos="341"/>
        </w:tabs>
        <w:spacing w:after="0"/>
      </w:pPr>
      <w:r>
        <w:t>V ostatním zůstává Smlouva beze změny.</w:t>
      </w:r>
    </w:p>
    <w:p w:rsidR="009C5A04" w:rsidRDefault="00172CC0">
      <w:pPr>
        <w:pStyle w:val="Picturecaption0"/>
        <w:shd w:val="clear" w:color="auto" w:fill="auto"/>
      </w:pPr>
      <w:r>
        <w:t xml:space="preserve">4. </w:t>
      </w:r>
      <w:r>
        <w:t>Tento dodatek se vyhotovuje ve dvou stejnopisech po jednom pro každou ze Stran.</w:t>
      </w: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r>
        <w:t xml:space="preserve"> V Praze dne………</w:t>
      </w:r>
      <w:proofErr w:type="gramStart"/>
      <w:r>
        <w:t>…….</w:t>
      </w:r>
      <w:proofErr w:type="gramEnd"/>
      <w:r>
        <w:t>.</w:t>
      </w: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p>
    <w:p w:rsidR="00B57A35" w:rsidRDefault="00B57A35">
      <w:pPr>
        <w:pStyle w:val="Picturecaption0"/>
        <w:shd w:val="clear" w:color="auto" w:fill="auto"/>
      </w:pPr>
      <w:r>
        <w:t>…………………………………………….                                                               ……………………………………………</w:t>
      </w:r>
    </w:p>
    <w:p w:rsidR="00B57A35" w:rsidRDefault="00B57A35">
      <w:pPr>
        <w:pStyle w:val="Picturecaption0"/>
        <w:shd w:val="clear" w:color="auto" w:fill="auto"/>
      </w:pPr>
      <w:r>
        <w:t xml:space="preserve">                 Za Linde </w:t>
      </w:r>
      <w:proofErr w:type="spellStart"/>
      <w:r>
        <w:t>Gas</w:t>
      </w:r>
      <w:proofErr w:type="spellEnd"/>
      <w:r>
        <w:t xml:space="preserve"> a.s.                                                                                                  za zákazníka</w:t>
      </w:r>
    </w:p>
    <w:p w:rsidR="009C5A04" w:rsidRDefault="009C5A04">
      <w:pPr>
        <w:rPr>
          <w:sz w:val="2"/>
          <w:szCs w:val="2"/>
        </w:rPr>
      </w:pPr>
    </w:p>
    <w:p w:rsidR="009C5A04" w:rsidRDefault="009C5A04">
      <w:pPr>
        <w:spacing w:after="86" w:line="14" w:lineRule="exact"/>
      </w:pPr>
    </w:p>
    <w:p w:rsidR="009C5A04" w:rsidRPr="00B57A35" w:rsidRDefault="009C5A04" w:rsidP="00B57A35">
      <w:pPr>
        <w:pStyle w:val="Heading10"/>
        <w:keepNext/>
        <w:keepLines/>
        <w:shd w:val="clear" w:color="auto" w:fill="auto"/>
        <w:sectPr w:rsidR="009C5A04" w:rsidRPr="00B57A35">
          <w:pgSz w:w="11900" w:h="16840"/>
          <w:pgMar w:top="915" w:right="749" w:bottom="915" w:left="1067" w:header="0" w:footer="3" w:gutter="0"/>
          <w:cols w:space="720"/>
          <w:noEndnote/>
          <w:docGrid w:linePitch="360"/>
        </w:sectPr>
      </w:pPr>
    </w:p>
    <w:p w:rsidR="009C5A04" w:rsidRDefault="00172CC0">
      <w:pPr>
        <w:pStyle w:val="Zkladntext"/>
        <w:shd w:val="clear" w:color="auto" w:fill="auto"/>
      </w:pPr>
      <w:r>
        <w:rPr>
          <w:noProof/>
          <w:sz w:val="15"/>
          <w:szCs w:val="15"/>
        </w:rPr>
        <w:lastRenderedPageBreak/>
        <mc:AlternateContent>
          <mc:Choice Requires="wps">
            <w:drawing>
              <wp:anchor distT="0" distB="0" distL="114300" distR="114300" simplePos="0" relativeHeight="125829378" behindDoc="0" locked="0" layoutInCell="1" allowOverlap="1">
                <wp:simplePos x="0" y="0"/>
                <wp:positionH relativeFrom="page">
                  <wp:posOffset>467995</wp:posOffset>
                </wp:positionH>
                <wp:positionV relativeFrom="margin">
                  <wp:posOffset>0</wp:posOffset>
                </wp:positionV>
                <wp:extent cx="5440680" cy="29845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5440680" cy="298450"/>
                        </a:xfrm>
                        <a:prstGeom prst="rect">
                          <a:avLst/>
                        </a:prstGeom>
                        <a:noFill/>
                      </wps:spPr>
                      <wps:txbx>
                        <w:txbxContent>
                          <w:p w:rsidR="009C5A04" w:rsidRDefault="00172CC0">
                            <w:pPr>
                              <w:pStyle w:val="Zkladntext"/>
                              <w:shd w:val="clear" w:color="auto" w:fill="auto"/>
                              <w:jc w:val="right"/>
                              <w:rPr>
                                <w:sz w:val="13"/>
                                <w:szCs w:val="13"/>
                              </w:rPr>
                            </w:pPr>
                            <w:r>
                              <w:rPr>
                                <w:b/>
                                <w:bCs/>
                                <w:sz w:val="13"/>
                                <w:szCs w:val="13"/>
                              </w:rPr>
                              <w:t xml:space="preserve">VŠEOBECNÉ OBCHODNÍ PODMÍNKY </w:t>
                            </w:r>
                            <w:r>
                              <w:rPr>
                                <w:b/>
                                <w:bCs/>
                                <w:sz w:val="13"/>
                                <w:szCs w:val="13"/>
                                <w:lang w:val="en-US" w:eastAsia="en-US" w:bidi="en-US"/>
                              </w:rPr>
                              <w:t xml:space="preserve">LINDE </w:t>
                            </w:r>
                            <w:r>
                              <w:rPr>
                                <w:b/>
                                <w:bCs/>
                                <w:sz w:val="13"/>
                                <w:szCs w:val="13"/>
                              </w:rPr>
                              <w:t>PRO PRODEJ PLYNŮ A NÁJEM DISTRIBUČNÍCH PROSTŘEDKŮ</w:t>
                            </w:r>
                          </w:p>
                          <w:p w:rsidR="009C5A04" w:rsidRDefault="00172CC0">
                            <w:pPr>
                              <w:pStyle w:val="Zkladntext"/>
                              <w:shd w:val="clear" w:color="auto" w:fill="auto"/>
                              <w:ind w:left="4540"/>
                              <w:jc w:val="left"/>
                              <w:rPr>
                                <w:sz w:val="11"/>
                                <w:szCs w:val="11"/>
                              </w:rPr>
                            </w:pPr>
                            <w:r>
                              <w:rPr>
                                <w:sz w:val="11"/>
                                <w:szCs w:val="11"/>
                              </w:rPr>
                              <w:t>(dále jen „Podmínky")</w:t>
                            </w:r>
                          </w:p>
                          <w:p w:rsidR="009C5A04" w:rsidRDefault="00172CC0">
                            <w:pPr>
                              <w:pStyle w:val="Zkladntext"/>
                              <w:shd w:val="clear" w:color="auto" w:fill="auto"/>
                              <w:jc w:val="left"/>
                            </w:pPr>
                            <w:r>
                              <w:t>1. ZÁKLADNÍ USTANOVENÍ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36.85pt;margin-top:0;width:428.4pt;height:23.5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" filled="f" stroked="f">
                <v:textbox style="mso-fit-shape-to-text:t" inset="0,0,0,0">
                  <w:txbxContent>
                    <w:p w:rsidR="009C5A04" w:rsidRDefault="00172CC0">
                      <w:pPr>
                        <w:pStyle w:val="Zkladntext"/>
                        <w:shd w:val="clear" w:color="auto" w:fill="auto"/>
                        <w:jc w:val="right"/>
                        <w:rPr>
                          <w:sz w:val="13"/>
                          <w:szCs w:val="13"/>
                        </w:rPr>
                      </w:pPr>
                      <w:r>
                        <w:rPr>
                          <w:b/>
                          <w:bCs/>
                          <w:sz w:val="13"/>
                          <w:szCs w:val="13"/>
                        </w:rPr>
                        <w:t xml:space="preserve">VŠEOBECNÉ OBCHODNÍ PODMÍNKY </w:t>
                      </w:r>
                      <w:r>
                        <w:rPr>
                          <w:b/>
                          <w:bCs/>
                          <w:sz w:val="13"/>
                          <w:szCs w:val="13"/>
                          <w:lang w:val="en-US" w:eastAsia="en-US" w:bidi="en-US"/>
                        </w:rPr>
                        <w:t xml:space="preserve">LINDE </w:t>
                      </w:r>
                      <w:r>
                        <w:rPr>
                          <w:b/>
                          <w:bCs/>
                          <w:sz w:val="13"/>
                          <w:szCs w:val="13"/>
                        </w:rPr>
                        <w:t>PRO PRODEJ PLYNŮ A NÁJEM DISTRIBUČNÍCH PROSTŘEDKŮ</w:t>
                      </w:r>
                    </w:p>
                    <w:p w:rsidR="009C5A04" w:rsidRDefault="00172CC0">
                      <w:pPr>
                        <w:pStyle w:val="Zkladntext"/>
                        <w:shd w:val="clear" w:color="auto" w:fill="auto"/>
                        <w:ind w:left="4540"/>
                        <w:jc w:val="left"/>
                        <w:rPr>
                          <w:sz w:val="11"/>
                          <w:szCs w:val="11"/>
                        </w:rPr>
                      </w:pPr>
                      <w:r>
                        <w:rPr>
                          <w:sz w:val="11"/>
                          <w:szCs w:val="11"/>
                        </w:rPr>
                        <w:t>(dále jen „Podmínky")</w:t>
                      </w:r>
                    </w:p>
                    <w:p w:rsidR="009C5A04" w:rsidRDefault="00172CC0">
                      <w:pPr>
                        <w:pStyle w:val="Zkladntext"/>
                        <w:shd w:val="clear" w:color="auto" w:fill="auto"/>
                        <w:jc w:val="left"/>
                      </w:pPr>
                      <w:r>
                        <w:t>1. ZÁKLADNÍ USTANOVENÍ</w:t>
                      </w:r>
                    </w:p>
                  </w:txbxContent>
                </v:textbox>
                <w10:wrap type="topAndBottom" anchorx="page" anchory="margin"/>
              </v:shape>
            </w:pict>
          </mc:Fallback>
        </mc:AlternateContent>
      </w:r>
      <w:r>
        <w:t xml:space="preserve">Tyto Podmínky jsou integrální součástí každé smlouvy, na </w:t>
      </w:r>
      <w:proofErr w:type="gramStart"/>
      <w:r>
        <w:t>základě</w:t>
      </w:r>
      <w:proofErr w:type="gramEnd"/>
      <w:r>
        <w:t xml:space="preserve"> které se </w:t>
      </w:r>
      <w:r>
        <w:rPr>
          <w:lang w:val="en-US" w:eastAsia="en-US" w:bidi="en-US"/>
        </w:rPr>
        <w:t xml:space="preserve">Linde </w:t>
      </w:r>
      <w:r>
        <w:t xml:space="preserve">zavazuje dodávat zákazníkovi technický, medicinální či speciální plyn/y v jakémkoliv skupenství v Distribučním prostředku nebo do Zásobovacího zařízení (dále jen </w:t>
      </w:r>
      <w:r>
        <w:rPr>
          <w:sz w:val="13"/>
          <w:szCs w:val="13"/>
        </w:rPr>
        <w:t xml:space="preserve">„Plyn/y") </w:t>
      </w:r>
      <w:r>
        <w:t xml:space="preserve">a/nebo mu pronajmout Distribuční prostředek či Zásobovací zařízení </w:t>
      </w:r>
      <w:r>
        <w:rPr>
          <w:lang w:val="en-US" w:eastAsia="en-US" w:bidi="en-US"/>
        </w:rPr>
        <w:t>Linde.</w:t>
      </w:r>
    </w:p>
    <w:p w:rsidR="009C5A04" w:rsidRDefault="00172CC0">
      <w:pPr>
        <w:pStyle w:val="Zkladntext"/>
        <w:shd w:val="clear" w:color="auto" w:fill="auto"/>
        <w:spacing w:after="60"/>
      </w:pPr>
      <w:r>
        <w:t>Jednotlivé</w:t>
      </w:r>
      <w:r>
        <w:t xml:space="preserve"> smlouvy vznikají akceptací nabídky Lindě (zástupce </w:t>
      </w:r>
      <w:r>
        <w:rPr>
          <w:lang w:val="en-US" w:eastAsia="en-US" w:bidi="en-US"/>
        </w:rPr>
        <w:t xml:space="preserve">Linde) </w:t>
      </w:r>
      <w:r>
        <w:t xml:space="preserve">zákazníkem, a to prostřednictvím smluv, objednávek zákazníka potvrzených ze strany </w:t>
      </w:r>
      <w:r>
        <w:rPr>
          <w:lang w:val="en-US" w:eastAsia="en-US" w:bidi="en-US"/>
        </w:rPr>
        <w:t xml:space="preserve">Linde, </w:t>
      </w:r>
      <w:r>
        <w:t>a/nebo pouhým převzetím Distribučního prostředku zákazníkem (dále jen „Smlouva"). Právní úkony směřující ke</w:t>
      </w:r>
      <w:r>
        <w:t xml:space="preserve"> změně či ukončení Smlouvy vyžadují písemnou formu, která však není dodržena při elektronické formě komunikace, elektronická forma písemnosti však postačuje pro změny cen ze strany </w:t>
      </w:r>
      <w:r>
        <w:rPr>
          <w:lang w:val="en-US" w:eastAsia="en-US" w:bidi="en-US"/>
        </w:rPr>
        <w:t xml:space="preserve">Linde, </w:t>
      </w:r>
      <w:r>
        <w:t xml:space="preserve">Změnu cen Plynů, dalších produktů či nájemného </w:t>
      </w:r>
      <w:r>
        <w:rPr>
          <w:lang w:val="en-US" w:eastAsia="en-US" w:bidi="en-US"/>
        </w:rPr>
        <w:t xml:space="preserve">Linde </w:t>
      </w:r>
      <w:r>
        <w:t>oznámí zákazník</w:t>
      </w:r>
      <w:r>
        <w:t xml:space="preserve">ovi min. 15 dní předem prostřednictvím zejm. e-mailu a/nebo zveřejněním nového ceníku v Prodejních místech </w:t>
      </w:r>
      <w:r>
        <w:rPr>
          <w:lang w:val="en-US" w:eastAsia="en-US" w:bidi="en-US"/>
        </w:rPr>
        <w:t xml:space="preserve">Linde. </w:t>
      </w:r>
      <w:r>
        <w:t xml:space="preserve">Zákazník souhlasí s tím, že </w:t>
      </w:r>
      <w:r>
        <w:rPr>
          <w:lang w:val="en-US" w:eastAsia="en-US" w:bidi="en-US"/>
        </w:rPr>
        <w:t xml:space="preserve">Linde </w:t>
      </w:r>
      <w:r>
        <w:t xml:space="preserve">může plnit své smluvní závazky prostřednictvím třetích osob, zejména „Partnerů </w:t>
      </w:r>
      <w:r>
        <w:rPr>
          <w:lang w:val="en-US" w:eastAsia="en-US" w:bidi="en-US"/>
        </w:rPr>
        <w:t xml:space="preserve">Linde", </w:t>
      </w:r>
      <w:r>
        <w:t xml:space="preserve">tj. osob které </w:t>
      </w:r>
      <w:r>
        <w:rPr>
          <w:lang w:val="en-US" w:eastAsia="en-US" w:bidi="en-US"/>
        </w:rPr>
        <w:t xml:space="preserve">Linde </w:t>
      </w:r>
      <w:r>
        <w:t xml:space="preserve">zmocnila k prodeji zboží, služeb a Distribučních prostředků s Plynem a jejich převozu k/od zákazníků a/nebo „Prodejních míst Lindě", což jsou prodejny provozované ze strany </w:t>
      </w:r>
      <w:r>
        <w:rPr>
          <w:lang w:val="en-US" w:eastAsia="en-US" w:bidi="en-US"/>
        </w:rPr>
        <w:t xml:space="preserve">Linde </w:t>
      </w:r>
      <w:r>
        <w:t>nebo Partnerů Lindě. Smluvní strany jsou povinny své identifikační a kontaktn</w:t>
      </w:r>
      <w:r>
        <w:t>í údaje při uzavření Smlouvy uvádět správně a pravdivě a bez zbytečného odkladu informovat druhou smluvní stranu o změně těchto údajů.</w:t>
      </w:r>
    </w:p>
    <w:p w:rsidR="009C5A04" w:rsidRDefault="00172CC0">
      <w:pPr>
        <w:pStyle w:val="Zkladntext"/>
        <w:numPr>
          <w:ilvl w:val="0"/>
          <w:numId w:val="2"/>
        </w:numPr>
        <w:shd w:val="clear" w:color="auto" w:fill="auto"/>
        <w:tabs>
          <w:tab w:val="left" w:pos="226"/>
        </w:tabs>
      </w:pPr>
      <w:r>
        <w:t>DODÁVKY PLYNŮ V DISTRIBUČNÍCH PROSTŘEDCÍCH</w:t>
      </w:r>
    </w:p>
    <w:p w:rsidR="009C5A04" w:rsidRDefault="00172CC0">
      <w:pPr>
        <w:pStyle w:val="Zkladntext"/>
        <w:shd w:val="clear" w:color="auto" w:fill="auto"/>
      </w:pPr>
      <w:r>
        <w:t xml:space="preserve">„Distribučním prostředkem" se rozumí přenosná tlaková nádoba či </w:t>
      </w:r>
      <w:r>
        <w:rPr>
          <w:sz w:val="13"/>
          <w:szCs w:val="13"/>
        </w:rPr>
        <w:t xml:space="preserve">zařízení </w:t>
      </w:r>
      <w:r>
        <w:t>k zás</w:t>
      </w:r>
      <w:r>
        <w:t xml:space="preserve">obování Plynem v podobě Lahví, Palet, Pevných svazků lahví, Kontejnerů </w:t>
      </w:r>
      <w:r>
        <w:rPr>
          <w:sz w:val="13"/>
          <w:szCs w:val="13"/>
        </w:rPr>
        <w:t xml:space="preserve">a </w:t>
      </w:r>
      <w:r>
        <w:t>Trajlerů. „Lahví" se rozumí kovová tlaková nádoba pro přepravu Plynů do 90 I vodního objemu. „Paletou" se rozumí přepravní zařízení, uzpůsobené pro přepravu jednotlivých Lahví. „Pevný</w:t>
      </w:r>
      <w:r>
        <w:t xml:space="preserve">m svazkem lahví“ se </w:t>
      </w:r>
      <w:r>
        <w:rPr>
          <w:sz w:val="13"/>
          <w:szCs w:val="13"/>
        </w:rPr>
        <w:t xml:space="preserve">rozumí </w:t>
      </w:r>
      <w:r>
        <w:t xml:space="preserve">několik vzájemně propojených Lahví na společném přepravním základě. „Kontejnerem" se rozumí mobilní nádoba </w:t>
      </w:r>
      <w:r>
        <w:rPr>
          <w:sz w:val="13"/>
          <w:szCs w:val="13"/>
        </w:rPr>
        <w:t xml:space="preserve">pro </w:t>
      </w:r>
      <w:r>
        <w:t>přepravu Plynů o objemu větším než 90 I vodního objemu. „Trajlerem“ se rozumí silniční vůz přepravující Pevné svazky l</w:t>
      </w:r>
      <w:r>
        <w:t>ahví, které jsou navzájem propojeny</w:t>
      </w:r>
    </w:p>
    <w:p w:rsidR="009C5A04" w:rsidRDefault="00172CC0">
      <w:pPr>
        <w:pStyle w:val="Zkladntext"/>
        <w:shd w:val="clear" w:color="auto" w:fill="auto"/>
        <w:spacing w:after="60"/>
      </w:pPr>
      <w:r>
        <w:t xml:space="preserve">Objednávka zákazníka musí obsahovat alespoň druh Plynu, jeho množství a požadovaný termín a místo dodání a musí být doručena v dostatečném předstihu před požadovaným termínem dodání. Pokud místo dodání nebylo ve Smlouvě </w:t>
      </w:r>
      <w:r>
        <w:t xml:space="preserve">sjednáno pak platí, </w:t>
      </w:r>
      <w:r>
        <w:rPr>
          <w:sz w:val="13"/>
          <w:szCs w:val="13"/>
        </w:rPr>
        <w:t xml:space="preserve">že </w:t>
      </w:r>
      <w:r>
        <w:t xml:space="preserve">místem dodání Plynů je Prodejní místo </w:t>
      </w:r>
      <w:r>
        <w:rPr>
          <w:lang w:val="en-US" w:eastAsia="en-US" w:bidi="en-US"/>
        </w:rPr>
        <w:t xml:space="preserve">Linde. </w:t>
      </w:r>
      <w:r>
        <w:t xml:space="preserve">Pokud nebyl dohodnut termín dodání, bude dopravu Distribučního prostředku k zákazníkovi provádět Partner </w:t>
      </w:r>
      <w:r>
        <w:rPr>
          <w:lang w:val="en-US" w:eastAsia="en-US" w:bidi="en-US"/>
        </w:rPr>
        <w:t xml:space="preserve">Linde, </w:t>
      </w:r>
      <w:r>
        <w:t>přičemž doručí Plyny v Lahvích, Paletách, Pevných svazcích lahví či Kontejne</w:t>
      </w:r>
      <w:r>
        <w:t xml:space="preserve">rech do dvou pracovních dnů a Plyny </w:t>
      </w:r>
      <w:proofErr w:type="spellStart"/>
      <w:r>
        <w:t>vTrajlerech</w:t>
      </w:r>
      <w:proofErr w:type="spellEnd"/>
      <w:r>
        <w:t xml:space="preserve"> do tři pracovních dnů. Nepřevezme-li zákazník Distribuční prostředek s Plynem ve sjednaném termínu, splní </w:t>
      </w:r>
      <w:r>
        <w:rPr>
          <w:lang w:val="en-US" w:eastAsia="en-US" w:bidi="en-US"/>
        </w:rPr>
        <w:t xml:space="preserve">Linde </w:t>
      </w:r>
      <w:r>
        <w:t xml:space="preserve">svou povinnost tím, </w:t>
      </w:r>
      <w:r>
        <w:rPr>
          <w:sz w:val="13"/>
          <w:szCs w:val="13"/>
        </w:rPr>
        <w:t xml:space="preserve">že </w:t>
      </w:r>
      <w:r>
        <w:t>zákazníkovi umožní převzít si Distribuční prostředek s Plynem v Prodejním</w:t>
      </w:r>
      <w:r>
        <w:t xml:space="preserve"> místě </w:t>
      </w:r>
      <w:r>
        <w:rPr>
          <w:lang w:val="en-US" w:eastAsia="en-US" w:bidi="en-US"/>
        </w:rPr>
        <w:t xml:space="preserve">Linde. </w:t>
      </w:r>
      <w:r>
        <w:t xml:space="preserve">Jestliže si zákazník či jím </w:t>
      </w:r>
      <w:r>
        <w:rPr>
          <w:sz w:val="13"/>
          <w:szCs w:val="13"/>
        </w:rPr>
        <w:t xml:space="preserve">určený </w:t>
      </w:r>
      <w:r>
        <w:t xml:space="preserve">dopravce vyzvedává Distribuční prostředek v Prodejním místě </w:t>
      </w:r>
      <w:r>
        <w:rPr>
          <w:lang w:val="en-US" w:eastAsia="en-US" w:bidi="en-US"/>
        </w:rPr>
        <w:t xml:space="preserve">Linde, </w:t>
      </w:r>
      <w:r>
        <w:t>pak zákazník odpovídá za bezpečnou nakládku, převoz a vykládku Distribučního prostředku a je povinen dodržovat předpisy týkající se přepravy</w:t>
      </w:r>
      <w:r>
        <w:t xml:space="preserve"> Plynu, zvláště pravidla bezpečnosti práce a provozní pravidla včetně ČSN 078304. </w:t>
      </w:r>
      <w:proofErr w:type="spellStart"/>
      <w:r>
        <w:t>Pn</w:t>
      </w:r>
      <w:proofErr w:type="spellEnd"/>
      <w:r>
        <w:t xml:space="preserve"> převzetí Distribučního prostředku (či jiného produktu </w:t>
      </w:r>
      <w:r>
        <w:rPr>
          <w:lang w:val="en-US" w:eastAsia="en-US" w:bidi="en-US"/>
        </w:rPr>
        <w:t xml:space="preserve">Linde) </w:t>
      </w:r>
      <w:r>
        <w:t xml:space="preserve">je zástupce zákazníka povinen se prokázat zákaznickou kartou </w:t>
      </w:r>
      <w:r>
        <w:rPr>
          <w:lang w:val="en-US" w:eastAsia="en-US" w:bidi="en-US"/>
        </w:rPr>
        <w:t xml:space="preserve">Linde, </w:t>
      </w:r>
      <w:r>
        <w:t>na které je uvedeno číslo zákazníka U Plyn</w:t>
      </w:r>
      <w:r>
        <w:t xml:space="preserve">u podléhajícího spotřební dani (např. LPG) </w:t>
      </w:r>
      <w:r>
        <w:rPr>
          <w:sz w:val="13"/>
          <w:szCs w:val="13"/>
        </w:rPr>
        <w:t xml:space="preserve">je </w:t>
      </w:r>
      <w:r>
        <w:t xml:space="preserve">zákazník povinen sdělit </w:t>
      </w:r>
      <w:r>
        <w:rPr>
          <w:lang w:val="en-US" w:eastAsia="en-US" w:bidi="en-US"/>
        </w:rPr>
        <w:t xml:space="preserve">Linde </w:t>
      </w:r>
      <w:r>
        <w:t>účel jeho použití.</w:t>
      </w:r>
    </w:p>
    <w:p w:rsidR="009C5A04" w:rsidRDefault="00172CC0">
      <w:pPr>
        <w:pStyle w:val="Zkladntext"/>
        <w:numPr>
          <w:ilvl w:val="0"/>
          <w:numId w:val="2"/>
        </w:numPr>
        <w:shd w:val="clear" w:color="auto" w:fill="auto"/>
        <w:tabs>
          <w:tab w:val="left" w:pos="226"/>
        </w:tabs>
      </w:pPr>
      <w:r>
        <w:t>DODÁVKY PLYNŮ DO ZÁSOBOVACÍCH ZAŘÍZENÍ</w:t>
      </w:r>
    </w:p>
    <w:p w:rsidR="009C5A04" w:rsidRDefault="00172CC0">
      <w:pPr>
        <w:pStyle w:val="Zkladntext"/>
        <w:shd w:val="clear" w:color="auto" w:fill="auto"/>
        <w:spacing w:after="60"/>
      </w:pPr>
      <w:r>
        <w:t xml:space="preserve">„Zásobovacím zařízení" se rozumí velkoobjemový zásobník, do kterého </w:t>
      </w:r>
      <w:r>
        <w:rPr>
          <w:lang w:val="en-US" w:eastAsia="en-US" w:bidi="en-US"/>
        </w:rPr>
        <w:t xml:space="preserve">Linde </w:t>
      </w:r>
      <w:r>
        <w:t>dodává zpravidla kapalné Plyny. „Zásobovací zaří</w:t>
      </w:r>
      <w:r>
        <w:t xml:space="preserve">zení </w:t>
      </w:r>
      <w:r>
        <w:rPr>
          <w:lang w:val="en-US" w:eastAsia="en-US" w:bidi="en-US"/>
        </w:rPr>
        <w:t xml:space="preserve">Linde", </w:t>
      </w:r>
      <w:r>
        <w:t xml:space="preserve">které Lindě na základě samostatné Smlouvy pronajalo zákazníkovi, se nestává součástí nemovitosti, na které je postaveno, </w:t>
      </w:r>
      <w:r>
        <w:rPr>
          <w:sz w:val="13"/>
          <w:szCs w:val="13"/>
        </w:rPr>
        <w:t xml:space="preserve">i </w:t>
      </w:r>
      <w:r>
        <w:t xml:space="preserve">když je s ní pevně spojeno. Pokud je Zásobovací zařízení vybaveno funkčním zařízením na dálkové sledovaní stavu a zákazník má s </w:t>
      </w:r>
      <w:r>
        <w:rPr>
          <w:lang w:val="en-US" w:eastAsia="en-US" w:bidi="en-US"/>
        </w:rPr>
        <w:t xml:space="preserve">Linde </w:t>
      </w:r>
      <w:r>
        <w:t xml:space="preserve">uzavřenu smlouvu na toto dálkové sledování, </w:t>
      </w:r>
      <w:r>
        <w:rPr>
          <w:lang w:val="en-US" w:eastAsia="en-US" w:bidi="en-US"/>
        </w:rPr>
        <w:t xml:space="preserve">Linde </w:t>
      </w:r>
      <w:r>
        <w:t xml:space="preserve">dodává Plyn do Zásobovacího zařízení průběžně tak, aby měl zákazník </w:t>
      </w:r>
      <w:r>
        <w:rPr>
          <w:sz w:val="13"/>
          <w:szCs w:val="13"/>
        </w:rPr>
        <w:t xml:space="preserve">v </w:t>
      </w:r>
      <w:r>
        <w:t>Zá</w:t>
      </w:r>
      <w:r>
        <w:t>sobovacím zařízení dostatečnou zásobu Plynu, s přihlédnutím k jeho obvyklé spotřebě. I v případě instalace zařízeni na dálkové sledování je zákazník povinen provádět kontrolu stavu manometru ukazujícího stav náplně Zásobovacího zařízení, zapisovat stavy ma</w:t>
      </w:r>
      <w:r>
        <w:t xml:space="preserve">nometru do provozního deníku a oznámil </w:t>
      </w:r>
      <w:r>
        <w:rPr>
          <w:lang w:val="en-US" w:eastAsia="en-US" w:bidi="en-US"/>
        </w:rPr>
        <w:t xml:space="preserve">Linde </w:t>
      </w:r>
      <w:r>
        <w:t xml:space="preserve">nenadálý pokles náplně či její pokles pod </w:t>
      </w:r>
      <w:proofErr w:type="gramStart"/>
      <w:r>
        <w:t>15%</w:t>
      </w:r>
      <w:proofErr w:type="gramEnd"/>
      <w:r>
        <w:t xml:space="preserve"> kapacity Zásobovacího zařízení. V ostatních případech dodává Lindě Plyn do Zásobovacího zařízení na základě dílčích objednávek zákazníka, kdy každá objednávka specif</w:t>
      </w:r>
      <w:r>
        <w:t xml:space="preserve">ikuje jednu dodávku Plynu. Objednávka musí obsahovat alespoň druh Plynu, jeho množství, požadovaný termín a místo dodání a je třeba ji zaslat </w:t>
      </w:r>
      <w:r>
        <w:rPr>
          <w:lang w:val="en-US" w:eastAsia="en-US" w:bidi="en-US"/>
        </w:rPr>
        <w:t xml:space="preserve">Linde </w:t>
      </w:r>
      <w:r>
        <w:t xml:space="preserve">nejméně tři pracovní dny před požadovaným dnem dodání. Zákazník zajistí bezplatně vhodný a bezpečný přístup </w:t>
      </w:r>
      <w:r>
        <w:rPr>
          <w:lang w:val="en-US" w:eastAsia="en-US" w:bidi="en-US"/>
        </w:rPr>
        <w:t xml:space="preserve">Linde </w:t>
      </w:r>
      <w:r>
        <w:t xml:space="preserve">k Zásobovacímu zařízení 24 hod. denně a umožní </w:t>
      </w:r>
      <w:r>
        <w:rPr>
          <w:lang w:val="en-US" w:eastAsia="en-US" w:bidi="en-US"/>
        </w:rPr>
        <w:t xml:space="preserve">Linde </w:t>
      </w:r>
      <w:r>
        <w:t xml:space="preserve">užívat příjezdovou cestu k Zásobovacímu zařízení pro vozidla do 48 tun. Zákazník se zavazuje umožnit </w:t>
      </w:r>
      <w:r>
        <w:rPr>
          <w:lang w:val="en-US" w:eastAsia="en-US" w:bidi="en-US"/>
        </w:rPr>
        <w:t xml:space="preserve">Linde </w:t>
      </w:r>
      <w:r>
        <w:t>řádné a včasné plnění Zásobovacího zařízení Plynem, zejména udržovat Zásobovací zařízení v</w:t>
      </w:r>
      <w:r>
        <w:t xml:space="preserve"> řádném a provozuschopném stavu, bez vnitřních nečistot, a neprodleně hlásit </w:t>
      </w:r>
      <w:r>
        <w:rPr>
          <w:lang w:val="en-US" w:eastAsia="en-US" w:bidi="en-US"/>
        </w:rPr>
        <w:t xml:space="preserve">Linde </w:t>
      </w:r>
      <w:r>
        <w:t xml:space="preserve">skutečnosti, které mohou mít vliv na plnění závazků </w:t>
      </w:r>
      <w:r>
        <w:rPr>
          <w:lang w:val="en-US" w:eastAsia="en-US" w:bidi="en-US"/>
        </w:rPr>
        <w:t xml:space="preserve">Linde </w:t>
      </w:r>
      <w:r>
        <w:t>ze Smlouvy. Pokud Lindě nemůže provést dodávku Plynu do Zásobovacího zařízeni kvůli nesoučinnosti zákazníka, může v</w:t>
      </w:r>
      <w:r>
        <w:t>yúčtovat zákazníkovi neúspěšnou jízdu a náklady na uskladnění Plynu až do okamžiku jeho dodání. Zákazník je povinen v případě plánovaného přerušení odběrů Plynu ze Zásobovacího zařízení z důvodu krátkodobé odstávky zařízení zákazníka spotřebovávajícího Ply</w:t>
      </w:r>
      <w:r>
        <w:t>n nebo v případě plánovaného zvýšení spotřeby o více než 30 % oproti předchozí průměrné denní spotřebě, takovouto skutečnost Lindě písemně sdělit, nejpozději 24 hodin předem s uvedením důvodu a doby trvání takové situace.</w:t>
      </w:r>
    </w:p>
    <w:p w:rsidR="009C5A04" w:rsidRDefault="00172CC0">
      <w:pPr>
        <w:pStyle w:val="Zkladntext"/>
        <w:numPr>
          <w:ilvl w:val="0"/>
          <w:numId w:val="2"/>
        </w:numPr>
        <w:shd w:val="clear" w:color="auto" w:fill="auto"/>
        <w:tabs>
          <w:tab w:val="left" w:pos="231"/>
        </w:tabs>
      </w:pPr>
      <w:r>
        <w:t>PRONÁJEM DISTRIBUČNÍCH PROSTŘEDKŮ</w:t>
      </w:r>
    </w:p>
    <w:p w:rsidR="009C5A04" w:rsidRDefault="00172CC0">
      <w:pPr>
        <w:pStyle w:val="Zkladntext"/>
        <w:shd w:val="clear" w:color="auto" w:fill="auto"/>
      </w:pPr>
      <w:r>
        <w:t xml:space="preserve">Nájemní vztah mezi </w:t>
      </w:r>
      <w:r>
        <w:rPr>
          <w:lang w:val="en-US" w:eastAsia="en-US" w:bidi="en-US"/>
        </w:rPr>
        <w:t xml:space="preserve">Linde </w:t>
      </w:r>
      <w:r>
        <w:t>a zákazníkem vzniká podpisem Smlouvy, dodacího či přepravního listu k Distribučnímu prostředku zákazníkem či jeho zástupcem.</w:t>
      </w:r>
    </w:p>
    <w:p w:rsidR="009C5A04" w:rsidRDefault="00172CC0">
      <w:pPr>
        <w:pStyle w:val="Zkladntext"/>
        <w:shd w:val="clear" w:color="auto" w:fill="auto"/>
      </w:pPr>
      <w:r>
        <w:t xml:space="preserve">Za užíváni Distribučních prostředků </w:t>
      </w:r>
      <w:r>
        <w:rPr>
          <w:lang w:val="en-US" w:eastAsia="en-US" w:bidi="en-US"/>
        </w:rPr>
        <w:t xml:space="preserve">Linde </w:t>
      </w:r>
      <w:r>
        <w:t>je zákazník povinen platit denní nájemné, které bude účtováno ze</w:t>
      </w:r>
      <w:r>
        <w:t xml:space="preserve"> strany </w:t>
      </w:r>
      <w:r>
        <w:rPr>
          <w:lang w:val="en-US" w:eastAsia="en-US" w:bidi="en-US"/>
        </w:rPr>
        <w:t xml:space="preserve">Linde </w:t>
      </w:r>
      <w:r>
        <w:t xml:space="preserve">při převzetí Distribučního prostředku a/nebo nejméně jednou měsíčně. U dlouhodobého nájmu Distribučního prostředku je nájemné za celou dobu nájmu vyúčtováno ihned po uzavření Smlouvy. U Distribučních prostředků </w:t>
      </w:r>
      <w:r>
        <w:rPr>
          <w:lang w:val="en-US" w:eastAsia="en-US" w:bidi="en-US"/>
        </w:rPr>
        <w:t xml:space="preserve">Linde, </w:t>
      </w:r>
      <w:r>
        <w:t>které má zákazník v drže</w:t>
      </w:r>
      <w:r>
        <w:t xml:space="preserve">ní déle než tři měsíce bez obrátky (tzn. výměny prázdných za plné), je </w:t>
      </w:r>
      <w:r>
        <w:rPr>
          <w:lang w:val="en-US" w:eastAsia="en-US" w:bidi="en-US"/>
        </w:rPr>
        <w:t xml:space="preserve">Linde </w:t>
      </w:r>
      <w:r>
        <w:t xml:space="preserve">oprávněna účtovat zákazníkovi dodatkové nájemné. Výše denního nájemného a dodatkového nájemného se řídí dle ceníku </w:t>
      </w:r>
      <w:r>
        <w:rPr>
          <w:lang w:val="en-US" w:eastAsia="en-US" w:bidi="en-US"/>
        </w:rPr>
        <w:t xml:space="preserve">Linde </w:t>
      </w:r>
      <w:r>
        <w:t xml:space="preserve">zveřejněného v Prodejních místech </w:t>
      </w:r>
      <w:r>
        <w:rPr>
          <w:lang w:val="en-US" w:eastAsia="en-US" w:bidi="en-US"/>
        </w:rPr>
        <w:t xml:space="preserve">Linde. Linde </w:t>
      </w:r>
      <w:r>
        <w:t>je oprávněn</w:t>
      </w:r>
      <w:r>
        <w:t xml:space="preserve">a sazby nájemného upravovat i v průběhu nájemního vztahu, a to doručením oznámení o zvýšení nájemného zákazníkovi, a to alespoň 15 dní před jeho účinností. </w:t>
      </w:r>
      <w:r>
        <w:rPr>
          <w:lang w:val="en-US" w:eastAsia="en-US" w:bidi="en-US"/>
        </w:rPr>
        <w:t xml:space="preserve">Linde </w:t>
      </w:r>
      <w:r>
        <w:t>je oprávněna požadovat po zákazníkovi neúročenou kauci až do výše pořizovací ceny Distribučníh</w:t>
      </w:r>
      <w:r>
        <w:t xml:space="preserve">o prostředku. </w:t>
      </w:r>
      <w:r>
        <w:rPr>
          <w:lang w:val="en-US" w:eastAsia="en-US" w:bidi="en-US"/>
        </w:rPr>
        <w:t xml:space="preserve">Linde </w:t>
      </w:r>
      <w:r>
        <w:t xml:space="preserve">vrátí kauci zákazníkovi po předání Distribučního prostředku a kaučního lístku Prodejnímu místu </w:t>
      </w:r>
      <w:r>
        <w:rPr>
          <w:lang w:val="en-US" w:eastAsia="en-US" w:bidi="en-US"/>
        </w:rPr>
        <w:t xml:space="preserve">Linde, </w:t>
      </w:r>
      <w:r>
        <w:t>přičemž je oprávněna započíst si proti kauci své pohledávky za zákazníkem, zejména náklady na odstraňování škod na Distribučním prostř</w:t>
      </w:r>
      <w:r>
        <w:t>edku vč. vnitřního znečištění.</w:t>
      </w:r>
    </w:p>
    <w:p w:rsidR="009C5A04" w:rsidRDefault="00172CC0">
      <w:pPr>
        <w:pStyle w:val="Zkladntext"/>
        <w:shd w:val="clear" w:color="auto" w:fill="auto"/>
        <w:spacing w:after="60"/>
      </w:pPr>
      <w:r>
        <w:t xml:space="preserve">Distribuční prostředky zákazník vrací na své náklady v Prodejním místě </w:t>
      </w:r>
      <w:r>
        <w:rPr>
          <w:lang w:val="en-US" w:eastAsia="en-US" w:bidi="en-US"/>
        </w:rPr>
        <w:t xml:space="preserve">Linde </w:t>
      </w:r>
      <w:r>
        <w:t xml:space="preserve">v jeho prodejní době; </w:t>
      </w:r>
      <w:proofErr w:type="spellStart"/>
      <w:r>
        <w:t>pn</w:t>
      </w:r>
      <w:proofErr w:type="spellEnd"/>
      <w:r>
        <w:t xml:space="preserve"> vrácení nevzniká zákazníkovi nárok na úhradu za Plyny obsažené ve vráceném Distribučním prostředku ani na vracení nevyčerpa</w:t>
      </w:r>
      <w:r>
        <w:t xml:space="preserve">ného nájemného. Zadržovací právo na pronajaté Distribuční prostředky se po dobu trváni Smlouvy vylučuje. Zákazník odpovídá </w:t>
      </w:r>
      <w:r>
        <w:rPr>
          <w:lang w:val="en-US" w:eastAsia="en-US" w:bidi="en-US"/>
        </w:rPr>
        <w:t xml:space="preserve">Linde </w:t>
      </w:r>
      <w:r>
        <w:t xml:space="preserve">za zcizení, ztrátu, poškození, zničení nebo včasné nevrácení Distribučního prostředku, jeho příslušenství </w:t>
      </w:r>
      <w:r>
        <w:rPr>
          <w:sz w:val="13"/>
          <w:szCs w:val="13"/>
        </w:rPr>
        <w:t xml:space="preserve">či </w:t>
      </w:r>
      <w:r>
        <w:t>čárového kódu a ji</w:t>
      </w:r>
      <w:r>
        <w:t xml:space="preserve">ných označeni na něm umístěných. Přenechání Distribučních prostředků třetí osobě není dovoleno. Distribuční prostředky </w:t>
      </w:r>
      <w:r>
        <w:rPr>
          <w:lang w:val="en-US" w:eastAsia="en-US" w:bidi="en-US"/>
        </w:rPr>
        <w:t xml:space="preserve">Linde </w:t>
      </w:r>
      <w:r>
        <w:t xml:space="preserve">se mohou používat pouze pro Plyn dodaný </w:t>
      </w:r>
      <w:r>
        <w:rPr>
          <w:lang w:val="en-US" w:eastAsia="en-US" w:bidi="en-US"/>
        </w:rPr>
        <w:t xml:space="preserve">Linde. </w:t>
      </w:r>
      <w:r>
        <w:t>Zákazník se zavazuje poučit své pracovníky o správné manipulaci s Distribučními pros</w:t>
      </w:r>
      <w:r>
        <w:t>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w:t>
      </w:r>
      <w:r>
        <w:t xml:space="preserve"> výpisu z konta bylo zákazníkem uznáno za správné a počet Distribučních prostředků zde uvedených je podkladem pro vyúčtování nájemného v následujícím zúčtovacím období.</w:t>
      </w:r>
    </w:p>
    <w:p w:rsidR="009C5A04" w:rsidRDefault="00172CC0">
      <w:pPr>
        <w:pStyle w:val="Zkladntext"/>
        <w:numPr>
          <w:ilvl w:val="0"/>
          <w:numId w:val="2"/>
        </w:numPr>
        <w:shd w:val="clear" w:color="auto" w:fill="auto"/>
        <w:tabs>
          <w:tab w:val="left" w:pos="231"/>
        </w:tabs>
      </w:pPr>
      <w:r>
        <w:t>DISTRIBUČNÍ PROSTŘEDKY ZÁKAZNÍKŮ</w:t>
      </w:r>
    </w:p>
    <w:p w:rsidR="009C5A04" w:rsidRDefault="00172CC0">
      <w:pPr>
        <w:pStyle w:val="Zkladntext"/>
        <w:shd w:val="clear" w:color="auto" w:fill="auto"/>
        <w:spacing w:after="60"/>
      </w:pPr>
      <w:r>
        <w:t xml:space="preserve">V případě dohody bude </w:t>
      </w:r>
      <w:r>
        <w:rPr>
          <w:lang w:val="en-US" w:eastAsia="en-US" w:bidi="en-US"/>
        </w:rPr>
        <w:t xml:space="preserve">Linde </w:t>
      </w:r>
      <w:r>
        <w:t>plnit Plynem i Distribuční</w:t>
      </w:r>
      <w:r>
        <w:t xml:space="preserve"> prostředky zákazníků, které jsou svým označením odlišitelné od Distribučních prostředků </w:t>
      </w:r>
      <w:r>
        <w:rPr>
          <w:lang w:val="en-US" w:eastAsia="en-US" w:bidi="en-US"/>
        </w:rPr>
        <w:t xml:space="preserve">Linde. </w:t>
      </w:r>
      <w:r>
        <w:t xml:space="preserve">Zákazník souhlasí </w:t>
      </w:r>
      <w:r>
        <w:rPr>
          <w:sz w:val="13"/>
          <w:szCs w:val="13"/>
        </w:rPr>
        <w:t xml:space="preserve">s </w:t>
      </w:r>
      <w:r>
        <w:t xml:space="preserve">tím, že součástí plnění </w:t>
      </w:r>
      <w:r>
        <w:rPr>
          <w:lang w:val="en-US" w:eastAsia="en-US" w:bidi="en-US"/>
        </w:rPr>
        <w:t xml:space="preserve">Linde </w:t>
      </w:r>
      <w:r>
        <w:t xml:space="preserve">bude i přezkoušení Distribučního prostředku podle platných předpisů před jeho naplněním, a zavazuje se uhradit </w:t>
      </w:r>
      <w:r>
        <w:rPr>
          <w:lang w:val="en-US" w:eastAsia="en-US" w:bidi="en-US"/>
        </w:rPr>
        <w:t xml:space="preserve">Linde </w:t>
      </w:r>
      <w:r>
        <w:t>cenu tohoto přezkoušení.</w:t>
      </w:r>
    </w:p>
    <w:p w:rsidR="009C5A04" w:rsidRDefault="00172CC0">
      <w:pPr>
        <w:pStyle w:val="Zkladntext"/>
        <w:numPr>
          <w:ilvl w:val="0"/>
          <w:numId w:val="2"/>
        </w:numPr>
        <w:shd w:val="clear" w:color="auto" w:fill="auto"/>
        <w:tabs>
          <w:tab w:val="left" w:pos="231"/>
        </w:tabs>
      </w:pPr>
      <w:r>
        <w:t>CENY A PLATEBNÍ PODMÍNKY</w:t>
      </w:r>
    </w:p>
    <w:p w:rsidR="009C5A04" w:rsidRDefault="00172CC0">
      <w:pPr>
        <w:pStyle w:val="Zkladntext"/>
        <w:shd w:val="clear" w:color="auto" w:fill="auto"/>
      </w:pPr>
      <w:r>
        <w:t>Pokud není cena Plynů či ostatních plnění uvedena ve Smlouvě, řídí se dle aktuálního cení</w:t>
      </w:r>
      <w:r>
        <w:t xml:space="preserve">ku </w:t>
      </w:r>
      <w:r>
        <w:rPr>
          <w:lang w:val="en-US" w:eastAsia="en-US" w:bidi="en-US"/>
        </w:rPr>
        <w:t xml:space="preserve">Linde, </w:t>
      </w:r>
      <w:r>
        <w:t xml:space="preserve">který je k dispozici v Prodejních místech </w:t>
      </w:r>
      <w:r>
        <w:rPr>
          <w:lang w:val="en-US" w:eastAsia="en-US" w:bidi="en-US"/>
        </w:rPr>
        <w:t xml:space="preserve">Linde. </w:t>
      </w:r>
      <w:r>
        <w:t xml:space="preserve">Pokud dojde k zavedení nové daně, poplatku či obdobné povinnosti (daň na skleníkové plyny aj.) nebo dojde ke změně daně či poplatku (mýto, recyklační poplatek, environmentální </w:t>
      </w:r>
      <w:r>
        <w:rPr>
          <w:sz w:val="13"/>
          <w:szCs w:val="13"/>
        </w:rPr>
        <w:t xml:space="preserve">či </w:t>
      </w:r>
      <w:proofErr w:type="spellStart"/>
      <w:r>
        <w:t>infrastrukturálni</w:t>
      </w:r>
      <w:proofErr w:type="spellEnd"/>
      <w:r>
        <w:t xml:space="preserve"> </w:t>
      </w:r>
      <w:r>
        <w:t xml:space="preserve">poplatek aj.), v jehož důsledku dojde ke zvýšeni ceny Plynu nebo nákladů </w:t>
      </w:r>
      <w:r>
        <w:rPr>
          <w:lang w:val="en-US" w:eastAsia="en-US" w:bidi="en-US"/>
        </w:rPr>
        <w:t xml:space="preserve">Linde </w:t>
      </w:r>
      <w:r>
        <w:t xml:space="preserve">na výrobu či distribuci Plynů, je </w:t>
      </w:r>
      <w:r>
        <w:rPr>
          <w:lang w:val="en-US" w:eastAsia="en-US" w:bidi="en-US"/>
        </w:rPr>
        <w:t xml:space="preserve">Linde </w:t>
      </w:r>
      <w:r>
        <w:t>oprávněna promítnout toto zvýšení do ceny dodávaných Plynů, jakož i dalších plnění. Pří nedostatku Plynu způsobeného zejm. poruchami či o</w:t>
      </w:r>
      <w:r>
        <w:t xml:space="preserve">dstávkami výrobních zdrojů, je </w:t>
      </w:r>
      <w:r>
        <w:rPr>
          <w:lang w:val="en-US" w:eastAsia="en-US" w:bidi="en-US"/>
        </w:rPr>
        <w:t xml:space="preserve">Linde </w:t>
      </w:r>
      <w:r>
        <w:t xml:space="preserve">oprávněna </w:t>
      </w:r>
      <w:r>
        <w:rPr>
          <w:sz w:val="13"/>
          <w:szCs w:val="13"/>
        </w:rPr>
        <w:t xml:space="preserve">snížit </w:t>
      </w:r>
      <w:r>
        <w:t xml:space="preserve">smluvené množství dodávek nebo aplikovat měsíční limit dodávek Plynu odvozený od smluveného množství s tím, že pokud zákazník odebere Plyn nad určený měsíční limit, je </w:t>
      </w:r>
      <w:r>
        <w:rPr>
          <w:lang w:val="en-US" w:eastAsia="en-US" w:bidi="en-US"/>
        </w:rPr>
        <w:t xml:space="preserve">Linde </w:t>
      </w:r>
      <w:r>
        <w:t>oprávněna vyúčtovat mu popla</w:t>
      </w:r>
      <w:r>
        <w:t xml:space="preserve">tek určený </w:t>
      </w:r>
      <w:r>
        <w:rPr>
          <w:lang w:val="en-US" w:eastAsia="en-US" w:bidi="en-US"/>
        </w:rPr>
        <w:t xml:space="preserve">Linde </w:t>
      </w:r>
      <w:r>
        <w:t xml:space="preserve">pro tuto situaci. Společně s cenou dodaného Plynu je </w:t>
      </w:r>
      <w:r>
        <w:rPr>
          <w:lang w:val="en-US" w:eastAsia="en-US" w:bidi="en-US"/>
        </w:rPr>
        <w:t xml:space="preserve">Linde </w:t>
      </w:r>
      <w:r>
        <w:t xml:space="preserve">oprávněna zákazníkovi účtovat poplatky dle platného </w:t>
      </w:r>
      <w:proofErr w:type="spellStart"/>
      <w:r>
        <w:t>ceniku</w:t>
      </w:r>
      <w:proofErr w:type="spellEnd"/>
      <w:r>
        <w:t xml:space="preserve"> Lindě zveřejněného v Prodejních místech </w:t>
      </w:r>
      <w:r>
        <w:rPr>
          <w:lang w:val="en-US" w:eastAsia="en-US" w:bidi="en-US"/>
        </w:rPr>
        <w:t xml:space="preserve">Linde, </w:t>
      </w:r>
      <w:r>
        <w:t>zejména poplatek ADR, silniční a energetický poplatek za každý Distribuční</w:t>
      </w:r>
      <w:r>
        <w:t xml:space="preserve"> prostředek a dodávku kapalných Plynů do Zásobovacího zařízení, sezónní příplatek za kapalný CO2 a poplatek za příslušný atest.</w:t>
      </w:r>
    </w:p>
    <w:p w:rsidR="009C5A04" w:rsidRDefault="00172CC0">
      <w:pPr>
        <w:pStyle w:val="Zkladntext"/>
        <w:shd w:val="clear" w:color="auto" w:fill="auto"/>
      </w:pPr>
      <w:r>
        <w:t>Je-</w:t>
      </w:r>
      <w:proofErr w:type="spellStart"/>
      <w:r>
        <w:t>ll</w:t>
      </w:r>
      <w:proofErr w:type="spellEnd"/>
      <w:r>
        <w:t xml:space="preserve"> tak stanoveno Smlouvou či </w:t>
      </w:r>
      <w:proofErr w:type="spellStart"/>
      <w:r>
        <w:t>právniml</w:t>
      </w:r>
      <w:proofErr w:type="spellEnd"/>
      <w:r>
        <w:t xml:space="preserve"> předpisy, bude </w:t>
      </w:r>
      <w:r>
        <w:rPr>
          <w:lang w:val="en-US" w:eastAsia="en-US" w:bidi="en-US"/>
        </w:rPr>
        <w:t xml:space="preserve">Linde </w:t>
      </w:r>
      <w:r>
        <w:t>vystavovat zákazníkovi po dodáni produktu (Plyn, zboží, služba) vy</w:t>
      </w:r>
      <w:r>
        <w:t xml:space="preserve">účtováni s náležitostmi daňového dokladu, které obsahuje cenu produktů, poplatky a jiné částky, na které má </w:t>
      </w:r>
      <w:r>
        <w:rPr>
          <w:lang w:val="en-US" w:eastAsia="en-US" w:bidi="en-US"/>
        </w:rPr>
        <w:t xml:space="preserve">Linde </w:t>
      </w:r>
      <w:r>
        <w:t xml:space="preserve">nárok (např. nájemné za Distribuční prostředky či smluvní pokuty). Splatnost daňových dokladů Je čtrnáct dnů od data vystavení, </w:t>
      </w:r>
      <w:proofErr w:type="spellStart"/>
      <w:r>
        <w:t>neni-li</w:t>
      </w:r>
      <w:proofErr w:type="spellEnd"/>
      <w:r>
        <w:t xml:space="preserve"> na daň</w:t>
      </w:r>
      <w:r>
        <w:t xml:space="preserve">ovém dokladu uvedena lhůta delší. Má se za to. že daňový doklad je doručený do dvou dnů od odeslání. Případné námitky proti ceně vyúčtované ze strany </w:t>
      </w:r>
      <w:r>
        <w:rPr>
          <w:lang w:val="en-US" w:eastAsia="en-US" w:bidi="en-US"/>
        </w:rPr>
        <w:t xml:space="preserve">Linde </w:t>
      </w:r>
      <w:r>
        <w:t xml:space="preserve">je </w:t>
      </w:r>
      <w:proofErr w:type="spellStart"/>
      <w:r>
        <w:t>zákaznik</w:t>
      </w:r>
      <w:proofErr w:type="spellEnd"/>
      <w:r>
        <w:t xml:space="preserve"> oprávněn vznést pouze do 30 dnů od doručeni vyúčtováni. Sdělením své e-mailové adresy zá</w:t>
      </w:r>
      <w:r>
        <w:t xml:space="preserve">kazník uděluje </w:t>
      </w:r>
      <w:r>
        <w:rPr>
          <w:lang w:val="en-US" w:eastAsia="en-US" w:bidi="en-US"/>
        </w:rPr>
        <w:t xml:space="preserve">Linde </w:t>
      </w:r>
      <w:r>
        <w:t xml:space="preserve">právo zasílat zákazníkovi faktury za dodané produkty </w:t>
      </w:r>
      <w:proofErr w:type="gramStart"/>
      <w:r>
        <w:rPr>
          <w:b/>
          <w:bCs/>
        </w:rPr>
        <w:t xml:space="preserve">e- </w:t>
      </w:r>
      <w:r>
        <w:t>mailem</w:t>
      </w:r>
      <w:proofErr w:type="gramEnd"/>
      <w:r>
        <w:t>. V případě prodlení zákazníka se zaplacením splatné platby vyúčtované mu ze strany Lindě, je Lindo oprávněna požadovat smluvní pokutu ve výší 0,03 % z dlužné částky za každ</w:t>
      </w:r>
      <w:r>
        <w:t xml:space="preserve">ý den prodleni a dále náhradu způsobené škody. U zákazníků, kteří </w:t>
      </w:r>
      <w:r>
        <w:rPr>
          <w:lang w:val="en-US" w:eastAsia="en-US" w:bidi="en-US"/>
        </w:rPr>
        <w:t xml:space="preserve">Linde </w:t>
      </w:r>
      <w:r>
        <w:t xml:space="preserve">neprokáži spolehlivě svou platební schopnost nebo platební morálku, může </w:t>
      </w:r>
      <w:r>
        <w:rPr>
          <w:lang w:val="en-US" w:eastAsia="en-US" w:bidi="en-US"/>
        </w:rPr>
        <w:t xml:space="preserve">Linde </w:t>
      </w:r>
      <w:r>
        <w:t xml:space="preserve">požadovat zálohovou platbu s tím, že tuto zálohovou platbu je </w:t>
      </w:r>
      <w:r>
        <w:rPr>
          <w:lang w:val="en-US" w:eastAsia="en-US" w:bidi="en-US"/>
        </w:rPr>
        <w:t xml:space="preserve">Linde </w:t>
      </w:r>
      <w:r>
        <w:t>oprávněna vyúčtovat proti svým pohled</w:t>
      </w:r>
      <w:r>
        <w:t>ávkám za zákazníkem.</w:t>
      </w:r>
    </w:p>
    <w:p w:rsidR="009C5A04" w:rsidRDefault="00172CC0">
      <w:pPr>
        <w:pStyle w:val="Zkladntext"/>
        <w:shd w:val="clear" w:color="auto" w:fill="auto"/>
        <w:spacing w:after="60"/>
      </w:pPr>
      <w:r>
        <w:t xml:space="preserve">Až do úplného uhrazeni plateb za Plyn či jiný produkt dodaný ze strany </w:t>
      </w:r>
      <w:r>
        <w:rPr>
          <w:lang w:val="en-US" w:eastAsia="en-US" w:bidi="en-US"/>
        </w:rPr>
        <w:t xml:space="preserve">Linde </w:t>
      </w:r>
      <w:r>
        <w:t xml:space="preserve">zákazníkovi, zůstává dodaný produkt ve vlastnictví </w:t>
      </w:r>
      <w:r>
        <w:rPr>
          <w:lang w:val="en-US" w:eastAsia="en-US" w:bidi="en-US"/>
        </w:rPr>
        <w:t>Linde.</w:t>
      </w:r>
    </w:p>
    <w:p w:rsidR="009C5A04" w:rsidRDefault="00172CC0">
      <w:pPr>
        <w:pStyle w:val="Zkladntext"/>
        <w:numPr>
          <w:ilvl w:val="0"/>
          <w:numId w:val="2"/>
        </w:numPr>
        <w:shd w:val="clear" w:color="auto" w:fill="auto"/>
        <w:tabs>
          <w:tab w:val="left" w:pos="241"/>
        </w:tabs>
      </w:pPr>
      <w:r>
        <w:t>ODPOVÉDNOST ZA VADY A ŠKODY</w:t>
      </w:r>
    </w:p>
    <w:p w:rsidR="009C5A04" w:rsidRDefault="00172CC0">
      <w:pPr>
        <w:pStyle w:val="Zkladntext"/>
        <w:shd w:val="clear" w:color="auto" w:fill="auto"/>
      </w:pPr>
      <w:r>
        <w:rPr>
          <w:lang w:val="en-US" w:eastAsia="en-US" w:bidi="en-US"/>
        </w:rPr>
        <w:t xml:space="preserve">Linde </w:t>
      </w:r>
      <w:r>
        <w:t xml:space="preserve">dodává zákazníkovi Plyny v množství a kvalitě určené ve Smlouvě, jinak v kvalitě a množství odpovídající podobným dodávkám. Jestliže je </w:t>
      </w:r>
      <w:proofErr w:type="spellStart"/>
      <w:r>
        <w:t>vc</w:t>
      </w:r>
      <w:proofErr w:type="spellEnd"/>
      <w:r>
        <w:t xml:space="preserve"> Smlouvě na dodávku Plynu v Distribučních prostředcích smluvené množství Plynu určeno v "m**, pak se vztahuje na stav </w:t>
      </w:r>
      <w:r>
        <w:t xml:space="preserve">Plynu při 15 *C a tlaku 0,1 </w:t>
      </w:r>
      <w:proofErr w:type="spellStart"/>
      <w:r>
        <w:t>MPa</w:t>
      </w:r>
      <w:proofErr w:type="spellEnd"/>
      <w:r>
        <w:t xml:space="preserve">. Pokud je Plyn dodaný zákazníkovi vadný nebo neodpovídá množství dodaného Plynu, má zákazník právo uplatnit reklamaci, která se řídí reklamačním řádem </w:t>
      </w:r>
      <w:r>
        <w:rPr>
          <w:lang w:val="en-US" w:eastAsia="en-US" w:bidi="en-US"/>
        </w:rPr>
        <w:t xml:space="preserve">Linde, </w:t>
      </w:r>
      <w:r>
        <w:t xml:space="preserve">který je k dispozicí na webových stránkách </w:t>
      </w:r>
      <w:r>
        <w:rPr>
          <w:lang w:val="en-US" w:eastAsia="en-US" w:bidi="en-US"/>
        </w:rPr>
        <w:t xml:space="preserve">Linde. </w:t>
      </w:r>
      <w:r>
        <w:t>Pro reklamací kv</w:t>
      </w:r>
      <w:r>
        <w:t xml:space="preserve">ality Plynů </w:t>
      </w:r>
      <w:proofErr w:type="spellStart"/>
      <w:r>
        <w:t>nesmi</w:t>
      </w:r>
      <w:proofErr w:type="spellEnd"/>
      <w:r>
        <w:t xml:space="preserve"> být spotřebováno více než 50 % náplně, a to z důvodu možného provedení řádných kontrolních analýz. Distribuční' prostředky s vadným Plynem nesměji být dále používány a po nápadném označeni musí být vráceny Prodejnímu místu </w:t>
      </w:r>
      <w:r>
        <w:rPr>
          <w:lang w:val="en-US" w:eastAsia="en-US" w:bidi="en-US"/>
        </w:rPr>
        <w:t xml:space="preserve">Linde. </w:t>
      </w:r>
      <w:r>
        <w:t>V připad</w:t>
      </w:r>
      <w:r>
        <w:t xml:space="preserve">á opožděných dodávek nebo výpadku v dodávkách Plynu může </w:t>
      </w:r>
      <w:proofErr w:type="spellStart"/>
      <w:r>
        <w:t>zákaznik</w:t>
      </w:r>
      <w:proofErr w:type="spellEnd"/>
      <w:r>
        <w:t xml:space="preserve">. pokud </w:t>
      </w:r>
      <w:r>
        <w:rPr>
          <w:lang w:val="en-US" w:eastAsia="en-US" w:bidi="en-US"/>
        </w:rPr>
        <w:t xml:space="preserve">Linde </w:t>
      </w:r>
      <w:r>
        <w:t xml:space="preserve">nesplní dodávku v dodatečné lhůtě po výzvě zákazníka, odstoupit od Smlouvy. V případě, že je </w:t>
      </w:r>
      <w:proofErr w:type="spellStart"/>
      <w:r>
        <w:t>zákaznik</w:t>
      </w:r>
      <w:proofErr w:type="spellEnd"/>
      <w:r>
        <w:t xml:space="preserve"> spotřebitelem. </w:t>
      </w:r>
      <w:r>
        <w:rPr>
          <w:i/>
          <w:iCs/>
        </w:rPr>
        <w:t>Je</w:t>
      </w:r>
      <w:r>
        <w:t xml:space="preserve"> subjektem příslušným pro mimosoudní řešení sporu zákazník</w:t>
      </w:r>
      <w:r>
        <w:t xml:space="preserve">a s </w:t>
      </w:r>
      <w:r>
        <w:rPr>
          <w:lang w:val="en-US" w:eastAsia="en-US" w:bidi="en-US"/>
        </w:rPr>
        <w:t xml:space="preserve">Linde </w:t>
      </w:r>
      <w:r>
        <w:t xml:space="preserve">Česká obchodní inspekce, bližší informace na </w:t>
      </w:r>
      <w:hyperlink r:id="rId7" w:history="1">
        <w:r>
          <w:rPr>
            <w:lang w:val="en-US" w:eastAsia="en-US" w:bidi="en-US"/>
          </w:rPr>
          <w:t>www.coi.cz</w:t>
        </w:r>
      </w:hyperlink>
      <w:r>
        <w:rPr>
          <w:lang w:val="en-US" w:eastAsia="en-US" w:bidi="en-US"/>
        </w:rPr>
        <w:t xml:space="preserve">. </w:t>
      </w:r>
      <w:r>
        <w:t xml:space="preserve">Je-li </w:t>
      </w:r>
      <w:proofErr w:type="spellStart"/>
      <w:r>
        <w:t>zákaznik</w:t>
      </w:r>
      <w:proofErr w:type="spellEnd"/>
      <w:r>
        <w:t xml:space="preserve"> v prodleni s úhradou Jakékoli platby vyúčtované mu ze strany </w:t>
      </w:r>
      <w:r>
        <w:rPr>
          <w:lang w:val="en-US" w:eastAsia="en-US" w:bidi="en-US"/>
        </w:rPr>
        <w:t xml:space="preserve">Linde, </w:t>
      </w:r>
      <w:r>
        <w:t xml:space="preserve">je </w:t>
      </w:r>
      <w:r>
        <w:rPr>
          <w:lang w:val="en-US" w:eastAsia="en-US" w:bidi="en-US"/>
        </w:rPr>
        <w:t xml:space="preserve">Linde </w:t>
      </w:r>
      <w:r>
        <w:t xml:space="preserve">oprávněna zastavit dodávky Plynu, </w:t>
      </w:r>
      <w:proofErr w:type="spellStart"/>
      <w:r>
        <w:t>dalši</w:t>
      </w:r>
      <w:proofErr w:type="spellEnd"/>
      <w:r>
        <w:t xml:space="preserve"> nájem Distribučních prost</w:t>
      </w:r>
      <w:r>
        <w:t xml:space="preserve">ředků či prodej jiných produktů (zboží, služeb) zákazníkovi, a to až do úplného zaplaceni dlužné částky. Při zcizeni, poškození, nebo nevráceni Distribučního prostředku je zákazník povinen uhradit Lindě smluvní pokutu za každou Láhev 4.000.- Kč, za každou </w:t>
      </w:r>
      <w:r>
        <w:t xml:space="preserve">Paletu 5.000,- Kč. za každý Pevný svazek 80.000.- Kč a za každý Kontejner či Trajler 100.000,- Kč. a vedle toho Je </w:t>
      </w:r>
      <w:r>
        <w:rPr>
          <w:lang w:val="en-US" w:eastAsia="en-US" w:bidi="en-US"/>
        </w:rPr>
        <w:t xml:space="preserve">Linde </w:t>
      </w:r>
      <w:r>
        <w:t>oprávněna požadovat po zákazníkovi způsobenou škodu.</w:t>
      </w:r>
    </w:p>
    <w:p w:rsidR="009C5A04" w:rsidRDefault="00172CC0">
      <w:pPr>
        <w:pStyle w:val="Zkladntext"/>
        <w:shd w:val="clear" w:color="auto" w:fill="auto"/>
      </w:pPr>
      <w:r>
        <w:t>Pokud v souvislosti s plněním Smlouvy vznikne jedné smluvní straně povinnost nahra</w:t>
      </w:r>
      <w:r>
        <w:t xml:space="preserve">dit újmu druhé smluvní straně, která nebude způsobena úmyslné, z hrubé nedbalosti a na přirozených právech člověka. pak si smluvní strany navzájem odpovídají za újmu pouze v podobě přímé škody s tím, že nepřímé, následné škody či ušlý zisk jsou vyloučeny. </w:t>
      </w:r>
      <w:r>
        <w:t xml:space="preserve">Celková újma vzniklá ze všech dílčích škodných události v průběhu trváni Smlouvy je omezena na dvacet milionů Kč a celková újma vzniklá z jedné škodné události je omezena na Částku deset milionů Kč. Právo na náhradu újmy a vydáni bezdůvodného obohaceni se </w:t>
      </w:r>
      <w:r>
        <w:t>promlčuje v tříleté promlčecí době. která běží od okamžiku vzniku škody.</w:t>
      </w:r>
    </w:p>
    <w:p w:rsidR="009C5A04" w:rsidRDefault="00172CC0">
      <w:pPr>
        <w:pStyle w:val="Zkladntext"/>
        <w:shd w:val="clear" w:color="auto" w:fill="auto"/>
        <w:spacing w:after="60"/>
      </w:pPr>
      <w:r>
        <w:t>Všechny případy vyšší moci. jakož i provozní, dopravní a energetické poruchy a výluky, poruchy výrobních zdrojů, osvobozují toho. kdo je jimi postižen, od smluvních povinnosti po dobu</w:t>
      </w:r>
      <w:r>
        <w:t xml:space="preserve"> a v rozsahu účinnosti těchto události. To platí také tehdy, když uvedené okolnosti nastanou u subdodavatelů smluvních stran.</w:t>
      </w:r>
    </w:p>
    <w:p w:rsidR="009C5A04" w:rsidRDefault="00172CC0">
      <w:pPr>
        <w:pStyle w:val="Zkladntext"/>
        <w:numPr>
          <w:ilvl w:val="0"/>
          <w:numId w:val="2"/>
        </w:numPr>
        <w:shd w:val="clear" w:color="auto" w:fill="auto"/>
        <w:tabs>
          <w:tab w:val="left" w:pos="241"/>
        </w:tabs>
      </w:pPr>
      <w:r>
        <w:t>ZPRACOVÁNÍ OSOBNÍCH ÚDAJÚ</w:t>
      </w:r>
    </w:p>
    <w:p w:rsidR="009C5A04" w:rsidRDefault="00172CC0">
      <w:pPr>
        <w:pStyle w:val="Zkladntext"/>
        <w:shd w:val="clear" w:color="auto" w:fill="auto"/>
        <w:spacing w:after="60"/>
      </w:pPr>
      <w:r>
        <w:t>Každá ze smluvních stran se zavazuje informovat všechny své zástupce a jiné fyzické osoby, jejichž osobn</w:t>
      </w:r>
      <w:r>
        <w:t>i údaje zpřístupňuje druhé smluvní straně (dále jen "Subjekty údajů"), o zpracováváni Jejich osobních údajů ze strany druhé smluvní strany, a to v rozsahu vyžadovaném čl. 13 obecného nařízeni o ochraně osobních údajů EU/2016/679 („GDPR').</w:t>
      </w:r>
    </w:p>
    <w:p w:rsidR="009C5A04" w:rsidRDefault="00172CC0">
      <w:pPr>
        <w:pStyle w:val="Zkladntext"/>
        <w:numPr>
          <w:ilvl w:val="0"/>
          <w:numId w:val="2"/>
        </w:numPr>
        <w:shd w:val="clear" w:color="auto" w:fill="auto"/>
        <w:tabs>
          <w:tab w:val="left" w:pos="236"/>
          <w:tab w:val="left" w:pos="6538"/>
          <w:tab w:val="left" w:pos="6907"/>
        </w:tabs>
      </w:pPr>
      <w:r>
        <w:t>ZMÉNY PODMÍNEK</w:t>
      </w:r>
      <w:proofErr w:type="gramStart"/>
      <w:r>
        <w:tab/>
        <w:t>,</w:t>
      </w:r>
      <w:r>
        <w:tab/>
      </w:r>
      <w:r>
        <w:t>,,</w:t>
      </w:r>
      <w:proofErr w:type="gramEnd"/>
    </w:p>
    <w:p w:rsidR="009C5A04" w:rsidRDefault="00172CC0">
      <w:pPr>
        <w:pStyle w:val="Zkladntext"/>
        <w:shd w:val="clear" w:color="auto" w:fill="auto"/>
      </w:pPr>
      <w:r>
        <w:t xml:space="preserve">Tyto Podmínky Jsou </w:t>
      </w:r>
      <w:proofErr w:type="spellStart"/>
      <w:r>
        <w:t>úflnné</w:t>
      </w:r>
      <w:proofErr w:type="spellEnd"/>
      <w:r>
        <w:t xml:space="preserve"> od 1.2.2020 a jsou k dispozici v Prodejních místech </w:t>
      </w:r>
      <w:r>
        <w:rPr>
          <w:lang w:val="en-US" w:eastAsia="en-US" w:bidi="en-US"/>
        </w:rPr>
        <w:t xml:space="preserve">Linde </w:t>
      </w:r>
      <w:r>
        <w:t xml:space="preserve">o na webových stránkách </w:t>
      </w:r>
      <w:r>
        <w:rPr>
          <w:lang w:val="en-US" w:eastAsia="en-US" w:bidi="en-US"/>
        </w:rPr>
        <w:t>https</w:t>
      </w:r>
      <w:r>
        <w:t xml:space="preserve">//www </w:t>
      </w:r>
      <w:r>
        <w:rPr>
          <w:lang w:val="en-US" w:eastAsia="en-US" w:bidi="en-US"/>
        </w:rPr>
        <w:t xml:space="preserve">linde-gas.cz/cs/footer/logalnotice.html. Linde </w:t>
      </w:r>
      <w:r>
        <w:t xml:space="preserve">je oprávněna změnit </w:t>
      </w:r>
      <w:proofErr w:type="spellStart"/>
      <w:r>
        <w:t>čl</w:t>
      </w:r>
      <w:proofErr w:type="spellEnd"/>
      <w:r>
        <w:t xml:space="preserve"> doplnit tyto Podmínky, je však povinna seznámit zákazníka s nový</w:t>
      </w:r>
      <w:r>
        <w:t xml:space="preserve">m zněním Podmínek alespoň 15 dní předem, například jejich vyvěšením na webových stránkách </w:t>
      </w:r>
      <w:r>
        <w:rPr>
          <w:lang w:val="en-US" w:eastAsia="en-US" w:bidi="en-US"/>
        </w:rPr>
        <w:t xml:space="preserve">Linde </w:t>
      </w:r>
      <w:r>
        <w:t xml:space="preserve">ů zasláním nového zněni Podmínek e-mailem, na dodacím listu či na faktuře. Jestliže </w:t>
      </w:r>
      <w:proofErr w:type="spellStart"/>
      <w:r>
        <w:t>zákaznik</w:t>
      </w:r>
      <w:proofErr w:type="spellEnd"/>
      <w:r>
        <w:t xml:space="preserve"> nové zněni Podmínek do 30 dnů písemné odmítne, nové zněni se u něj </w:t>
      </w:r>
      <w:r>
        <w:t>neuplatní.</w:t>
      </w:r>
    </w:p>
    <w:sectPr w:rsidR="009C5A04">
      <w:pgSz w:w="11900" w:h="16840"/>
      <w:pgMar w:top="1177" w:right="919" w:bottom="862" w:left="7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C0" w:rsidRDefault="00172CC0">
      <w:r>
        <w:separator/>
      </w:r>
    </w:p>
  </w:endnote>
  <w:endnote w:type="continuationSeparator" w:id="0">
    <w:p w:rsidR="00172CC0" w:rsidRDefault="0017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C0" w:rsidRDefault="00172CC0"/>
  </w:footnote>
  <w:footnote w:type="continuationSeparator" w:id="0">
    <w:p w:rsidR="00172CC0" w:rsidRDefault="00172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9BD"/>
    <w:multiLevelType w:val="multilevel"/>
    <w:tmpl w:val="2D7EBBF8"/>
    <w:lvl w:ilvl="0">
      <w:start w:val="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6D1EA9"/>
    <w:multiLevelType w:val="multilevel"/>
    <w:tmpl w:val="DA046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04"/>
    <w:rsid w:val="00172CC0"/>
    <w:rsid w:val="009C5A04"/>
    <w:rsid w:val="00B57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0AD0"/>
  <w15:docId w15:val="{E933E25F-F0AE-474E-B024-84BFA578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5"/>
      <w:szCs w:val="15"/>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2"/>
      <w:szCs w:val="1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5"/>
      <w:szCs w:val="15"/>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color w:val="486ABC"/>
      <w:sz w:val="18"/>
      <w:szCs w:val="18"/>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2"/>
      <w:szCs w:val="12"/>
      <w:u w:val="none"/>
    </w:rPr>
  </w:style>
  <w:style w:type="paragraph" w:customStyle="1" w:styleId="Tablecaption0">
    <w:name w:val="Table caption"/>
    <w:basedOn w:val="Normln"/>
    <w:link w:val="Tablecaption"/>
    <w:pPr>
      <w:shd w:val="clear" w:color="auto" w:fill="FFFFFF"/>
    </w:pPr>
    <w:rPr>
      <w:rFonts w:ascii="Arial" w:eastAsia="Arial" w:hAnsi="Arial" w:cs="Arial"/>
      <w:sz w:val="15"/>
      <w:szCs w:val="15"/>
    </w:rPr>
  </w:style>
  <w:style w:type="paragraph" w:customStyle="1" w:styleId="Other0">
    <w:name w:val="Other"/>
    <w:basedOn w:val="Normln"/>
    <w:link w:val="Other"/>
    <w:pPr>
      <w:shd w:val="clear" w:color="auto" w:fill="FFFFFF"/>
      <w:jc w:val="both"/>
    </w:pPr>
    <w:rPr>
      <w:rFonts w:ascii="Arial" w:eastAsia="Arial" w:hAnsi="Arial" w:cs="Arial"/>
      <w:sz w:val="12"/>
      <w:szCs w:val="12"/>
    </w:rPr>
  </w:style>
  <w:style w:type="paragraph" w:customStyle="1" w:styleId="Bodytext20">
    <w:name w:val="Body text (2)"/>
    <w:basedOn w:val="Normln"/>
    <w:link w:val="Bodytext2"/>
    <w:pPr>
      <w:shd w:val="clear" w:color="auto" w:fill="FFFFFF"/>
      <w:spacing w:after="160"/>
    </w:pPr>
    <w:rPr>
      <w:rFonts w:ascii="Arial" w:eastAsia="Arial" w:hAnsi="Arial" w:cs="Arial"/>
      <w:sz w:val="15"/>
      <w:szCs w:val="15"/>
    </w:rPr>
  </w:style>
  <w:style w:type="paragraph" w:customStyle="1" w:styleId="Picturecaption0">
    <w:name w:val="Picture caption"/>
    <w:basedOn w:val="Normln"/>
    <w:link w:val="Picturecaption"/>
    <w:pPr>
      <w:shd w:val="clear" w:color="auto" w:fill="FFFFFF"/>
    </w:pPr>
    <w:rPr>
      <w:rFonts w:ascii="Arial" w:eastAsia="Arial" w:hAnsi="Arial" w:cs="Arial"/>
      <w:sz w:val="15"/>
      <w:szCs w:val="15"/>
    </w:rPr>
  </w:style>
  <w:style w:type="paragraph" w:customStyle="1" w:styleId="Heading10">
    <w:name w:val="Heading #1"/>
    <w:basedOn w:val="Normln"/>
    <w:link w:val="Heading1"/>
    <w:pPr>
      <w:shd w:val="clear" w:color="auto" w:fill="FFFFFF"/>
      <w:ind w:right="320"/>
      <w:jc w:val="right"/>
      <w:outlineLvl w:val="0"/>
    </w:pPr>
    <w:rPr>
      <w:rFonts w:ascii="Arial" w:eastAsia="Arial" w:hAnsi="Arial" w:cs="Arial"/>
      <w:color w:val="486ABC"/>
      <w:sz w:val="18"/>
      <w:szCs w:val="18"/>
    </w:rPr>
  </w:style>
  <w:style w:type="paragraph" w:styleId="Zkladntext">
    <w:name w:val="Body Text"/>
    <w:basedOn w:val="Normln"/>
    <w:link w:val="ZkladntextChar"/>
    <w:qFormat/>
    <w:pPr>
      <w:shd w:val="clear" w:color="auto" w:fill="FFFFFF"/>
      <w:jc w:val="both"/>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2440</Words>
  <Characters>14400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2021-03-11T07:11:00Z</dcterms:created>
  <dcterms:modified xsi:type="dcterms:W3CDTF">2021-03-11T07:14:00Z</dcterms:modified>
</cp:coreProperties>
</file>