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4004196" w:rsidR="004254AD" w:rsidRDefault="00315F84">
      <w:pPr>
        <w:pStyle w:val="Nzev"/>
        <w:rPr>
          <w:color w:val="000000"/>
          <w:sz w:val="28"/>
          <w:szCs w:val="28"/>
        </w:rPr>
      </w:pPr>
      <w:r>
        <w:rPr>
          <w:color w:val="000000"/>
          <w:sz w:val="28"/>
          <w:szCs w:val="28"/>
        </w:rPr>
        <w:t xml:space="preserve">Příloha č. 1 Smlouvy 1/2019 – Specifikace služby </w:t>
      </w:r>
      <w:proofErr w:type="spellStart"/>
      <w:r>
        <w:rPr>
          <w:color w:val="000000"/>
          <w:sz w:val="28"/>
          <w:szCs w:val="28"/>
        </w:rPr>
        <w:t>Tritius</w:t>
      </w:r>
      <w:proofErr w:type="spellEnd"/>
      <w:r w:rsidR="00064853">
        <w:rPr>
          <w:color w:val="000000"/>
          <w:sz w:val="28"/>
          <w:szCs w:val="28"/>
        </w:rPr>
        <w:t>-</w:t>
      </w:r>
      <w:r w:rsidR="00064853" w:rsidRPr="00064853">
        <w:rPr>
          <w:b/>
          <w:color w:val="auto"/>
          <w:sz w:val="28"/>
          <w:szCs w:val="28"/>
        </w:rPr>
        <w:t xml:space="preserve"> </w:t>
      </w:r>
      <w:r w:rsidR="00064853" w:rsidRPr="00487A94">
        <w:rPr>
          <w:b/>
          <w:color w:val="auto"/>
          <w:sz w:val="28"/>
          <w:szCs w:val="28"/>
        </w:rPr>
        <w:t>Aktualizace</w:t>
      </w:r>
      <w:r w:rsidR="00064853">
        <w:rPr>
          <w:b/>
          <w:color w:val="auto"/>
          <w:sz w:val="28"/>
          <w:szCs w:val="28"/>
        </w:rPr>
        <w:t xml:space="preserve"> </w:t>
      </w:r>
      <w:proofErr w:type="gramStart"/>
      <w:r w:rsidR="00064853">
        <w:rPr>
          <w:b/>
          <w:color w:val="auto"/>
          <w:sz w:val="28"/>
          <w:szCs w:val="28"/>
        </w:rPr>
        <w:t>č.2</w:t>
      </w:r>
      <w:proofErr w:type="gramEnd"/>
    </w:p>
    <w:p w14:paraId="00000002" w14:textId="77777777" w:rsidR="004254AD" w:rsidRDefault="00315F84">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14:paraId="00000003" w14:textId="77777777" w:rsidR="004254AD" w:rsidRDefault="00315F84">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Jindřichův Hradec</w:t>
      </w:r>
    </w:p>
    <w:p w14:paraId="00000004" w14:textId="77777777" w:rsidR="004254AD" w:rsidRDefault="00315F8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U Knihovny 1173/II, Jindřichův Hradec 377 01</w:t>
      </w:r>
    </w:p>
    <w:p w14:paraId="00000005" w14:textId="77777777" w:rsidR="004254AD" w:rsidRDefault="00315F8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60817054</w:t>
      </w:r>
    </w:p>
    <w:p w14:paraId="00000006" w14:textId="77777777" w:rsidR="004254AD" w:rsidRDefault="00315F8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neplátce DPH</w:t>
      </w:r>
    </w:p>
    <w:p w14:paraId="00000007" w14:textId="77777777" w:rsidR="004254AD" w:rsidRDefault="00315F8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zastoupen ředitelem Ing. Tomášem </w:t>
      </w:r>
      <w:proofErr w:type="spellStart"/>
      <w:r>
        <w:rPr>
          <w:rFonts w:ascii="Georgia" w:eastAsia="Georgia" w:hAnsi="Georgia" w:cs="Georgia"/>
          <w:sz w:val="24"/>
          <w:szCs w:val="24"/>
        </w:rPr>
        <w:t>Dosbabou</w:t>
      </w:r>
      <w:proofErr w:type="spellEnd"/>
    </w:p>
    <w:p w14:paraId="00000008" w14:textId="77777777" w:rsidR="004254AD" w:rsidRDefault="00315F84">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14:paraId="00000009" w14:textId="77777777" w:rsidR="004254AD" w:rsidRDefault="00315F84">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14:paraId="0000000A" w14:textId="77777777" w:rsidR="004254AD" w:rsidRDefault="004254AD">
      <w:pPr>
        <w:shd w:val="clear" w:color="auto" w:fill="FFFFFF"/>
        <w:spacing w:after="0" w:line="240" w:lineRule="auto"/>
        <w:rPr>
          <w:rFonts w:ascii="Georgia" w:eastAsia="Georgia" w:hAnsi="Georgia" w:cs="Georgia"/>
          <w:sz w:val="20"/>
          <w:szCs w:val="20"/>
        </w:rPr>
      </w:pPr>
    </w:p>
    <w:p w14:paraId="0000000B" w14:textId="77777777" w:rsidR="004254AD" w:rsidRDefault="00315F84">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Poskytovatel</w:t>
      </w:r>
    </w:p>
    <w:p w14:paraId="0000000C" w14:textId="77777777" w:rsidR="004254AD" w:rsidRDefault="00315F84">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14:paraId="0000000D" w14:textId="6416DF72" w:rsidR="004254AD" w:rsidRDefault="00315F8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 xml:space="preserve">se sídlem Vodní 258/13, Brno </w:t>
      </w:r>
      <w:proofErr w:type="gramStart"/>
      <w:r>
        <w:rPr>
          <w:rFonts w:ascii="Georgia" w:eastAsia="Georgia" w:hAnsi="Georgia" w:cs="Georgia"/>
          <w:sz w:val="24"/>
          <w:szCs w:val="24"/>
        </w:rPr>
        <w:t xml:space="preserve">602 00, </w:t>
      </w:r>
      <w:r w:rsidR="00064853" w:rsidRPr="00064853">
        <w:rPr>
          <w:rFonts w:ascii="Georgia" w:eastAsia="Georgia" w:hAnsi="Georgia" w:cs="Georgia"/>
          <w:sz w:val="24"/>
          <w:szCs w:val="24"/>
          <w:highlight w:val="black"/>
        </w:rPr>
        <w:t>.</w:t>
      </w:r>
      <w:r w:rsidR="00064853">
        <w:rPr>
          <w:rFonts w:ascii="Georgia" w:eastAsia="Georgia" w:hAnsi="Georgia" w:cs="Georgia"/>
          <w:sz w:val="24"/>
          <w:szCs w:val="24"/>
          <w:highlight w:val="black"/>
        </w:rPr>
        <w:t xml:space="preserve">                          </w:t>
      </w:r>
      <w:r w:rsidR="00064853" w:rsidRPr="00064853">
        <w:rPr>
          <w:rFonts w:ascii="Georgia" w:eastAsia="Georgia" w:hAnsi="Georgia" w:cs="Georgia"/>
          <w:sz w:val="24"/>
          <w:szCs w:val="24"/>
          <w:highlight w:val="black"/>
        </w:rPr>
        <w:t xml:space="preserve">                                .</w:t>
      </w:r>
      <w:proofErr w:type="gramEnd"/>
    </w:p>
    <w:p w14:paraId="0000000E" w14:textId="77777777" w:rsidR="004254AD" w:rsidRDefault="00315F8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 DIČ: CZ05700582</w:t>
      </w:r>
      <w:r>
        <w:rPr>
          <w:rFonts w:ascii="Georgia" w:eastAsia="Georgia" w:hAnsi="Georgia" w:cs="Georgia"/>
          <w:sz w:val="16"/>
          <w:szCs w:val="16"/>
        </w:rPr>
        <w:t xml:space="preserve"> (také MOSS identifikační číslo)</w:t>
      </w:r>
    </w:p>
    <w:p w14:paraId="0000000F" w14:textId="77777777" w:rsidR="004254AD" w:rsidRDefault="00315F84">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14:paraId="00000010" w14:textId="77777777" w:rsidR="004254AD" w:rsidRDefault="00315F84">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„Poskytovatel“)</w:t>
      </w:r>
    </w:p>
    <w:p w14:paraId="00000011" w14:textId="77777777" w:rsidR="004254AD" w:rsidRDefault="004254AD">
      <w:pPr>
        <w:shd w:val="clear" w:color="auto" w:fill="FFFFFF"/>
        <w:spacing w:after="0" w:line="240" w:lineRule="auto"/>
        <w:jc w:val="center"/>
        <w:rPr>
          <w:rFonts w:ascii="Georgia" w:eastAsia="Georgia" w:hAnsi="Georgia" w:cs="Georgia"/>
          <w:sz w:val="20"/>
          <w:szCs w:val="20"/>
        </w:rPr>
      </w:pPr>
    </w:p>
    <w:p w14:paraId="00000012" w14:textId="77777777" w:rsidR="004254AD" w:rsidRDefault="00315F8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Úvodní ustanovení</w:t>
      </w:r>
    </w:p>
    <w:p w14:paraId="00000013"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Tato specifikace je přílohou smlouvy o poskytování softwarových služeb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mezi smluvními stranami a slouží k upřesnění parametrů poskytování této služby.</w:t>
      </w:r>
    </w:p>
    <w:p w14:paraId="00000014"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rozdílu mezi obsahem této sp</w:t>
      </w:r>
      <w:bookmarkStart w:id="0" w:name="_GoBack"/>
      <w:bookmarkEnd w:id="0"/>
      <w:r>
        <w:rPr>
          <w:rFonts w:ascii="Georgia" w:eastAsia="Georgia" w:hAnsi="Georgia" w:cs="Georgia"/>
          <w:color w:val="000000"/>
          <w:sz w:val="22"/>
          <w:szCs w:val="22"/>
        </w:rPr>
        <w:t>ecifikace a uzavřené smlouvy má přednost úprava v této specifikaci (specifikace má vyšší prioritu).</w:t>
      </w:r>
    </w:p>
    <w:p w14:paraId="00000015" w14:textId="77777777" w:rsidR="004254AD" w:rsidRDefault="004254AD">
      <w:pPr>
        <w:shd w:val="clear" w:color="auto" w:fill="FFFFFF"/>
        <w:spacing w:after="0" w:line="240" w:lineRule="auto"/>
        <w:rPr>
          <w:rFonts w:ascii="Georgia" w:eastAsia="Georgia" w:hAnsi="Georgia" w:cs="Georgia"/>
          <w:sz w:val="22"/>
          <w:szCs w:val="22"/>
        </w:rPr>
      </w:pPr>
    </w:p>
    <w:p w14:paraId="00000016" w14:textId="77777777" w:rsidR="004254AD" w:rsidRDefault="00315F8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Služba zahrnuje</w:t>
      </w:r>
    </w:p>
    <w:p w14:paraId="00000017"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Právo používat systém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(licenci):</w:t>
      </w:r>
    </w:p>
    <w:p w14:paraId="00000018"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Velikostní licence: </w:t>
      </w:r>
      <w:r>
        <w:rPr>
          <w:rFonts w:ascii="Georgia" w:eastAsia="Georgia" w:hAnsi="Georgia" w:cs="Georgia"/>
          <w:b/>
          <w:color w:val="000000"/>
          <w:sz w:val="22"/>
          <w:szCs w:val="22"/>
        </w:rPr>
        <w:t>do 200.000</w:t>
      </w:r>
      <w:r>
        <w:rPr>
          <w:rFonts w:ascii="Georgia" w:eastAsia="Georgia" w:hAnsi="Georgia" w:cs="Georgia"/>
          <w:color w:val="000000"/>
          <w:sz w:val="22"/>
          <w:szCs w:val="22"/>
        </w:rPr>
        <w:t xml:space="preserve"> svazků.</w:t>
      </w:r>
    </w:p>
    <w:p w14:paraId="00000019"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Provoz v režimu </w:t>
      </w:r>
      <w:r>
        <w:rPr>
          <w:rFonts w:ascii="Georgia" w:eastAsia="Georgia" w:hAnsi="Georgia" w:cs="Georgia"/>
          <w:b/>
          <w:color w:val="000000"/>
          <w:sz w:val="22"/>
          <w:szCs w:val="22"/>
        </w:rPr>
        <w:t>sólo</w:t>
      </w:r>
      <w:r>
        <w:rPr>
          <w:rFonts w:ascii="Georgia" w:eastAsia="Georgia" w:hAnsi="Georgia" w:cs="Georgia"/>
          <w:color w:val="000000"/>
          <w:sz w:val="22"/>
          <w:szCs w:val="22"/>
        </w:rPr>
        <w:t xml:space="preserve"> systému.</w:t>
      </w:r>
    </w:p>
    <w:p w14:paraId="0000001A"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Dostupné moduly systému:</w:t>
      </w:r>
    </w:p>
    <w:p w14:paraId="0000001B"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 xml:space="preserve">Katalogizace (všech druhů dokumentů, včetně Z-klienta, </w:t>
      </w:r>
      <w:proofErr w:type="spellStart"/>
      <w:r>
        <w:rPr>
          <w:rFonts w:ascii="Georgia" w:eastAsia="Georgia" w:hAnsi="Georgia" w:cs="Georgia"/>
          <w:color w:val="000000"/>
          <w:sz w:val="22"/>
          <w:szCs w:val="22"/>
        </w:rPr>
        <w:t>reg</w:t>
      </w:r>
      <w:proofErr w:type="spellEnd"/>
      <w:r>
        <w:rPr>
          <w:rFonts w:ascii="Georgia" w:eastAsia="Georgia" w:hAnsi="Georgia" w:cs="Georgia"/>
          <w:color w:val="000000"/>
          <w:sz w:val="22"/>
          <w:szCs w:val="22"/>
        </w:rPr>
        <w:t xml:space="preserve">. </w:t>
      </w:r>
      <w:proofErr w:type="gramStart"/>
      <w:r>
        <w:rPr>
          <w:rFonts w:ascii="Georgia" w:eastAsia="Georgia" w:hAnsi="Georgia" w:cs="Georgia"/>
          <w:color w:val="000000"/>
          <w:sz w:val="22"/>
          <w:szCs w:val="22"/>
        </w:rPr>
        <w:t>databáze</w:t>
      </w:r>
      <w:proofErr w:type="gramEnd"/>
      <w:r>
        <w:rPr>
          <w:rFonts w:ascii="Georgia" w:eastAsia="Georgia" w:hAnsi="Georgia" w:cs="Georgia"/>
          <w:color w:val="000000"/>
          <w:sz w:val="22"/>
          <w:szCs w:val="22"/>
        </w:rPr>
        <w:t>),</w:t>
      </w:r>
    </w:p>
    <w:p w14:paraId="0000001C"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Výpůjční protokol,</w:t>
      </w:r>
    </w:p>
    <w:p w14:paraId="0000001D"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Webový katalog,</w:t>
      </w:r>
    </w:p>
    <w:p w14:paraId="0000001E"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Revize fondu,</w:t>
      </w:r>
    </w:p>
    <w:p w14:paraId="0000001F"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Elektronické MVS,</w:t>
      </w:r>
    </w:p>
    <w:p w14:paraId="00000020"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Výměnné soubory,</w:t>
      </w:r>
    </w:p>
    <w:p w14:paraId="00000021"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OAI provider,</w:t>
      </w:r>
    </w:p>
    <w:p w14:paraId="00000022"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color w:val="000000"/>
        </w:rPr>
      </w:pPr>
      <w:r>
        <w:rPr>
          <w:rFonts w:ascii="Georgia" w:eastAsia="Georgia" w:hAnsi="Georgia" w:cs="Georgia"/>
          <w:color w:val="000000"/>
          <w:sz w:val="22"/>
          <w:szCs w:val="22"/>
        </w:rPr>
        <w:t>Dispečink internetu</w:t>
      </w:r>
    </w:p>
    <w:p w14:paraId="00000023" w14:textId="77777777" w:rsidR="004254AD" w:rsidRDefault="00315F84">
      <w:pPr>
        <w:numPr>
          <w:ilvl w:val="3"/>
          <w:numId w:val="1"/>
        </w:numPr>
        <w:pBdr>
          <w:top w:val="nil"/>
          <w:left w:val="nil"/>
          <w:bottom w:val="nil"/>
          <w:right w:val="nil"/>
          <w:between w:val="nil"/>
        </w:pBdr>
        <w:shd w:val="clear" w:color="auto" w:fill="FFFFFF"/>
        <w:spacing w:after="0" w:line="240" w:lineRule="auto"/>
        <w:ind w:hanging="648"/>
        <w:rPr>
          <w:rFonts w:ascii="Georgia" w:eastAsia="Georgia" w:hAnsi="Georgia" w:cs="Georgia"/>
        </w:rPr>
      </w:pPr>
      <w:r>
        <w:rPr>
          <w:rFonts w:ascii="Georgia" w:eastAsia="Georgia" w:hAnsi="Georgia" w:cs="Georgia"/>
          <w:sz w:val="22"/>
          <w:szCs w:val="22"/>
        </w:rPr>
        <w:t xml:space="preserve"> Platební brána</w:t>
      </w:r>
    </w:p>
    <w:p w14:paraId="00000024"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Nové verze systému a jejich instalaci.</w:t>
      </w:r>
    </w:p>
    <w:p w14:paraId="00000025"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Záruční servis (opravy chyb systému).</w:t>
      </w:r>
    </w:p>
    <w:p w14:paraId="00000026" w14:textId="3120A661"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Zajištění zpřístupnění systému na webové </w:t>
      </w:r>
      <w:proofErr w:type="gramStart"/>
      <w:r>
        <w:rPr>
          <w:rFonts w:ascii="Georgia" w:eastAsia="Georgia" w:hAnsi="Georgia" w:cs="Georgia"/>
          <w:color w:val="000000"/>
          <w:sz w:val="22"/>
          <w:szCs w:val="22"/>
        </w:rPr>
        <w:t>adrese:</w:t>
      </w:r>
      <w:r w:rsidR="00064853">
        <w:rPr>
          <w:rFonts w:ascii="Georgia" w:eastAsia="Georgia" w:hAnsi="Georgia" w:cs="Georgia"/>
          <w:color w:val="000000"/>
          <w:sz w:val="22"/>
          <w:szCs w:val="22"/>
        </w:rPr>
        <w:t xml:space="preserve"> </w:t>
      </w:r>
      <w:r w:rsidR="00064853" w:rsidRPr="00064853">
        <w:rPr>
          <w:rFonts w:ascii="Georgia" w:eastAsia="Georgia" w:hAnsi="Georgia" w:cs="Georgia"/>
          <w:color w:val="000000"/>
          <w:sz w:val="22"/>
          <w:szCs w:val="22"/>
          <w:highlight w:val="black"/>
        </w:rPr>
        <w:t>.                  .</w:t>
      </w:r>
      <w:proofErr w:type="gramEnd"/>
    </w:p>
    <w:p w14:paraId="00000027"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Dostupnost systému 365 dní v roce (garance min. 97 % času).</w:t>
      </w:r>
    </w:p>
    <w:p w14:paraId="00000028"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připojení včetně SSL certifikátu.</w:t>
      </w:r>
    </w:p>
    <w:p w14:paraId="00000029"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dostatečného výkonu pro provoz systému v konfiguraci dle licence.</w:t>
      </w:r>
    </w:p>
    <w:p w14:paraId="0000002A"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Zahrnuje také náklady na napájení, chlazení a obnovu potřebného HW.</w:t>
      </w:r>
    </w:p>
    <w:p w14:paraId="0000002B" w14:textId="77777777" w:rsidR="004254AD" w:rsidRDefault="00315F84">
      <w:pPr>
        <w:numPr>
          <w:ilvl w:val="2"/>
          <w:numId w:val="1"/>
        </w:numPr>
        <w:shd w:val="clear" w:color="auto" w:fill="FFFFFF"/>
        <w:spacing w:after="0" w:line="240" w:lineRule="auto"/>
        <w:rPr>
          <w:rFonts w:ascii="Georgia" w:eastAsia="Georgia" w:hAnsi="Georgia" w:cs="Georgia"/>
        </w:rPr>
      </w:pPr>
      <w:proofErr w:type="gramStart"/>
      <w:r>
        <w:rPr>
          <w:rFonts w:ascii="Georgia" w:eastAsia="Georgia" w:hAnsi="Georgia" w:cs="Georgia"/>
          <w:sz w:val="22"/>
          <w:szCs w:val="22"/>
        </w:rPr>
        <w:t>Zahrnuje</w:t>
      </w:r>
      <w:proofErr w:type="gramEnd"/>
      <w:r>
        <w:rPr>
          <w:rFonts w:ascii="Georgia" w:eastAsia="Georgia" w:hAnsi="Georgia" w:cs="Georgia"/>
          <w:sz w:val="22"/>
          <w:szCs w:val="22"/>
        </w:rPr>
        <w:t xml:space="preserve"> limitovaný úložný prostor pro ukládání příloh </w:t>
      </w:r>
      <w:proofErr w:type="gramStart"/>
      <w:r>
        <w:rPr>
          <w:rFonts w:ascii="Georgia" w:eastAsia="Georgia" w:hAnsi="Georgia" w:cs="Georgia"/>
          <w:sz w:val="22"/>
          <w:szCs w:val="22"/>
        </w:rPr>
        <w:t>viz</w:t>
      </w:r>
      <w:proofErr w:type="gramEnd"/>
      <w:r>
        <w:rPr>
          <w:rFonts w:ascii="Georgia" w:eastAsia="Georgia" w:hAnsi="Georgia" w:cs="Georgia"/>
          <w:sz w:val="22"/>
          <w:szCs w:val="22"/>
        </w:rPr>
        <w:t xml:space="preserve"> VOP.</w:t>
      </w:r>
    </w:p>
    <w:p w14:paraId="0000002C"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bezpečnosti:</w:t>
      </w:r>
    </w:p>
    <w:p w14:paraId="0000002D"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Zálohování dat dle </w:t>
      </w:r>
      <w:r>
        <w:rPr>
          <w:rFonts w:ascii="Georgia" w:eastAsia="Georgia" w:hAnsi="Georgia" w:cs="Georgia"/>
          <w:sz w:val="22"/>
          <w:szCs w:val="22"/>
        </w:rPr>
        <w:t>VOP</w:t>
      </w:r>
      <w:r>
        <w:rPr>
          <w:rFonts w:ascii="Georgia" w:eastAsia="Georgia" w:hAnsi="Georgia" w:cs="Georgia"/>
          <w:color w:val="000000"/>
          <w:sz w:val="22"/>
          <w:szCs w:val="22"/>
        </w:rPr>
        <w:t>.</w:t>
      </w:r>
    </w:p>
    <w:p w14:paraId="0000002E"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Zabezpečené umístění serveru včetně trvalé ostrahy objektu.</w:t>
      </w:r>
    </w:p>
    <w:p w14:paraId="0000002F"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Zpřístupnění záloh pro možnost stažení k objednateli.</w:t>
      </w:r>
    </w:p>
    <w:p w14:paraId="00000030" w14:textId="77777777" w:rsidR="004254AD" w:rsidRDefault="00315F84">
      <w:pPr>
        <w:numPr>
          <w:ilvl w:val="2"/>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Garance souladu zabezpečení serveru s evropským nařízením o ochraně osobních údajů (GDPR).</w:t>
      </w:r>
    </w:p>
    <w:p w14:paraId="00000031"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lastRenderedPageBreak/>
        <w:t>Zajištění aktivního monitoringu systému.</w:t>
      </w:r>
    </w:p>
    <w:p w14:paraId="00000032"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Zajištění správy serveru a jeho zabezpečení (včetně bezpečnostních aktualizací).</w:t>
      </w:r>
    </w:p>
    <w:p w14:paraId="00000033" w14:textId="77777777" w:rsidR="004254AD" w:rsidRDefault="00315F84">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Zajištění odesílání SMS zpráv čtenářům ze systému na mobilní telefony všech operátorů v ČR.</w:t>
      </w:r>
    </w:p>
    <w:p w14:paraId="00000034" w14:textId="77777777" w:rsidR="004254AD" w:rsidRDefault="004254AD">
      <w:pPr>
        <w:shd w:val="clear" w:color="auto" w:fill="FFFFFF"/>
        <w:spacing w:after="0" w:line="240" w:lineRule="auto"/>
        <w:rPr>
          <w:rFonts w:ascii="Georgia" w:eastAsia="Georgia" w:hAnsi="Georgia" w:cs="Georgia"/>
          <w:sz w:val="22"/>
          <w:szCs w:val="22"/>
        </w:rPr>
      </w:pPr>
    </w:p>
    <w:p w14:paraId="00000035" w14:textId="77777777" w:rsidR="004254AD" w:rsidRDefault="00315F8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 xml:space="preserve">Cena služby od </w:t>
      </w:r>
      <w:proofErr w:type="gramStart"/>
      <w:r>
        <w:rPr>
          <w:rFonts w:ascii="Georgia" w:eastAsia="Georgia" w:hAnsi="Georgia" w:cs="Georgia"/>
          <w:color w:val="000000"/>
          <w:sz w:val="22"/>
          <w:szCs w:val="22"/>
          <w:u w:val="single"/>
        </w:rPr>
        <w:t>1.4.2021</w:t>
      </w:r>
      <w:proofErr w:type="gramEnd"/>
      <w:r>
        <w:rPr>
          <w:rFonts w:ascii="Georgia" w:eastAsia="Georgia" w:hAnsi="Georgia" w:cs="Georgia"/>
          <w:color w:val="000000"/>
          <w:sz w:val="22"/>
          <w:szCs w:val="22"/>
          <w:u w:val="single"/>
        </w:rPr>
        <w:t>:</w:t>
      </w:r>
    </w:p>
    <w:p w14:paraId="00000036" w14:textId="14E056CC"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u w:val="single"/>
        </w:rPr>
      </w:pPr>
      <w:r>
        <w:rPr>
          <w:rFonts w:ascii="Georgia" w:eastAsia="Georgia" w:hAnsi="Georgia" w:cs="Georgia"/>
          <w:color w:val="000000"/>
          <w:sz w:val="22"/>
          <w:szCs w:val="22"/>
        </w:rPr>
        <w:t xml:space="preserve">Měsíční cena služby </w:t>
      </w:r>
      <w:proofErr w:type="gramStart"/>
      <w:r>
        <w:rPr>
          <w:rFonts w:ascii="Georgia" w:eastAsia="Georgia" w:hAnsi="Georgia" w:cs="Georgia"/>
          <w:color w:val="000000"/>
          <w:sz w:val="22"/>
          <w:szCs w:val="22"/>
        </w:rPr>
        <w:t>či</w:t>
      </w:r>
      <w:r w:rsidR="00064853">
        <w:rPr>
          <w:rFonts w:ascii="Georgia" w:eastAsia="Georgia" w:hAnsi="Georgia" w:cs="Georgia"/>
          <w:sz w:val="22"/>
          <w:szCs w:val="22"/>
        </w:rPr>
        <w:t xml:space="preserve">ní: </w:t>
      </w:r>
      <w:r w:rsidR="00064853" w:rsidRPr="00064853">
        <w:rPr>
          <w:rFonts w:ascii="Georgia" w:eastAsia="Georgia" w:hAnsi="Georgia" w:cs="Georgia"/>
          <w:sz w:val="22"/>
          <w:szCs w:val="22"/>
          <w:highlight w:val="black"/>
        </w:rPr>
        <w:t xml:space="preserve">.                                                                              </w:t>
      </w:r>
      <w:r w:rsidRPr="00064853">
        <w:rPr>
          <w:rFonts w:ascii="Georgia" w:eastAsia="Georgia" w:hAnsi="Georgia" w:cs="Georgia"/>
          <w:sz w:val="22"/>
          <w:szCs w:val="22"/>
          <w:highlight w:val="black"/>
        </w:rPr>
        <w:t>.</w:t>
      </w:r>
      <w:proofErr w:type="gramEnd"/>
      <w:r>
        <w:rPr>
          <w:rFonts w:ascii="Georgia" w:eastAsia="Georgia" w:hAnsi="Georgia" w:cs="Georgia"/>
          <w:sz w:val="22"/>
          <w:szCs w:val="22"/>
        </w:rPr>
        <w:t xml:space="preserve"> </w:t>
      </w:r>
    </w:p>
    <w:p w14:paraId="00000037" w14:textId="6A8D47C1" w:rsidR="004254AD" w:rsidRDefault="00064853">
      <w:pPr>
        <w:numPr>
          <w:ilvl w:val="1"/>
          <w:numId w:val="1"/>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Cena odeslané SMS zprávy </w:t>
      </w:r>
      <w:proofErr w:type="gramStart"/>
      <w:r>
        <w:rPr>
          <w:rFonts w:ascii="Georgia" w:eastAsia="Georgia" w:hAnsi="Georgia" w:cs="Georgia"/>
          <w:sz w:val="22"/>
          <w:szCs w:val="22"/>
        </w:rPr>
        <w:t xml:space="preserve">činí </w:t>
      </w:r>
      <w:r w:rsidRPr="00064853">
        <w:rPr>
          <w:rFonts w:ascii="Georgia" w:eastAsia="Georgia" w:hAnsi="Georgia" w:cs="Georgia"/>
          <w:sz w:val="22"/>
          <w:szCs w:val="22"/>
          <w:highlight w:val="black"/>
        </w:rPr>
        <w:t>.                                               .</w:t>
      </w:r>
      <w:proofErr w:type="gramEnd"/>
    </w:p>
    <w:p w14:paraId="00000038" w14:textId="77777777" w:rsidR="004254AD" w:rsidRDefault="004254A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u w:val="single"/>
        </w:rPr>
      </w:pPr>
    </w:p>
    <w:p w14:paraId="00000039" w14:textId="77777777" w:rsidR="004254AD" w:rsidRDefault="00315F8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u w:val="single"/>
        </w:rPr>
        <w:t>Jednorázová cena implementace modulu platební brána</w:t>
      </w:r>
    </w:p>
    <w:p w14:paraId="0000003A"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Zahrnuje zprovoznění modulu platební brána v </w:t>
      </w:r>
      <w:proofErr w:type="spellStart"/>
      <w:r>
        <w:rPr>
          <w:rFonts w:ascii="Georgia" w:eastAsia="Georgia" w:hAnsi="Georgia" w:cs="Georgia"/>
          <w:sz w:val="22"/>
          <w:szCs w:val="22"/>
        </w:rPr>
        <w:t>hostingovém</w:t>
      </w:r>
      <w:proofErr w:type="spellEnd"/>
      <w:r>
        <w:rPr>
          <w:rFonts w:ascii="Georgia" w:eastAsia="Georgia" w:hAnsi="Georgia" w:cs="Georgia"/>
          <w:sz w:val="22"/>
          <w:szCs w:val="22"/>
        </w:rPr>
        <w:t xml:space="preserve"> centru a nastavení modulu dle požadavků objednatele, </w:t>
      </w:r>
    </w:p>
    <w:p w14:paraId="0000003B" w14:textId="0563927D"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Jednorázová cena implementace modulu byla dohodou stanovena </w:t>
      </w:r>
      <w:proofErr w:type="gramStart"/>
      <w:r>
        <w:rPr>
          <w:rFonts w:ascii="Georgia" w:eastAsia="Georgia" w:hAnsi="Georgia" w:cs="Georgia"/>
          <w:sz w:val="22"/>
          <w:szCs w:val="22"/>
        </w:rPr>
        <w:t xml:space="preserve">na : </w:t>
      </w:r>
      <w:r>
        <w:rPr>
          <w:rFonts w:ascii="Georgia" w:eastAsia="Georgia" w:hAnsi="Georgia" w:cs="Georgia"/>
          <w:sz w:val="22"/>
          <w:szCs w:val="22"/>
        </w:rPr>
        <w:br/>
      </w:r>
      <w:r w:rsidR="00064853" w:rsidRPr="00064853">
        <w:rPr>
          <w:rFonts w:ascii="Georgia" w:eastAsia="Georgia" w:hAnsi="Georgia" w:cs="Georgia"/>
          <w:highlight w:val="black"/>
        </w:rPr>
        <w:t>.                             .</w:t>
      </w:r>
      <w:proofErr w:type="gramEnd"/>
    </w:p>
    <w:p w14:paraId="0000003C" w14:textId="77777777" w:rsidR="004254AD" w:rsidRDefault="004254AD">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14:paraId="0000003D" w14:textId="77777777" w:rsidR="004254AD" w:rsidRDefault="00315F84">
      <w:pPr>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Pověřené osoby</w:t>
      </w:r>
    </w:p>
    <w:p w14:paraId="0000003E"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objednatele je pověřenou osobou:</w:t>
      </w:r>
    </w:p>
    <w:p w14:paraId="0000003F" w14:textId="716ABC70" w:rsidR="004254AD" w:rsidRDefault="00064853">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 xml:space="preserve">Jméno: </w:t>
      </w:r>
      <w:r w:rsidRPr="00064853">
        <w:rPr>
          <w:rFonts w:ascii="Georgia" w:eastAsia="Georgia" w:hAnsi="Georgia" w:cs="Georgia"/>
          <w:color w:val="000000"/>
          <w:sz w:val="22"/>
          <w:szCs w:val="22"/>
          <w:highlight w:val="black"/>
        </w:rPr>
        <w:t>……………………………………………………………………</w:t>
      </w:r>
      <w:proofErr w:type="gramStart"/>
      <w:r w:rsidRPr="00064853">
        <w:rPr>
          <w:rFonts w:ascii="Georgia" w:eastAsia="Georgia" w:hAnsi="Georgia" w:cs="Georgia"/>
          <w:color w:val="000000"/>
          <w:sz w:val="22"/>
          <w:szCs w:val="22"/>
          <w:highlight w:val="black"/>
        </w:rPr>
        <w:t>…..</w:t>
      </w:r>
      <w:proofErr w:type="gramEnd"/>
    </w:p>
    <w:p w14:paraId="00000040" w14:textId="77777777" w:rsidR="004254AD" w:rsidRDefault="004254AD">
      <w:pPr>
        <w:pBdr>
          <w:top w:val="nil"/>
          <w:left w:val="nil"/>
          <w:bottom w:val="nil"/>
          <w:right w:val="nil"/>
          <w:between w:val="nil"/>
        </w:pBdr>
        <w:shd w:val="clear" w:color="auto" w:fill="FFFFFF"/>
        <w:spacing w:after="0" w:line="240" w:lineRule="auto"/>
        <w:ind w:left="2232" w:hanging="720"/>
        <w:rPr>
          <w:rFonts w:ascii="Georgia" w:eastAsia="Georgia" w:hAnsi="Georgia" w:cs="Georgia"/>
          <w:sz w:val="22"/>
          <w:szCs w:val="22"/>
        </w:rPr>
      </w:pPr>
    </w:p>
    <w:p w14:paraId="00000041"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Za zhotovitele je pověřenou osobou:</w:t>
      </w:r>
    </w:p>
    <w:p w14:paraId="00000042" w14:textId="796A66CD" w:rsidR="004254AD" w:rsidRDefault="00064853">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proofErr w:type="gramStart"/>
      <w:r>
        <w:rPr>
          <w:rFonts w:ascii="Georgia" w:eastAsia="Georgia" w:hAnsi="Georgia" w:cs="Georgia"/>
          <w:color w:val="000000"/>
          <w:sz w:val="22"/>
          <w:szCs w:val="22"/>
        </w:rPr>
        <w:t xml:space="preserve">Jméno:  </w:t>
      </w:r>
      <w:r w:rsidRPr="00064853">
        <w:rPr>
          <w:rFonts w:ascii="Georgia" w:eastAsia="Georgia" w:hAnsi="Georgia" w:cs="Georgia"/>
          <w:color w:val="000000"/>
          <w:sz w:val="22"/>
          <w:szCs w:val="22"/>
          <w:highlight w:val="black"/>
        </w:rPr>
        <w:t>.                                                                                         .</w:t>
      </w:r>
      <w:proofErr w:type="gramEnd"/>
    </w:p>
    <w:p w14:paraId="00000043" w14:textId="77777777" w:rsidR="004254AD" w:rsidRDefault="00315F84">
      <w:pPr>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14:paraId="00000044" w14:textId="77777777" w:rsidR="004254AD" w:rsidRDefault="004254AD">
      <w:pPr>
        <w:shd w:val="clear" w:color="auto" w:fill="FFFFFF"/>
        <w:spacing w:after="0" w:line="240" w:lineRule="auto"/>
        <w:rPr>
          <w:rFonts w:ascii="Georgia" w:eastAsia="Georgia" w:hAnsi="Georgia" w:cs="Georgia"/>
          <w:sz w:val="22"/>
          <w:szCs w:val="22"/>
        </w:rPr>
      </w:pPr>
    </w:p>
    <w:p w14:paraId="00000045" w14:textId="77777777" w:rsidR="004254AD" w:rsidRDefault="00315F84">
      <w:pPr>
        <w:keepNext/>
        <w:numPr>
          <w:ilvl w:val="0"/>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Závěrečná ustanovení</w:t>
      </w:r>
    </w:p>
    <w:p w14:paraId="00000046" w14:textId="77777777" w:rsidR="004254AD" w:rsidRDefault="00315F84">
      <w:pPr>
        <w:keepNext/>
        <w:numPr>
          <w:ilvl w:val="1"/>
          <w:numId w:val="1"/>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Tato specifikace je platná a účinná okamžikem jejího podpisu oběma smluvními stranami a nahrazuje všechny případné předchozí verze této specifikace.</w:t>
      </w:r>
    </w:p>
    <w:p w14:paraId="00000047" w14:textId="77777777" w:rsidR="004254AD" w:rsidRDefault="00315F84">
      <w:pPr>
        <w:shd w:val="clear" w:color="auto" w:fill="FFFFFF"/>
        <w:spacing w:after="0" w:line="240" w:lineRule="auto"/>
        <w:rPr>
          <w:rFonts w:ascii="Georgia" w:eastAsia="Georgia" w:hAnsi="Georgia" w:cs="Georgia"/>
          <w:sz w:val="22"/>
          <w:szCs w:val="22"/>
        </w:rPr>
      </w:pPr>
      <w:r>
        <w:rPr>
          <w:rFonts w:ascii="Georgia" w:eastAsia="Georgia" w:hAnsi="Georgia" w:cs="Georgia"/>
          <w:sz w:val="22"/>
          <w:szCs w:val="22"/>
        </w:rPr>
        <w:br/>
      </w:r>
      <w:r>
        <w:rPr>
          <w:rFonts w:ascii="Georgia" w:eastAsia="Georgia" w:hAnsi="Georgia" w:cs="Georgia"/>
          <w:sz w:val="22"/>
          <w:szCs w:val="22"/>
        </w:rPr>
        <w:br/>
      </w:r>
    </w:p>
    <w:p w14:paraId="00000048" w14:textId="720B8B85" w:rsidR="004254AD" w:rsidRDefault="00315F84">
      <w:pPr>
        <w:ind w:firstLine="720"/>
        <w:rPr>
          <w:rFonts w:ascii="Georgia" w:eastAsia="Georgia" w:hAnsi="Georgia" w:cs="Georgia"/>
          <w:sz w:val="22"/>
          <w:szCs w:val="22"/>
        </w:rPr>
      </w:pPr>
      <w:r>
        <w:rPr>
          <w:rFonts w:ascii="Georgia" w:eastAsia="Georgia" w:hAnsi="Georgia" w:cs="Georgia"/>
          <w:sz w:val="22"/>
          <w:szCs w:val="22"/>
        </w:rPr>
        <w:t xml:space="preserve">V Brně dne </w:t>
      </w:r>
      <w:r w:rsidR="004F1CF4">
        <w:rPr>
          <w:rFonts w:ascii="Georgia" w:eastAsia="Georgia" w:hAnsi="Georgia" w:cs="Georgia"/>
          <w:sz w:val="22"/>
          <w:szCs w:val="22"/>
        </w:rPr>
        <w:t xml:space="preserve">        </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V Jindřichově Hradci dne </w:t>
      </w:r>
    </w:p>
    <w:p w14:paraId="00000049" w14:textId="77777777" w:rsidR="004254AD" w:rsidRDefault="004254AD">
      <w:pPr>
        <w:rPr>
          <w:rFonts w:ascii="Georgia" w:eastAsia="Georgia" w:hAnsi="Georgia" w:cs="Georgia"/>
          <w:sz w:val="22"/>
          <w:szCs w:val="22"/>
        </w:rPr>
      </w:pPr>
    </w:p>
    <w:p w14:paraId="0000004A" w14:textId="77777777" w:rsidR="004254AD" w:rsidRDefault="004254AD">
      <w:pPr>
        <w:rPr>
          <w:rFonts w:ascii="Georgia" w:eastAsia="Georgia" w:hAnsi="Georgia" w:cs="Georgia"/>
          <w:sz w:val="22"/>
          <w:szCs w:val="22"/>
        </w:rPr>
      </w:pPr>
    </w:p>
    <w:p w14:paraId="0000004B" w14:textId="77777777" w:rsidR="004254AD" w:rsidRDefault="004254AD">
      <w:pPr>
        <w:rPr>
          <w:rFonts w:ascii="Georgia" w:eastAsia="Georgia" w:hAnsi="Georgia" w:cs="Georgia"/>
          <w:sz w:val="22"/>
          <w:szCs w:val="22"/>
        </w:rPr>
      </w:pPr>
    </w:p>
    <w:p w14:paraId="0000004C" w14:textId="77777777" w:rsidR="004254AD" w:rsidRDefault="00315F84">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14:paraId="0000004D" w14:textId="77777777" w:rsidR="004254AD" w:rsidRDefault="00315F84">
      <w:pPr>
        <w:spacing w:after="0"/>
        <w:ind w:left="720"/>
        <w:rPr>
          <w:rFonts w:ascii="Georgia" w:eastAsia="Georgia" w:hAnsi="Georgia" w:cs="Georgia"/>
          <w:sz w:val="22"/>
          <w:szCs w:val="22"/>
        </w:rPr>
      </w:pPr>
      <w:r>
        <w:rPr>
          <w:rFonts w:ascii="Georgia" w:eastAsia="Georgia" w:hAnsi="Georgia" w:cs="Georgia"/>
          <w:sz w:val="22"/>
          <w:szCs w:val="22"/>
        </w:rPr>
        <w:t>Ing. Jiří Šilha, předseda představenstva</w:t>
      </w:r>
      <w:r>
        <w:rPr>
          <w:rFonts w:ascii="Georgia" w:eastAsia="Georgia" w:hAnsi="Georgia" w:cs="Georgia"/>
          <w:sz w:val="22"/>
          <w:szCs w:val="22"/>
        </w:rPr>
        <w:tab/>
        <w:t>Ing. Tomáš Dosbaba, ředitel</w:t>
      </w:r>
      <w:r>
        <w:rPr>
          <w:rFonts w:ascii="Georgia" w:eastAsia="Georgia" w:hAnsi="Georgia" w:cs="Georgia"/>
          <w:sz w:val="22"/>
          <w:szCs w:val="22"/>
        </w:rPr>
        <w:tab/>
      </w:r>
      <w:r>
        <w:rPr>
          <w:rFonts w:ascii="Georgia" w:eastAsia="Georgia" w:hAnsi="Georgia" w:cs="Georgia"/>
          <w:sz w:val="22"/>
          <w:szCs w:val="22"/>
        </w:rPr>
        <w:tab/>
      </w:r>
    </w:p>
    <w:p w14:paraId="0000004E" w14:textId="77777777" w:rsidR="004254AD" w:rsidRDefault="00315F84">
      <w:pPr>
        <w:spacing w:after="0"/>
        <w:ind w:left="720"/>
        <w:rPr>
          <w:rFonts w:ascii="Georgia" w:eastAsia="Georgia" w:hAnsi="Georgia" w:cs="Georgia"/>
          <w:i/>
          <w:sz w:val="22"/>
          <w:szCs w:val="22"/>
        </w:rPr>
      </w:pPr>
      <w:r>
        <w:rPr>
          <w:rFonts w:ascii="Georgia" w:eastAsia="Georgia" w:hAnsi="Georgia" w:cs="Georgia"/>
          <w:i/>
          <w:sz w:val="22"/>
          <w:szCs w:val="22"/>
        </w:rPr>
        <w:t>(</w:t>
      </w:r>
      <w:proofErr w:type="gramStart"/>
      <w:r>
        <w:rPr>
          <w:rFonts w:ascii="Georgia" w:eastAsia="Georgia" w:hAnsi="Georgia" w:cs="Georgia"/>
          <w:i/>
          <w:sz w:val="22"/>
          <w:szCs w:val="22"/>
        </w:rPr>
        <w:t>Poskytovatel)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sectPr w:rsidR="004254AD">
      <w:headerReference w:type="default" r:id="rId7"/>
      <w:footerReference w:type="default" r:id="rId8"/>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A1E16" w14:textId="77777777" w:rsidR="005617EA" w:rsidRDefault="005617EA">
      <w:pPr>
        <w:spacing w:after="0" w:line="240" w:lineRule="auto"/>
      </w:pPr>
      <w:r>
        <w:separator/>
      </w:r>
    </w:p>
  </w:endnote>
  <w:endnote w:type="continuationSeparator" w:id="0">
    <w:p w14:paraId="359BFA21" w14:textId="77777777" w:rsidR="005617EA" w:rsidRDefault="0056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0" w14:textId="77777777" w:rsidR="004254AD" w:rsidRDefault="00315F8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B5F87">
      <w:rPr>
        <w:noProof/>
        <w:color w:val="000000"/>
      </w:rPr>
      <w:t>2</w:t>
    </w:r>
    <w:r>
      <w:rPr>
        <w:color w:val="000000"/>
      </w:rPr>
      <w:fldChar w:fldCharType="end"/>
    </w:r>
  </w:p>
  <w:p w14:paraId="00000051" w14:textId="77777777" w:rsidR="004254AD" w:rsidRDefault="004254A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B0E36" w14:textId="77777777" w:rsidR="005617EA" w:rsidRDefault="005617EA">
      <w:pPr>
        <w:spacing w:after="0" w:line="240" w:lineRule="auto"/>
      </w:pPr>
      <w:r>
        <w:separator/>
      </w:r>
    </w:p>
  </w:footnote>
  <w:footnote w:type="continuationSeparator" w:id="0">
    <w:p w14:paraId="1DA8D36C" w14:textId="77777777" w:rsidR="005617EA" w:rsidRDefault="00561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F" w14:textId="3A900592" w:rsidR="004254AD" w:rsidRDefault="00064853" w:rsidP="00064853">
    <w:pPr>
      <w:pBdr>
        <w:top w:val="nil"/>
        <w:left w:val="nil"/>
        <w:bottom w:val="nil"/>
        <w:right w:val="nil"/>
        <w:between w:val="nil"/>
      </w:pBdr>
      <w:tabs>
        <w:tab w:val="center" w:pos="4536"/>
        <w:tab w:val="right" w:pos="9072"/>
      </w:tabs>
      <w:spacing w:after="0" w:line="240" w:lineRule="auto"/>
      <w:rPr>
        <w:color w:val="000000"/>
        <w:sz w:val="16"/>
        <w:szCs w:val="16"/>
      </w:rPr>
    </w:pPr>
    <w:r>
      <w:rPr>
        <w:color w:val="000000"/>
        <w:sz w:val="16"/>
        <w:szCs w:val="16"/>
      </w:rPr>
      <w:tab/>
    </w:r>
    <w:r>
      <w:rPr>
        <w:color w:val="000000"/>
        <w:sz w:val="16"/>
        <w:szCs w:val="16"/>
      </w:rPr>
      <w:tab/>
    </w:r>
    <w:r w:rsidRPr="004B5F87">
      <w:rPr>
        <w:color w:val="000000"/>
        <w:sz w:val="16"/>
        <w:szCs w:val="16"/>
        <w:highlight w:val="black"/>
      </w:rPr>
      <w:t>.                                  .</w:t>
    </w:r>
    <w:r>
      <w:rPr>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5217"/>
    <w:multiLevelType w:val="multilevel"/>
    <w:tmpl w:val="22A8EBBC"/>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rPr>
        <w:sz w:val="18"/>
        <w:szCs w:val="18"/>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AD"/>
    <w:rsid w:val="00064853"/>
    <w:rsid w:val="00315F84"/>
    <w:rsid w:val="00333AF0"/>
    <w:rsid w:val="003A7B80"/>
    <w:rsid w:val="004254AD"/>
    <w:rsid w:val="004B5F87"/>
    <w:rsid w:val="004F1CF4"/>
    <w:rsid w:val="005617EA"/>
    <w:rsid w:val="00C410F2"/>
    <w:rsid w:val="00EA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D199B4-1AB9-4708-BAD8-8093EE94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paragraph" w:styleId="Zhlav">
    <w:name w:val="header"/>
    <w:basedOn w:val="Normln"/>
    <w:link w:val="ZhlavChar"/>
    <w:uiPriority w:val="99"/>
    <w:unhideWhenUsed/>
    <w:rsid w:val="000648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4853"/>
  </w:style>
  <w:style w:type="paragraph" w:styleId="Zpat">
    <w:name w:val="footer"/>
    <w:basedOn w:val="Normln"/>
    <w:link w:val="ZpatChar"/>
    <w:uiPriority w:val="99"/>
    <w:unhideWhenUsed/>
    <w:rsid w:val="00064853"/>
    <w:pPr>
      <w:tabs>
        <w:tab w:val="center" w:pos="4536"/>
        <w:tab w:val="right" w:pos="9072"/>
      </w:tabs>
      <w:spacing w:after="0" w:line="240" w:lineRule="auto"/>
    </w:pPr>
  </w:style>
  <w:style w:type="character" w:customStyle="1" w:styleId="ZpatChar">
    <w:name w:val="Zápatí Char"/>
    <w:basedOn w:val="Standardnpsmoodstavce"/>
    <w:link w:val="Zpat"/>
    <w:uiPriority w:val="99"/>
    <w:rsid w:val="00064853"/>
  </w:style>
  <w:style w:type="character" w:styleId="Hypertextovodkaz">
    <w:name w:val="Hyperlink"/>
    <w:basedOn w:val="Standardnpsmoodstavce"/>
    <w:uiPriority w:val="99"/>
    <w:unhideWhenUsed/>
    <w:rsid w:val="00064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510</Words>
  <Characters>3012</Characters>
  <Application>Microsoft Office Word</Application>
  <DocSecurity>0</DocSecurity>
  <Lines>25</Lines>
  <Paragraphs>7</Paragraphs>
  <ScaleCrop>false</ScaleCrop>
  <Company>ATC</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DT</cp:lastModifiedBy>
  <cp:revision>7</cp:revision>
  <dcterms:created xsi:type="dcterms:W3CDTF">2021-02-17T14:47:00Z</dcterms:created>
  <dcterms:modified xsi:type="dcterms:W3CDTF">2021-03-10T13:24:00Z</dcterms:modified>
</cp:coreProperties>
</file>