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57D8C" w14:textId="77777777" w:rsidR="007F76E7" w:rsidRDefault="007F76E7" w:rsidP="00AC5083">
      <w:pPr>
        <w:pStyle w:val="Nadpis1"/>
        <w:ind w:left="-180" w:right="-108"/>
        <w:jc w:val="center"/>
        <w:rPr>
          <w:rFonts w:ascii="Times New Roman" w:hAnsi="Times New Roman" w:cs="Times New Roman"/>
          <w:sz w:val="28"/>
          <w:szCs w:val="28"/>
        </w:rPr>
      </w:pPr>
      <w:bookmarkStart w:id="0" w:name="OLE_LINK3"/>
      <w:r>
        <w:rPr>
          <w:rFonts w:ascii="Times New Roman" w:hAnsi="Times New Roman" w:cs="Times New Roman"/>
          <w:sz w:val="28"/>
          <w:szCs w:val="28"/>
        </w:rPr>
        <w:t>Smlouva o účasti na řešení projektu</w:t>
      </w:r>
    </w:p>
    <w:p w14:paraId="668E0FB1" w14:textId="77777777" w:rsidR="008A6384" w:rsidRDefault="008A6384" w:rsidP="00AC5083">
      <w:pPr>
        <w:pStyle w:val="Nadpis1"/>
        <w:ind w:left="-180" w:right="-108"/>
        <w:jc w:val="center"/>
        <w:rPr>
          <w:rFonts w:ascii="Times New Roman" w:hAnsi="Times New Roman" w:cs="Times New Roman"/>
          <w:sz w:val="28"/>
          <w:szCs w:val="28"/>
        </w:rPr>
      </w:pPr>
      <w:r w:rsidRPr="00AC5083">
        <w:rPr>
          <w:rFonts w:ascii="Times New Roman" w:hAnsi="Times New Roman" w:cs="Times New Roman"/>
          <w:sz w:val="28"/>
          <w:szCs w:val="28"/>
        </w:rPr>
        <w:t>„</w:t>
      </w:r>
      <w:r w:rsidR="007E3A87" w:rsidRPr="007E3A87">
        <w:rPr>
          <w:rFonts w:ascii="Cambria" w:hAnsi="Cambria" w:cs="Cambria"/>
          <w:sz w:val="28"/>
          <w:szCs w:val="28"/>
        </w:rPr>
        <w:t>Interaktivní mapa seismického ohrožení ČR</w:t>
      </w:r>
      <w:r w:rsidRPr="00AC5083">
        <w:rPr>
          <w:rFonts w:ascii="Times New Roman" w:hAnsi="Times New Roman" w:cs="Times New Roman"/>
          <w:sz w:val="28"/>
          <w:szCs w:val="28"/>
        </w:rPr>
        <w:t>“</w:t>
      </w:r>
      <w:r w:rsidR="000B3013">
        <w:rPr>
          <w:rFonts w:ascii="Times New Roman" w:hAnsi="Times New Roman" w:cs="Times New Roman"/>
          <w:sz w:val="28"/>
          <w:szCs w:val="28"/>
        </w:rPr>
        <w:t xml:space="preserve"> </w:t>
      </w:r>
    </w:p>
    <w:p w14:paraId="72FCDD1A" w14:textId="77777777" w:rsidR="00E12C0E" w:rsidRPr="0027513F" w:rsidRDefault="00E12C0E" w:rsidP="00AC5083">
      <w:pPr>
        <w:pStyle w:val="Nadpis1"/>
        <w:ind w:left="-180" w:right="-108"/>
        <w:jc w:val="center"/>
        <w:rPr>
          <w:rFonts w:ascii="Times New Roman" w:hAnsi="Times New Roman" w:cs="Times New Roman"/>
          <w:b w:val="0"/>
          <w:sz w:val="24"/>
          <w:szCs w:val="24"/>
        </w:rPr>
      </w:pPr>
      <w:r w:rsidRPr="0027513F">
        <w:rPr>
          <w:rFonts w:ascii="Times New Roman" w:hAnsi="Times New Roman" w:cs="Times New Roman"/>
          <w:b w:val="0"/>
          <w:sz w:val="24"/>
          <w:szCs w:val="24"/>
        </w:rPr>
        <w:t>(dále jen „</w:t>
      </w:r>
      <w:r w:rsidRPr="0027513F">
        <w:rPr>
          <w:rFonts w:ascii="Times New Roman" w:hAnsi="Times New Roman" w:cs="Times New Roman"/>
          <w:i/>
          <w:sz w:val="24"/>
          <w:szCs w:val="24"/>
        </w:rPr>
        <w:t>Smlouva</w:t>
      </w:r>
      <w:r w:rsidRPr="0027513F">
        <w:rPr>
          <w:rFonts w:ascii="Times New Roman" w:hAnsi="Times New Roman" w:cs="Times New Roman"/>
          <w:b w:val="0"/>
          <w:sz w:val="24"/>
          <w:szCs w:val="24"/>
        </w:rPr>
        <w:t>“)</w:t>
      </w:r>
    </w:p>
    <w:p w14:paraId="69BB2C8C" w14:textId="77777777" w:rsidR="0075765E" w:rsidRPr="00844550" w:rsidRDefault="0075765E" w:rsidP="00C446AD">
      <w:pPr>
        <w:widowControl w:val="0"/>
        <w:autoSpaceDE w:val="0"/>
        <w:autoSpaceDN w:val="0"/>
        <w:adjustRightInd w:val="0"/>
        <w:jc w:val="center"/>
        <w:rPr>
          <w:bCs/>
        </w:rPr>
      </w:pPr>
      <w:r w:rsidRPr="00C446AD">
        <w:t>uzavřená v souladu s ustanovením § 2 odst. 2 písm. j) zákona č. 130/2002 Sb</w:t>
      </w:r>
      <w:r w:rsidRPr="00844550">
        <w:t xml:space="preserve">., </w:t>
      </w:r>
      <w:r w:rsidR="00C446AD" w:rsidRPr="00844550">
        <w:rPr>
          <w:bCs/>
        </w:rPr>
        <w:t xml:space="preserve">o podpoře výzkumu, experimentálního vývoje a inovací </w:t>
      </w:r>
      <w:r w:rsidRPr="00844550">
        <w:t>v platném znění</w:t>
      </w:r>
      <w:r w:rsidR="00351A77">
        <w:t xml:space="preserve"> (dále jen „</w:t>
      </w:r>
      <w:r w:rsidR="00351A77" w:rsidRPr="0027513F">
        <w:rPr>
          <w:b/>
          <w:i/>
        </w:rPr>
        <w:t>ZPVV</w:t>
      </w:r>
      <w:r w:rsidR="00351A77">
        <w:t>“)</w:t>
      </w:r>
    </w:p>
    <w:p w14:paraId="4CA8EBAC" w14:textId="77777777" w:rsidR="008A6384" w:rsidRPr="00246EC3" w:rsidRDefault="00523618" w:rsidP="00523618">
      <w:pPr>
        <w:spacing w:before="360"/>
        <w:jc w:val="center"/>
        <w:rPr>
          <w:b/>
        </w:rPr>
      </w:pPr>
      <w:r w:rsidRPr="00C446AD">
        <w:rPr>
          <w:b/>
        </w:rPr>
        <w:t>Článek I</w:t>
      </w:r>
    </w:p>
    <w:p w14:paraId="07660625" w14:textId="77777777" w:rsidR="008A6384" w:rsidRPr="00246EC3" w:rsidRDefault="008A6384" w:rsidP="00246EC3">
      <w:pPr>
        <w:spacing w:before="120" w:after="120"/>
        <w:jc w:val="center"/>
        <w:rPr>
          <w:b/>
        </w:rPr>
      </w:pPr>
      <w:r w:rsidRPr="00246EC3">
        <w:rPr>
          <w:b/>
        </w:rPr>
        <w:t>Smluvní strany</w:t>
      </w:r>
    </w:p>
    <w:p w14:paraId="7006790E" w14:textId="77777777" w:rsidR="008A6384" w:rsidRPr="00246EC3" w:rsidRDefault="008A6384" w:rsidP="00246EC3">
      <w:pPr>
        <w:spacing w:after="120"/>
        <w:rPr>
          <w:b/>
        </w:rPr>
      </w:pPr>
      <w:r w:rsidRPr="00246EC3">
        <w:rPr>
          <w:b/>
        </w:rPr>
        <w:t xml:space="preserve">1. </w:t>
      </w:r>
      <w:r w:rsidR="00332C27">
        <w:rPr>
          <w:b/>
        </w:rPr>
        <w:t>Hlavní příjemce</w:t>
      </w:r>
      <w:r w:rsidR="00332C27" w:rsidRPr="00246EC3">
        <w:rPr>
          <w:b/>
        </w:rPr>
        <w:t xml:space="preserve"> </w:t>
      </w:r>
      <w:r w:rsidRPr="00246EC3">
        <w:rPr>
          <w:b/>
        </w:rPr>
        <w:t>dotace</w:t>
      </w:r>
    </w:p>
    <w:p w14:paraId="435EF018" w14:textId="77777777" w:rsidR="007E3A87" w:rsidRPr="00246EC3" w:rsidRDefault="007E3A87" w:rsidP="007E3A87">
      <w:pPr>
        <w:tabs>
          <w:tab w:val="left" w:pos="1620"/>
        </w:tabs>
        <w:rPr>
          <w:b/>
        </w:rPr>
      </w:pPr>
      <w:r w:rsidRPr="00246EC3">
        <w:t>Název:</w:t>
      </w:r>
      <w:r w:rsidRPr="00246EC3">
        <w:tab/>
      </w:r>
      <w:r w:rsidRPr="00D067DB">
        <w:rPr>
          <w:b/>
        </w:rPr>
        <w:t xml:space="preserve">Ústav struktury a mechaniky hornin AV ČR, </w:t>
      </w:r>
      <w:proofErr w:type="spellStart"/>
      <w:r w:rsidRPr="00D067DB">
        <w:rPr>
          <w:b/>
        </w:rPr>
        <w:t>v.v.i</w:t>
      </w:r>
      <w:proofErr w:type="spellEnd"/>
      <w:r w:rsidRPr="00D067DB">
        <w:rPr>
          <w:b/>
        </w:rPr>
        <w:t>.</w:t>
      </w:r>
    </w:p>
    <w:p w14:paraId="2C2D92AD" w14:textId="77777777" w:rsidR="007E3A87" w:rsidRPr="00246EC3" w:rsidRDefault="007E3A87" w:rsidP="007E3A87">
      <w:pPr>
        <w:tabs>
          <w:tab w:val="left" w:pos="1620"/>
        </w:tabs>
      </w:pPr>
      <w:r w:rsidRPr="00246EC3">
        <w:t xml:space="preserve">se sídlem: </w:t>
      </w:r>
      <w:r w:rsidRPr="00246EC3">
        <w:tab/>
      </w:r>
      <w:r w:rsidRPr="00D067DB">
        <w:t>V</w:t>
      </w:r>
      <w:r>
        <w:t> </w:t>
      </w:r>
      <w:r w:rsidRPr="00D067DB">
        <w:t>Holešovičkách</w:t>
      </w:r>
      <w:r>
        <w:t xml:space="preserve"> 41</w:t>
      </w:r>
      <w:r w:rsidRPr="00246EC3">
        <w:t>, 1</w:t>
      </w:r>
      <w:r>
        <w:t>82</w:t>
      </w:r>
      <w:r w:rsidRPr="00246EC3">
        <w:t xml:space="preserve"> </w:t>
      </w:r>
      <w:r>
        <w:t>00 Praha 8 - Libeň</w:t>
      </w:r>
    </w:p>
    <w:p w14:paraId="6B60B509" w14:textId="77777777" w:rsidR="007E3A87" w:rsidRPr="00246EC3" w:rsidRDefault="007E3A87" w:rsidP="007E3A87">
      <w:pPr>
        <w:tabs>
          <w:tab w:val="left" w:pos="1620"/>
        </w:tabs>
      </w:pPr>
      <w:r w:rsidRPr="00246EC3">
        <w:t xml:space="preserve">IČ: </w:t>
      </w:r>
      <w:r w:rsidRPr="00246EC3">
        <w:tab/>
      </w:r>
      <w:r w:rsidRPr="00D067DB">
        <w:t>67985891</w:t>
      </w:r>
    </w:p>
    <w:p w14:paraId="780E1154" w14:textId="77777777" w:rsidR="007E3A87" w:rsidRPr="00246EC3" w:rsidRDefault="007E3A87" w:rsidP="007E3A87">
      <w:pPr>
        <w:tabs>
          <w:tab w:val="left" w:pos="1620"/>
        </w:tabs>
      </w:pPr>
      <w:r w:rsidRPr="00246EC3">
        <w:t>DIČ:</w:t>
      </w:r>
      <w:r w:rsidRPr="00246EC3">
        <w:tab/>
        <w:t>CZ</w:t>
      </w:r>
      <w:r w:rsidRPr="00D067DB">
        <w:t xml:space="preserve"> 67985891</w:t>
      </w:r>
    </w:p>
    <w:p w14:paraId="4EBBB57B" w14:textId="77777777" w:rsidR="007E3A87" w:rsidRPr="009F6EBD" w:rsidRDefault="007E3A87" w:rsidP="007E3A87">
      <w:pPr>
        <w:tabs>
          <w:tab w:val="left" w:pos="1620"/>
        </w:tabs>
      </w:pPr>
      <w:r w:rsidRPr="009F6EBD">
        <w:t>Bank. spojení:</w:t>
      </w:r>
      <w:r w:rsidRPr="009F6EBD">
        <w:tab/>
      </w:r>
      <w:r>
        <w:t>Komerční banka a.s., Českomoravská 2408/</w:t>
      </w:r>
      <w:proofErr w:type="gramStart"/>
      <w:r>
        <w:t>1a</w:t>
      </w:r>
      <w:proofErr w:type="gramEnd"/>
      <w:r>
        <w:t>, 190 00 Praha 9</w:t>
      </w:r>
    </w:p>
    <w:p w14:paraId="122E142A" w14:textId="77777777" w:rsidR="007E3A87" w:rsidRPr="00246EC3" w:rsidRDefault="007E3A87" w:rsidP="007E3A87">
      <w:pPr>
        <w:tabs>
          <w:tab w:val="left" w:pos="1620"/>
        </w:tabs>
      </w:pPr>
      <w:r w:rsidRPr="009F6EBD">
        <w:t>Č. účtu:</w:t>
      </w:r>
      <w:r w:rsidRPr="009F6EBD">
        <w:tab/>
        <w:t>35-3606170227/0100</w:t>
      </w:r>
    </w:p>
    <w:p w14:paraId="0CC858FE" w14:textId="77777777" w:rsidR="007E3A87" w:rsidRPr="00246EC3" w:rsidRDefault="007E3A87" w:rsidP="007E3A87">
      <w:pPr>
        <w:tabs>
          <w:tab w:val="left" w:pos="1620"/>
        </w:tabs>
        <w:spacing w:after="120"/>
      </w:pPr>
      <w:r w:rsidRPr="00246EC3">
        <w:t>Zastoupena:</w:t>
      </w:r>
      <w:r w:rsidRPr="00246EC3">
        <w:tab/>
      </w:r>
      <w:r w:rsidRPr="00D067DB">
        <w:t>Statutární zástupce - RNDr. Josef Stemberk, CSc. - ředitel</w:t>
      </w:r>
    </w:p>
    <w:p w14:paraId="7D0AB18E" w14:textId="77777777" w:rsidR="008A6384" w:rsidRPr="00B11A1E" w:rsidRDefault="007E3A87" w:rsidP="007E3A87">
      <w:r w:rsidRPr="00B11A1E">
        <w:t xml:space="preserve"> </w:t>
      </w:r>
      <w:r w:rsidR="008A6384" w:rsidRPr="00B11A1E">
        <w:t>(dále jen „</w:t>
      </w:r>
      <w:r w:rsidR="00647709" w:rsidRPr="0027513F">
        <w:rPr>
          <w:b/>
          <w:i/>
        </w:rPr>
        <w:t>Hlavní p</w:t>
      </w:r>
      <w:r w:rsidR="008A6384" w:rsidRPr="0027513F">
        <w:rPr>
          <w:b/>
          <w:i/>
        </w:rPr>
        <w:t>říjemce</w:t>
      </w:r>
      <w:r w:rsidR="008A6384" w:rsidRPr="00B11A1E">
        <w:t>“)</w:t>
      </w:r>
    </w:p>
    <w:p w14:paraId="1E4A9803" w14:textId="77777777" w:rsidR="008A6384" w:rsidRPr="00246EC3" w:rsidRDefault="008A6384" w:rsidP="0027513F">
      <w:pPr>
        <w:spacing w:before="240" w:after="240"/>
        <w:rPr>
          <w:b/>
        </w:rPr>
      </w:pPr>
      <w:r w:rsidRPr="00246EC3">
        <w:rPr>
          <w:b/>
        </w:rPr>
        <w:t>a</w:t>
      </w:r>
    </w:p>
    <w:p w14:paraId="2EB675A5" w14:textId="77777777" w:rsidR="008A6384" w:rsidRPr="00246EC3" w:rsidRDefault="008A6384" w:rsidP="00246EC3">
      <w:pPr>
        <w:spacing w:after="120"/>
        <w:rPr>
          <w:b/>
        </w:rPr>
      </w:pPr>
      <w:r w:rsidRPr="00246EC3">
        <w:rPr>
          <w:b/>
        </w:rPr>
        <w:t>2. Další účastník</w:t>
      </w:r>
      <w:r w:rsidR="005A1D2A">
        <w:rPr>
          <w:b/>
        </w:rPr>
        <w:t xml:space="preserve"> </w:t>
      </w:r>
      <w:r w:rsidRPr="00246EC3">
        <w:rPr>
          <w:b/>
        </w:rPr>
        <w:t>projektu</w:t>
      </w:r>
    </w:p>
    <w:p w14:paraId="28CC0A84" w14:textId="5BFE586B" w:rsidR="003E2323" w:rsidRPr="003E2323" w:rsidRDefault="003E2323" w:rsidP="003E2323">
      <w:pPr>
        <w:tabs>
          <w:tab w:val="left" w:pos="1620"/>
        </w:tabs>
        <w:spacing w:before="120"/>
        <w:contextualSpacing/>
        <w:rPr>
          <w:b/>
        </w:rPr>
      </w:pPr>
      <w:r w:rsidRPr="003E2323">
        <w:t>Název:</w:t>
      </w:r>
      <w:r w:rsidRPr="003E2323">
        <w:tab/>
      </w:r>
      <w:r w:rsidR="007E3A87" w:rsidRPr="007E3A87">
        <w:rPr>
          <w:b/>
        </w:rPr>
        <w:t xml:space="preserve">RNDr. Ivan Prachař, CSc., </w:t>
      </w:r>
    </w:p>
    <w:p w14:paraId="36BC400C" w14:textId="4E46E75F" w:rsidR="003E2323" w:rsidRPr="003E2323" w:rsidRDefault="003E2323" w:rsidP="003E2323">
      <w:pPr>
        <w:tabs>
          <w:tab w:val="left" w:pos="1620"/>
        </w:tabs>
        <w:spacing w:before="120"/>
        <w:contextualSpacing/>
      </w:pPr>
      <w:r w:rsidRPr="003E2323">
        <w:t xml:space="preserve">se sídlem: </w:t>
      </w:r>
      <w:r w:rsidRPr="003E2323">
        <w:tab/>
      </w:r>
      <w:r w:rsidR="00F0208D">
        <w:t>Náchodská 955/38, 193 00 Praha 20</w:t>
      </w:r>
    </w:p>
    <w:p w14:paraId="6EF1DAE2" w14:textId="02D11328" w:rsidR="003E2323" w:rsidRPr="003E2323" w:rsidRDefault="003E2323" w:rsidP="003E2323">
      <w:pPr>
        <w:tabs>
          <w:tab w:val="left" w:pos="1620"/>
        </w:tabs>
        <w:spacing w:before="120"/>
        <w:contextualSpacing/>
      </w:pPr>
      <w:r w:rsidRPr="003E2323">
        <w:t xml:space="preserve">IČ: </w:t>
      </w:r>
      <w:r w:rsidRPr="003E2323">
        <w:tab/>
      </w:r>
      <w:r w:rsidR="00F0208D" w:rsidRPr="00F0208D">
        <w:t>45740135</w:t>
      </w:r>
    </w:p>
    <w:p w14:paraId="4F66F7BA" w14:textId="6868DEED" w:rsidR="003E2323" w:rsidRPr="003E2323" w:rsidRDefault="003E2323" w:rsidP="003E2323">
      <w:pPr>
        <w:tabs>
          <w:tab w:val="left" w:pos="1620"/>
        </w:tabs>
        <w:spacing w:before="120"/>
        <w:contextualSpacing/>
      </w:pPr>
      <w:r w:rsidRPr="003E2323">
        <w:t>DIČ:</w:t>
      </w:r>
      <w:r w:rsidRPr="003E2323">
        <w:tab/>
      </w:r>
      <w:r w:rsidR="00F0208D" w:rsidRPr="00F0208D">
        <w:t>CZ5703070120</w:t>
      </w:r>
    </w:p>
    <w:p w14:paraId="3C3A7C81" w14:textId="4061B6CD" w:rsidR="003E2323" w:rsidRPr="003E2323" w:rsidRDefault="003E2323" w:rsidP="003E2323">
      <w:pPr>
        <w:tabs>
          <w:tab w:val="left" w:pos="1620"/>
        </w:tabs>
        <w:spacing w:before="120"/>
        <w:contextualSpacing/>
      </w:pPr>
      <w:r w:rsidRPr="003E2323">
        <w:t>Bank. spojení:</w:t>
      </w:r>
      <w:r w:rsidRPr="003E2323">
        <w:tab/>
      </w:r>
      <w:r w:rsidR="00F0208D">
        <w:t>Komerční banka</w:t>
      </w:r>
    </w:p>
    <w:p w14:paraId="2AC723DA" w14:textId="65E772C9" w:rsidR="003E2323" w:rsidRPr="003E2323" w:rsidRDefault="003E2323" w:rsidP="003E2323">
      <w:pPr>
        <w:tabs>
          <w:tab w:val="left" w:pos="1620"/>
        </w:tabs>
        <w:spacing w:before="120"/>
        <w:contextualSpacing/>
      </w:pPr>
      <w:r w:rsidRPr="003E2323">
        <w:t>Č. účtu:</w:t>
      </w:r>
      <w:r w:rsidRPr="003E2323">
        <w:tab/>
      </w:r>
      <w:r w:rsidR="00F0208D" w:rsidRPr="00F0208D">
        <w:t>107-5983940257/0100</w:t>
      </w:r>
    </w:p>
    <w:p w14:paraId="34B72482" w14:textId="20AEF4D9" w:rsidR="003E2323" w:rsidRPr="00F0208D" w:rsidRDefault="003E2323" w:rsidP="003E2323">
      <w:pPr>
        <w:tabs>
          <w:tab w:val="left" w:pos="1620"/>
        </w:tabs>
        <w:spacing w:before="120"/>
        <w:contextualSpacing/>
      </w:pPr>
      <w:r w:rsidRPr="00F0208D">
        <w:t>Zastoupen:</w:t>
      </w:r>
      <w:r w:rsidRPr="00F0208D">
        <w:tab/>
      </w:r>
      <w:r w:rsidR="00F0208D" w:rsidRPr="00F0208D">
        <w:t>RNDr. Ivan Prachař, CSc.,</w:t>
      </w:r>
    </w:p>
    <w:p w14:paraId="71005F8C" w14:textId="35F872AA" w:rsidR="003E2323" w:rsidRPr="00246EC3" w:rsidRDefault="003E2323" w:rsidP="003E2323">
      <w:pPr>
        <w:tabs>
          <w:tab w:val="left" w:pos="1620"/>
        </w:tabs>
        <w:spacing w:before="120"/>
        <w:contextualSpacing/>
      </w:pPr>
      <w:r w:rsidRPr="003E2323">
        <w:t xml:space="preserve">Zapsán </w:t>
      </w:r>
      <w:r w:rsidR="00F0208D">
        <w:t>v</w:t>
      </w:r>
      <w:r w:rsidRPr="003E2323">
        <w:t>:</w:t>
      </w:r>
      <w:r w:rsidRPr="003E2323">
        <w:tab/>
      </w:r>
      <w:r w:rsidR="00F0208D" w:rsidRPr="00F0208D">
        <w:t>živnostenském rejstříku vedeném</w:t>
      </w:r>
      <w:r w:rsidR="00F0208D">
        <w:t xml:space="preserve"> </w:t>
      </w:r>
      <w:r w:rsidR="00F0208D" w:rsidRPr="00F0208D">
        <w:t>na Úřadu městské části Praha 20</w:t>
      </w:r>
    </w:p>
    <w:p w14:paraId="365E7346" w14:textId="77777777" w:rsidR="008A6384" w:rsidRDefault="003E2323" w:rsidP="003E2323">
      <w:pPr>
        <w:spacing w:before="120"/>
      </w:pPr>
      <w:r w:rsidRPr="00B11A1E">
        <w:t xml:space="preserve"> </w:t>
      </w:r>
      <w:r w:rsidR="008A6384" w:rsidRPr="00B11A1E">
        <w:t>(dále jen „</w:t>
      </w:r>
      <w:r w:rsidR="00343850" w:rsidRPr="0027513F">
        <w:rPr>
          <w:b/>
          <w:i/>
        </w:rPr>
        <w:t>Další účastník projektu</w:t>
      </w:r>
      <w:r w:rsidR="008A6384" w:rsidRPr="00B11A1E">
        <w:t>“)</w:t>
      </w:r>
    </w:p>
    <w:bookmarkEnd w:id="0"/>
    <w:p w14:paraId="6079102E" w14:textId="77777777" w:rsidR="002E046A" w:rsidRDefault="002E046A" w:rsidP="002E046A"/>
    <w:p w14:paraId="1F6EA70E" w14:textId="77777777" w:rsidR="00BC391C" w:rsidRPr="00246EC3" w:rsidRDefault="00BC391C" w:rsidP="00C211B0">
      <w:pPr>
        <w:spacing w:before="360" w:after="120"/>
        <w:jc w:val="center"/>
        <w:rPr>
          <w:b/>
        </w:rPr>
      </w:pPr>
      <w:r w:rsidRPr="00246EC3">
        <w:rPr>
          <w:b/>
        </w:rPr>
        <w:t>Preambule</w:t>
      </w:r>
    </w:p>
    <w:p w14:paraId="730B7E9A" w14:textId="77777777" w:rsidR="00104248" w:rsidRDefault="007E3A87" w:rsidP="003F41E0">
      <w:pPr>
        <w:pStyle w:val="FormtovanvHTML"/>
        <w:ind w:left="-85"/>
        <w:jc w:val="both"/>
        <w:rPr>
          <w:rFonts w:ascii="Times New Roman" w:hAnsi="Times New Roman" w:cs="Times New Roman"/>
          <w:sz w:val="24"/>
          <w:szCs w:val="24"/>
        </w:rPr>
      </w:pPr>
      <w:r>
        <w:rPr>
          <w:rFonts w:ascii="Times New Roman" w:hAnsi="Times New Roman" w:cs="Times New Roman"/>
          <w:sz w:val="24"/>
          <w:szCs w:val="24"/>
        </w:rPr>
        <w:t>P</w:t>
      </w:r>
      <w:r w:rsidR="00104248" w:rsidRPr="00241F33">
        <w:rPr>
          <w:rFonts w:ascii="Times New Roman" w:hAnsi="Times New Roman" w:cs="Times New Roman"/>
          <w:sz w:val="24"/>
          <w:szCs w:val="24"/>
        </w:rPr>
        <w:t xml:space="preserve">rojekt č. </w:t>
      </w:r>
      <w:r w:rsidRPr="002D39F2">
        <w:rPr>
          <w:rFonts w:ascii="Times New Roman" w:hAnsi="Times New Roman" w:cs="Times New Roman"/>
          <w:b/>
          <w:bCs/>
          <w:sz w:val="24"/>
          <w:szCs w:val="24"/>
        </w:rPr>
        <w:t>TK03010160</w:t>
      </w:r>
      <w:r w:rsidR="00104248" w:rsidRPr="002D39F2">
        <w:rPr>
          <w:rFonts w:ascii="Times New Roman" w:hAnsi="Times New Roman" w:cs="Times New Roman"/>
          <w:sz w:val="24"/>
          <w:szCs w:val="24"/>
        </w:rPr>
        <w:t xml:space="preserve"> s názvem </w:t>
      </w:r>
      <w:r w:rsidRPr="002D39F2">
        <w:rPr>
          <w:rFonts w:ascii="Times New Roman" w:hAnsi="Times New Roman" w:cs="Times New Roman"/>
          <w:b/>
          <w:sz w:val="24"/>
          <w:szCs w:val="24"/>
        </w:rPr>
        <w:t>Interaktivní mapa seismického ohrožení ČR</w:t>
      </w:r>
      <w:r w:rsidR="00104248" w:rsidRPr="00241F33">
        <w:rPr>
          <w:rFonts w:ascii="Times New Roman" w:hAnsi="Times New Roman" w:cs="Times New Roman"/>
          <w:sz w:val="24"/>
          <w:szCs w:val="24"/>
        </w:rPr>
        <w:t xml:space="preserve"> </w:t>
      </w:r>
      <w:r>
        <w:rPr>
          <w:rFonts w:ascii="Times New Roman" w:hAnsi="Times New Roman" w:cs="Times New Roman"/>
          <w:sz w:val="24"/>
          <w:szCs w:val="24"/>
        </w:rPr>
        <w:t>je projektem TAČR Théta a byl</w:t>
      </w:r>
      <w:r w:rsidR="00104248" w:rsidRPr="00241F33">
        <w:rPr>
          <w:rFonts w:ascii="Times New Roman" w:hAnsi="Times New Roman" w:cs="Times New Roman"/>
          <w:sz w:val="24"/>
          <w:szCs w:val="24"/>
        </w:rPr>
        <w:t xml:space="preserve"> poskytovatelem přijat</w:t>
      </w:r>
      <w:r w:rsidR="00104248">
        <w:rPr>
          <w:rFonts w:ascii="Times New Roman" w:hAnsi="Times New Roman" w:cs="Times New Roman"/>
          <w:sz w:val="24"/>
          <w:szCs w:val="24"/>
        </w:rPr>
        <w:t xml:space="preserve"> k</w:t>
      </w:r>
      <w:r>
        <w:rPr>
          <w:rFonts w:ascii="Times New Roman" w:hAnsi="Times New Roman" w:cs="Times New Roman"/>
          <w:sz w:val="24"/>
          <w:szCs w:val="24"/>
        </w:rPr>
        <w:t> </w:t>
      </w:r>
      <w:r w:rsidR="00104248">
        <w:rPr>
          <w:rFonts w:ascii="Times New Roman" w:hAnsi="Times New Roman" w:cs="Times New Roman"/>
          <w:sz w:val="24"/>
          <w:szCs w:val="24"/>
        </w:rPr>
        <w:t>podpoře</w:t>
      </w:r>
      <w:r>
        <w:rPr>
          <w:rFonts w:ascii="Times New Roman" w:hAnsi="Times New Roman" w:cs="Times New Roman"/>
          <w:sz w:val="24"/>
          <w:szCs w:val="24"/>
        </w:rPr>
        <w:t xml:space="preserve"> v roce 2020</w:t>
      </w:r>
      <w:r w:rsidR="00104248">
        <w:rPr>
          <w:rFonts w:ascii="Times New Roman" w:hAnsi="Times New Roman" w:cs="Times New Roman"/>
          <w:sz w:val="24"/>
          <w:szCs w:val="24"/>
        </w:rPr>
        <w:t xml:space="preserve">. </w:t>
      </w:r>
      <w:r w:rsidR="00104248" w:rsidRPr="00241F33">
        <w:rPr>
          <w:rFonts w:ascii="Times New Roman" w:hAnsi="Times New Roman" w:cs="Times New Roman"/>
          <w:sz w:val="24"/>
          <w:szCs w:val="24"/>
        </w:rPr>
        <w:t xml:space="preserve">V souladu s § 9 ZPVV </w:t>
      </w:r>
      <w:r w:rsidR="00104248">
        <w:rPr>
          <w:rFonts w:ascii="Times New Roman" w:hAnsi="Times New Roman" w:cs="Times New Roman"/>
          <w:sz w:val="24"/>
          <w:szCs w:val="24"/>
        </w:rPr>
        <w:t xml:space="preserve">uzavřel Hlavní příjemce s poskytovatelem smlouvu o poskytnutí podpory. Hlavní příjemce a </w:t>
      </w:r>
      <w:r w:rsidR="00104248" w:rsidRPr="004323C7">
        <w:rPr>
          <w:rFonts w:ascii="Times New Roman" w:hAnsi="Times New Roman" w:cs="Times New Roman"/>
          <w:sz w:val="24"/>
          <w:szCs w:val="24"/>
        </w:rPr>
        <w:t>Další účast</w:t>
      </w:r>
      <w:r w:rsidR="002D39F2">
        <w:rPr>
          <w:rFonts w:ascii="Times New Roman" w:hAnsi="Times New Roman" w:cs="Times New Roman"/>
          <w:sz w:val="24"/>
          <w:szCs w:val="24"/>
        </w:rPr>
        <w:t>ník</w:t>
      </w:r>
      <w:r w:rsidR="00104248" w:rsidRPr="004323C7">
        <w:rPr>
          <w:rFonts w:ascii="Times New Roman" w:hAnsi="Times New Roman" w:cs="Times New Roman"/>
          <w:sz w:val="24"/>
          <w:szCs w:val="24"/>
        </w:rPr>
        <w:t xml:space="preserve"> projektu</w:t>
      </w:r>
      <w:r w:rsidR="00104248">
        <w:rPr>
          <w:rFonts w:ascii="Times New Roman" w:hAnsi="Times New Roman" w:cs="Times New Roman"/>
          <w:sz w:val="24"/>
          <w:szCs w:val="24"/>
        </w:rPr>
        <w:t xml:space="preserve"> uzavírají tuto Smlouvu za účelem spolupráce na projektu </w:t>
      </w:r>
      <w:r w:rsidR="00104248" w:rsidRPr="004323C7">
        <w:rPr>
          <w:rFonts w:ascii="Times New Roman" w:hAnsi="Times New Roman" w:cs="Times New Roman"/>
          <w:sz w:val="24"/>
          <w:szCs w:val="24"/>
        </w:rPr>
        <w:t xml:space="preserve">definovaném dle Smlouvy a dále se zavazují ke spolupráci na využití výsledků výzkumu a vývoje z tohoto </w:t>
      </w:r>
      <w:r w:rsidR="00E51F73">
        <w:rPr>
          <w:rFonts w:ascii="Times New Roman" w:hAnsi="Times New Roman" w:cs="Times New Roman"/>
          <w:sz w:val="24"/>
          <w:szCs w:val="24"/>
        </w:rPr>
        <w:t>p</w:t>
      </w:r>
      <w:r w:rsidR="00104248" w:rsidRPr="004323C7">
        <w:rPr>
          <w:rFonts w:ascii="Times New Roman" w:hAnsi="Times New Roman" w:cs="Times New Roman"/>
          <w:sz w:val="24"/>
          <w:szCs w:val="24"/>
        </w:rPr>
        <w:t>rojektu</w:t>
      </w:r>
      <w:r w:rsidR="002D39F2">
        <w:rPr>
          <w:rFonts w:ascii="Times New Roman" w:hAnsi="Times New Roman" w:cs="Times New Roman"/>
          <w:sz w:val="24"/>
          <w:szCs w:val="24"/>
        </w:rPr>
        <w:t>.</w:t>
      </w:r>
    </w:p>
    <w:p w14:paraId="1B04D4D5" w14:textId="77777777" w:rsidR="00D54A4F" w:rsidRPr="00246EC3" w:rsidRDefault="00D54A4F" w:rsidP="00AD71E5">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lastRenderedPageBreak/>
        <w:t xml:space="preserve">Článek </w:t>
      </w:r>
      <w:r w:rsidR="005E14D6" w:rsidRPr="00246EC3">
        <w:rPr>
          <w:rFonts w:ascii="Times New Roman" w:hAnsi="Times New Roman" w:cs="Times New Roman"/>
          <w:b/>
          <w:color w:val="auto"/>
          <w:sz w:val="24"/>
          <w:szCs w:val="24"/>
        </w:rPr>
        <w:t>I</w:t>
      </w:r>
      <w:r w:rsidR="00465A18">
        <w:rPr>
          <w:rFonts w:ascii="Times New Roman" w:hAnsi="Times New Roman" w:cs="Times New Roman"/>
          <w:b/>
          <w:color w:val="auto"/>
          <w:sz w:val="24"/>
          <w:szCs w:val="24"/>
        </w:rPr>
        <w:t>I</w:t>
      </w:r>
    </w:p>
    <w:p w14:paraId="23659EA9" w14:textId="77777777" w:rsidR="00D54A4F" w:rsidRPr="00246EC3" w:rsidRDefault="00D54A4F" w:rsidP="00AD71E5">
      <w:pPr>
        <w:pStyle w:val="FormtovanvHTML"/>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Předmět</w:t>
      </w:r>
      <w:r w:rsidR="00E74938" w:rsidRPr="00246EC3">
        <w:rPr>
          <w:rFonts w:ascii="Times New Roman" w:hAnsi="Times New Roman" w:cs="Times New Roman"/>
          <w:b/>
          <w:color w:val="auto"/>
          <w:sz w:val="24"/>
          <w:szCs w:val="24"/>
        </w:rPr>
        <w:t xml:space="preserve"> </w:t>
      </w:r>
      <w:r w:rsidR="00BC04B8">
        <w:rPr>
          <w:rFonts w:ascii="Times New Roman" w:hAnsi="Times New Roman" w:cs="Times New Roman"/>
          <w:b/>
          <w:color w:val="auto"/>
          <w:sz w:val="24"/>
          <w:szCs w:val="24"/>
        </w:rPr>
        <w:t>S</w:t>
      </w:r>
      <w:r w:rsidR="00E74938" w:rsidRPr="00246EC3">
        <w:rPr>
          <w:rFonts w:ascii="Times New Roman" w:hAnsi="Times New Roman" w:cs="Times New Roman"/>
          <w:b/>
          <w:color w:val="auto"/>
          <w:sz w:val="24"/>
          <w:szCs w:val="24"/>
        </w:rPr>
        <w:t>mlouvy</w:t>
      </w:r>
    </w:p>
    <w:p w14:paraId="0C84847A" w14:textId="77777777" w:rsidR="00D54801" w:rsidRDefault="00D54801" w:rsidP="0027513F">
      <w:pPr>
        <w:numPr>
          <w:ilvl w:val="0"/>
          <w:numId w:val="4"/>
        </w:numPr>
        <w:spacing w:before="120"/>
        <w:ind w:left="539" w:hanging="539"/>
        <w:jc w:val="both"/>
      </w:pPr>
      <w:r>
        <w:t>Předmětem Smlouvy je vymezení vzájemných práv a povinností Smluvních stran, tedy Hlavního příjemce na straně jedné a Další</w:t>
      </w:r>
      <w:r w:rsidR="002D39F2">
        <w:t>ho</w:t>
      </w:r>
      <w:r>
        <w:t xml:space="preserve"> účastník</w:t>
      </w:r>
      <w:r w:rsidR="002D39F2">
        <w:t>a</w:t>
      </w:r>
      <w:r>
        <w:t xml:space="preserve"> projektu na straně druhé, při jejich vzájemné spolupráci na řešení projektu výzkumu, vývoje a inovací </w:t>
      </w:r>
      <w:r w:rsidR="00156B41">
        <w:br/>
      </w:r>
      <w:r w:rsidR="002D39F2" w:rsidRPr="00241F33">
        <w:t xml:space="preserve">č. </w:t>
      </w:r>
      <w:r w:rsidR="002D39F2" w:rsidRPr="002D39F2">
        <w:rPr>
          <w:bCs/>
        </w:rPr>
        <w:t>TK03010160</w:t>
      </w:r>
      <w:r w:rsidR="002D39F2" w:rsidRPr="002D39F2">
        <w:t xml:space="preserve"> s názvem Interaktivní mapa seismického ohrožení ČR </w:t>
      </w:r>
      <w:r w:rsidRPr="002D39F2">
        <w:t>(dále jen „</w:t>
      </w:r>
      <w:r w:rsidRPr="002D39F2">
        <w:rPr>
          <w:i/>
        </w:rPr>
        <w:t>Projekt</w:t>
      </w:r>
      <w:r w:rsidRPr="002D39F2">
        <w:t>“)</w:t>
      </w:r>
      <w:r w:rsidR="00405C0C" w:rsidRPr="002D39F2">
        <w:t>.</w:t>
      </w:r>
      <w:r w:rsidR="00405C0C">
        <w:t xml:space="preserve">  </w:t>
      </w:r>
    </w:p>
    <w:p w14:paraId="52DAEFF2" w14:textId="77777777" w:rsidR="00D54801" w:rsidRDefault="00D54801" w:rsidP="0027513F">
      <w:pPr>
        <w:numPr>
          <w:ilvl w:val="0"/>
          <w:numId w:val="4"/>
        </w:numPr>
        <w:spacing w:before="120"/>
        <w:ind w:left="539" w:hanging="539"/>
        <w:jc w:val="both"/>
      </w:pPr>
      <w:r>
        <w:t>Předmětem Smlouvy je dále vymezení podmínek, za kterých bude Hlavním příjemcem poskytnuta část účelových finančních prostředků Dalším účastník</w:t>
      </w:r>
      <w:r w:rsidR="00C14388">
        <w:t>ům</w:t>
      </w:r>
      <w:r>
        <w:t xml:space="preserve"> projektu.</w:t>
      </w:r>
    </w:p>
    <w:p w14:paraId="3433F686" w14:textId="77777777" w:rsidR="00D54801" w:rsidRDefault="00D54801" w:rsidP="0027513F">
      <w:pPr>
        <w:numPr>
          <w:ilvl w:val="0"/>
          <w:numId w:val="4"/>
        </w:numPr>
        <w:spacing w:before="120"/>
        <w:ind w:left="539" w:hanging="539"/>
        <w:jc w:val="both"/>
      </w:pPr>
      <w:r>
        <w:t xml:space="preserve">Předmětem Smlouvy je dále úprava vzájemných práv a povinností Smluvních stran k hmotnému majetku nutnému k řešení Projektu a nabytého </w:t>
      </w:r>
      <w:r w:rsidR="00026B4D">
        <w:t>D</w:t>
      </w:r>
      <w:r>
        <w:t>alším účastník</w:t>
      </w:r>
      <w:r w:rsidR="002D39F2">
        <w:t>em</w:t>
      </w:r>
      <w:r>
        <w:t xml:space="preserve"> projektu a dále k výsledkům Projektu a využití výsledků Projektu.</w:t>
      </w:r>
    </w:p>
    <w:p w14:paraId="488543D4" w14:textId="77777777" w:rsidR="00BC391C" w:rsidRPr="00246EC3" w:rsidRDefault="00BC391C" w:rsidP="003A0D18">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824226" w:rsidRPr="00246EC3">
        <w:rPr>
          <w:rFonts w:ascii="Times New Roman" w:hAnsi="Times New Roman" w:cs="Times New Roman"/>
          <w:b/>
          <w:color w:val="auto"/>
          <w:sz w:val="24"/>
          <w:szCs w:val="24"/>
        </w:rPr>
        <w:t>II</w:t>
      </w:r>
      <w:r w:rsidR="00157661" w:rsidRPr="00246EC3">
        <w:rPr>
          <w:rFonts w:ascii="Times New Roman" w:hAnsi="Times New Roman" w:cs="Times New Roman"/>
          <w:b/>
          <w:color w:val="auto"/>
          <w:sz w:val="24"/>
          <w:szCs w:val="24"/>
        </w:rPr>
        <w:t>I</w:t>
      </w:r>
    </w:p>
    <w:p w14:paraId="3B87EAFE" w14:textId="77777777" w:rsidR="00BC391C" w:rsidRPr="00246EC3" w:rsidRDefault="00D76FCC" w:rsidP="003A0D18">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Podmínky spolupráce</w:t>
      </w:r>
      <w:r w:rsidR="00026B4D">
        <w:rPr>
          <w:rFonts w:ascii="Times New Roman" w:hAnsi="Times New Roman" w:cs="Times New Roman"/>
          <w:b/>
          <w:color w:val="auto"/>
          <w:sz w:val="24"/>
          <w:szCs w:val="24"/>
        </w:rPr>
        <w:t xml:space="preserve"> Smluvních</w:t>
      </w:r>
      <w:r w:rsidRPr="00246EC3">
        <w:rPr>
          <w:rFonts w:ascii="Times New Roman" w:hAnsi="Times New Roman" w:cs="Times New Roman"/>
          <w:b/>
          <w:color w:val="auto"/>
          <w:sz w:val="24"/>
          <w:szCs w:val="24"/>
        </w:rPr>
        <w:t xml:space="preserve"> stran</w:t>
      </w:r>
    </w:p>
    <w:p w14:paraId="684ED6FB" w14:textId="77777777" w:rsidR="00BC391C" w:rsidRPr="00246EC3" w:rsidRDefault="00BC391C" w:rsidP="0027513F">
      <w:pPr>
        <w:numPr>
          <w:ilvl w:val="0"/>
          <w:numId w:val="1"/>
        </w:numPr>
        <w:spacing w:before="120"/>
        <w:ind w:left="540" w:hanging="540"/>
        <w:jc w:val="both"/>
      </w:pPr>
      <w:r w:rsidRPr="00246EC3">
        <w:t>Smluvní strany prohlašují, že se s Projektem včet</w:t>
      </w:r>
      <w:r w:rsidR="00B6604B" w:rsidRPr="00246EC3">
        <w:t xml:space="preserve">ně </w:t>
      </w:r>
      <w:r w:rsidR="0031262C" w:rsidRPr="00246EC3">
        <w:t>P</w:t>
      </w:r>
      <w:r w:rsidR="00B6604B" w:rsidRPr="00246EC3">
        <w:t>rojektové žádosti seznámily</w:t>
      </w:r>
      <w:r w:rsidR="0031262C" w:rsidRPr="00246EC3">
        <w:t xml:space="preserve">, a to </w:t>
      </w:r>
      <w:r w:rsidRPr="00246EC3">
        <w:t>před podpisem Smlouvy</w:t>
      </w:r>
      <w:r w:rsidR="00157661" w:rsidRPr="00246EC3">
        <w:t>.</w:t>
      </w:r>
    </w:p>
    <w:p w14:paraId="339A4AAE" w14:textId="77777777" w:rsidR="00D54801" w:rsidRDefault="00D54801" w:rsidP="0027513F">
      <w:pPr>
        <w:numPr>
          <w:ilvl w:val="0"/>
          <w:numId w:val="1"/>
        </w:numPr>
        <w:spacing w:before="120"/>
        <w:ind w:left="540" w:hanging="540"/>
        <w:jc w:val="both"/>
      </w:pPr>
      <w:r>
        <w:t xml:space="preserve">Nedílnou součástí Smlouvy je Příloha - Závazné parametry řešení </w:t>
      </w:r>
      <w:r w:rsidR="002B1476">
        <w:t>P</w:t>
      </w:r>
      <w:r>
        <w:t xml:space="preserve">rojektu, které jsou schváleným návrhem </w:t>
      </w:r>
      <w:r w:rsidR="002B1476">
        <w:t>P</w:t>
      </w:r>
      <w:r>
        <w:t xml:space="preserve">rojektu ve smyslu § 9 odst. 2 </w:t>
      </w:r>
      <w:r w:rsidR="002B1476">
        <w:t>ZPVV</w:t>
      </w:r>
      <w:r>
        <w:t xml:space="preserve">, a obsahují označení </w:t>
      </w:r>
      <w:r w:rsidR="009F3628">
        <w:t>H</w:t>
      </w:r>
      <w:r>
        <w:t xml:space="preserve">lavního příjemce a </w:t>
      </w:r>
      <w:r w:rsidR="00F475D7">
        <w:t>D</w:t>
      </w:r>
      <w:r>
        <w:t>alších účastníků</w:t>
      </w:r>
      <w:r w:rsidR="00B307A0">
        <w:t xml:space="preserve"> projektu</w:t>
      </w:r>
      <w:r>
        <w:t xml:space="preserve">, název a předmět řešení </w:t>
      </w:r>
      <w:r w:rsidR="00957F05">
        <w:t>P</w:t>
      </w:r>
      <w:r>
        <w:t xml:space="preserve">rojektu, jméno, příjmení a případné akademické tituly a vědecké hodnosti řešitele, časový plán řešení </w:t>
      </w:r>
      <w:r w:rsidR="00957F05">
        <w:t>P</w:t>
      </w:r>
      <w:r>
        <w:t xml:space="preserve">rojektu včetně termínu zahájení a ukončení řešení </w:t>
      </w:r>
      <w:r w:rsidR="00957F05">
        <w:t>P</w:t>
      </w:r>
      <w:r>
        <w:t xml:space="preserve">rojektu, cíle </w:t>
      </w:r>
      <w:r w:rsidR="00957F05">
        <w:t>P</w:t>
      </w:r>
      <w:r>
        <w:t xml:space="preserve">rojektu, deklarované výsledky </w:t>
      </w:r>
      <w:r w:rsidR="00957F05">
        <w:t>P</w:t>
      </w:r>
      <w:r>
        <w:t xml:space="preserve">rojektu, přístup k výsledkům </w:t>
      </w:r>
      <w:r w:rsidR="001950C5">
        <w:t>P</w:t>
      </w:r>
      <w:r>
        <w:t xml:space="preserve">rojektu a kapacitám a rozdělení práv k výsledkům </w:t>
      </w:r>
      <w:r w:rsidR="001950C5">
        <w:t>P</w:t>
      </w:r>
      <w:r>
        <w:t xml:space="preserve">rojektu. Závazné parametry řešení </w:t>
      </w:r>
      <w:r w:rsidR="001950C5">
        <w:t>P</w:t>
      </w:r>
      <w:r>
        <w:t xml:space="preserve">rojektu rovněž obsahují tabulku uznaných nákladů </w:t>
      </w:r>
      <w:r w:rsidR="001950C5">
        <w:t>P</w:t>
      </w:r>
      <w:r>
        <w:t xml:space="preserve">rojektu, která obsahuje jejich rozdělení na jednotlivé roky řešení </w:t>
      </w:r>
      <w:r w:rsidR="001950C5">
        <w:t>P</w:t>
      </w:r>
      <w:r>
        <w:t xml:space="preserve">rojektu, míru podpory z uznaných nákladů a s tím související celková výše poskytované účelové podpory, včetně jejího rozdělení mezi </w:t>
      </w:r>
      <w:r w:rsidR="001950C5">
        <w:t>H</w:t>
      </w:r>
      <w:r>
        <w:t xml:space="preserve">lavního příjemce a </w:t>
      </w:r>
      <w:r w:rsidR="001950C5">
        <w:t>D</w:t>
      </w:r>
      <w:r>
        <w:t>alší účastníky projektu.</w:t>
      </w:r>
    </w:p>
    <w:p w14:paraId="412FB37A" w14:textId="77777777" w:rsidR="00D54801" w:rsidRPr="00246EC3" w:rsidRDefault="00D54801" w:rsidP="0027513F">
      <w:pPr>
        <w:numPr>
          <w:ilvl w:val="0"/>
          <w:numId w:val="1"/>
        </w:numPr>
        <w:spacing w:before="120"/>
        <w:ind w:left="540" w:hanging="540"/>
        <w:jc w:val="both"/>
      </w:pPr>
      <w:r>
        <w:t>Smluvní strany</w:t>
      </w:r>
      <w:r w:rsidRPr="00246EC3">
        <w:t xml:space="preserve"> se zavazují, že vyvinou veškeré nezbytné úsilí, aby byl naplněn účel, cíl a výsledek </w:t>
      </w:r>
      <w:r w:rsidR="0027482C">
        <w:t>P</w:t>
      </w:r>
      <w:r w:rsidRPr="00246EC3">
        <w:t xml:space="preserve">rojektu uvedený v čl. II Smlouvy. Nedosažení účelu, cíle a výsledku </w:t>
      </w:r>
      <w:r w:rsidR="0027482C">
        <w:t>P</w:t>
      </w:r>
      <w:r w:rsidRPr="00246EC3">
        <w:t>rojektu uvedeného v čl. II Smlouvy lze odůvodnit pouze v naplnění okolností obecně uznávaných a definovaných jako vyšší moc.</w:t>
      </w:r>
    </w:p>
    <w:p w14:paraId="5E0526FC" w14:textId="77777777" w:rsidR="00D54801" w:rsidRPr="00246EC3" w:rsidRDefault="00D54801" w:rsidP="0027513F">
      <w:pPr>
        <w:numPr>
          <w:ilvl w:val="0"/>
          <w:numId w:val="1"/>
        </w:numPr>
        <w:spacing w:before="120"/>
        <w:ind w:hanging="502"/>
        <w:jc w:val="both"/>
      </w:pPr>
      <w:r>
        <w:t>Smluvní strany</w:t>
      </w:r>
      <w:r w:rsidRPr="00246EC3">
        <w:t xml:space="preserve"> se zavazují jednat způsobem, který neohrožuje realizaci Projektu a zájm</w:t>
      </w:r>
      <w:r>
        <w:t xml:space="preserve">y jednotlivých </w:t>
      </w:r>
      <w:r w:rsidR="0027482C">
        <w:t>S</w:t>
      </w:r>
      <w:r>
        <w:t>mluvních stran.</w:t>
      </w:r>
      <w:r w:rsidRPr="00072BD9">
        <w:t xml:space="preserve"> </w:t>
      </w:r>
      <w:r>
        <w:t xml:space="preserve">Další podmínky poskytnutí podpory a řešení </w:t>
      </w:r>
      <w:r w:rsidR="0027482C">
        <w:t>P</w:t>
      </w:r>
      <w:r>
        <w:t xml:space="preserve">rojektu jsou uvedeny ve Všeobecných podmínkách (verze 4), které jsou dostupné na webových stránkách </w:t>
      </w:r>
      <w:r w:rsidR="00991254">
        <w:t>P</w:t>
      </w:r>
      <w:r>
        <w:t>oskytovatele.</w:t>
      </w:r>
    </w:p>
    <w:p w14:paraId="06B57F52" w14:textId="77777777" w:rsidR="003B0EF3" w:rsidRPr="00246EC3" w:rsidRDefault="003B0EF3" w:rsidP="003A0D18">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7A71B2" w:rsidRPr="00246EC3">
        <w:rPr>
          <w:rFonts w:ascii="Times New Roman" w:hAnsi="Times New Roman" w:cs="Times New Roman"/>
          <w:b/>
          <w:color w:val="auto"/>
          <w:sz w:val="24"/>
          <w:szCs w:val="24"/>
        </w:rPr>
        <w:t>IV</w:t>
      </w:r>
    </w:p>
    <w:p w14:paraId="7BE2243C" w14:textId="77777777" w:rsidR="003B0EF3" w:rsidRPr="00246EC3" w:rsidRDefault="003B0EF3" w:rsidP="003A0D18">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Složení </w:t>
      </w:r>
      <w:r w:rsidR="00C33701">
        <w:rPr>
          <w:rFonts w:ascii="Times New Roman" w:hAnsi="Times New Roman" w:cs="Times New Roman"/>
          <w:b/>
          <w:color w:val="auto"/>
          <w:sz w:val="24"/>
          <w:szCs w:val="24"/>
        </w:rPr>
        <w:t>P</w:t>
      </w:r>
      <w:r w:rsidRPr="00246EC3">
        <w:rPr>
          <w:rFonts w:ascii="Times New Roman" w:hAnsi="Times New Roman" w:cs="Times New Roman"/>
          <w:b/>
          <w:color w:val="auto"/>
          <w:sz w:val="24"/>
          <w:szCs w:val="24"/>
        </w:rPr>
        <w:t>rojektu – řešitel a spoluřešitelé</w:t>
      </w:r>
    </w:p>
    <w:p w14:paraId="2D94FB86" w14:textId="77777777" w:rsidR="006768B5" w:rsidRPr="00246EC3" w:rsidRDefault="00010F5E" w:rsidP="0027513F">
      <w:pPr>
        <w:numPr>
          <w:ilvl w:val="0"/>
          <w:numId w:val="2"/>
        </w:numPr>
        <w:spacing w:before="120"/>
        <w:ind w:left="539" w:hanging="540"/>
        <w:jc w:val="both"/>
      </w:pPr>
      <w:r w:rsidRPr="00246EC3">
        <w:t xml:space="preserve">Osobou, která odpovídá za vědecké řešení Projektu na straně </w:t>
      </w:r>
      <w:r w:rsidR="00647709">
        <w:t xml:space="preserve">Hlavního příjemce </w:t>
      </w:r>
      <w:r w:rsidR="003B0EF3" w:rsidRPr="00246EC3">
        <w:t xml:space="preserve">je </w:t>
      </w:r>
      <w:r w:rsidRPr="00246EC3">
        <w:t>hlavní řešitel</w:t>
      </w:r>
      <w:r w:rsidR="003B0EF3" w:rsidRPr="00246EC3">
        <w:t>:</w:t>
      </w:r>
    </w:p>
    <w:p w14:paraId="4782028B" w14:textId="77777777" w:rsidR="006768B5" w:rsidRDefault="002D39F2" w:rsidP="0027513F">
      <w:pPr>
        <w:spacing w:before="120"/>
        <w:ind w:left="539"/>
        <w:jc w:val="both"/>
      </w:pPr>
      <w:r>
        <w:t>RNDr</w:t>
      </w:r>
      <w:r w:rsidR="00521C9A" w:rsidRPr="00521C9A">
        <w:t xml:space="preserve">. </w:t>
      </w:r>
      <w:r>
        <w:t>Jiří Málek, Ph.D.</w:t>
      </w:r>
      <w:r w:rsidR="00521C9A">
        <w:t xml:space="preserve">, </w:t>
      </w:r>
      <w:hyperlink r:id="rId8" w:history="1">
        <w:r w:rsidRPr="00313648">
          <w:rPr>
            <w:rStyle w:val="Hypertextovodkaz"/>
          </w:rPr>
          <w:t>malek@irsm.cas.cz</w:t>
        </w:r>
      </w:hyperlink>
      <w:r w:rsidR="00521C9A">
        <w:t>, +</w:t>
      </w:r>
      <w:r w:rsidR="00521C9A" w:rsidRPr="00521C9A">
        <w:t>0420</w:t>
      </w:r>
      <w:r w:rsidR="00521C9A">
        <w:t xml:space="preserve"> </w:t>
      </w:r>
      <w:r w:rsidR="00683FE7">
        <w:t>731716283.</w:t>
      </w:r>
    </w:p>
    <w:p w14:paraId="61A8778B" w14:textId="77777777" w:rsidR="003B0EF3" w:rsidRPr="00C72487" w:rsidRDefault="003A0D18" w:rsidP="0027513F">
      <w:pPr>
        <w:numPr>
          <w:ilvl w:val="0"/>
          <w:numId w:val="2"/>
        </w:numPr>
        <w:spacing w:before="120"/>
        <w:ind w:left="539" w:hanging="540"/>
        <w:jc w:val="both"/>
      </w:pPr>
      <w:r w:rsidRPr="00C72487">
        <w:t xml:space="preserve">Osobou, která odpovídá za vědecké řešení Projektu na straně </w:t>
      </w:r>
      <w:r w:rsidR="00343850">
        <w:t>Další</w:t>
      </w:r>
      <w:r w:rsidR="00C14388">
        <w:t>ho</w:t>
      </w:r>
      <w:r w:rsidR="00343850">
        <w:t xml:space="preserve"> účastník</w:t>
      </w:r>
      <w:r w:rsidR="00C14388">
        <w:t>a</w:t>
      </w:r>
      <w:r w:rsidR="00343850">
        <w:t xml:space="preserve"> </w:t>
      </w:r>
      <w:r w:rsidR="00F9431D">
        <w:br/>
      </w:r>
      <w:r w:rsidR="00343850">
        <w:t>projektu</w:t>
      </w:r>
      <w:r w:rsidR="00C14388">
        <w:t xml:space="preserve"> </w:t>
      </w:r>
      <w:r w:rsidR="00AB0F8E" w:rsidRPr="00C72487">
        <w:t xml:space="preserve">je </w:t>
      </w:r>
      <w:r w:rsidRPr="00C72487">
        <w:t xml:space="preserve">odpovědný </w:t>
      </w:r>
      <w:r w:rsidR="00AB0F8E" w:rsidRPr="00C72487">
        <w:t>řešitel</w:t>
      </w:r>
      <w:r w:rsidR="00605C61" w:rsidRPr="00C72487">
        <w:t>:</w:t>
      </w:r>
    </w:p>
    <w:p w14:paraId="16FF02AA" w14:textId="7121C365" w:rsidR="00223319" w:rsidRDefault="00683FE7" w:rsidP="00683FE7">
      <w:pPr>
        <w:spacing w:before="120"/>
        <w:ind w:left="539"/>
        <w:jc w:val="both"/>
      </w:pPr>
      <w:r>
        <w:t>RNDr. Ivan Prachař</w:t>
      </w:r>
      <w:r w:rsidR="003E2323" w:rsidRPr="00270869">
        <w:t xml:space="preserve"> CSc., </w:t>
      </w:r>
      <w:r w:rsidRPr="00683FE7">
        <w:t xml:space="preserve"> </w:t>
      </w:r>
      <w:hyperlink r:id="rId9" w:history="1">
        <w:r w:rsidRPr="00683FE7">
          <w:rPr>
            <w:rStyle w:val="Hypertextovodkaz"/>
          </w:rPr>
          <w:t>ivan.prachar@ipconsult.cz</w:t>
        </w:r>
      </w:hyperlink>
      <w:r w:rsidR="003E2323">
        <w:t xml:space="preserve">, </w:t>
      </w:r>
      <w:r w:rsidR="003E2323" w:rsidRPr="003E2323">
        <w:t>+420</w:t>
      </w:r>
      <w:r w:rsidR="00F0208D">
        <w:t> 602 711 404</w:t>
      </w:r>
      <w:r w:rsidR="003E2323" w:rsidRPr="00270869">
        <w:t xml:space="preserve"> </w:t>
      </w:r>
      <w:r w:rsidR="00223319" w:rsidRPr="00223319">
        <w:t xml:space="preserve"> </w:t>
      </w:r>
    </w:p>
    <w:p w14:paraId="5015EE34" w14:textId="77777777" w:rsidR="006768B5" w:rsidRPr="00246EC3" w:rsidRDefault="000340F7" w:rsidP="000340F7">
      <w:pPr>
        <w:spacing w:before="120"/>
        <w:ind w:left="567" w:hanging="567"/>
        <w:jc w:val="both"/>
      </w:pPr>
      <w:r>
        <w:lastRenderedPageBreak/>
        <w:t>4.3</w:t>
      </w:r>
      <w:r>
        <w:tab/>
      </w:r>
      <w:r w:rsidR="00736428" w:rsidRPr="00246EC3">
        <w:t xml:space="preserve">Řešitel </w:t>
      </w:r>
      <w:r w:rsidR="00647709">
        <w:t>Hlavního příjemce</w:t>
      </w:r>
      <w:r w:rsidR="00647709" w:rsidRPr="00246EC3">
        <w:t xml:space="preserve"> </w:t>
      </w:r>
      <w:r w:rsidR="00736428" w:rsidRPr="00246EC3">
        <w:t>je odpovědný za cel</w:t>
      </w:r>
      <w:r w:rsidR="00605C61" w:rsidRPr="00246EC3">
        <w:t>kovou odborn</w:t>
      </w:r>
      <w:r w:rsidR="00736428" w:rsidRPr="00246EC3">
        <w:t xml:space="preserve">ou úroveň </w:t>
      </w:r>
      <w:r w:rsidR="00E9258C">
        <w:t>P</w:t>
      </w:r>
      <w:r w:rsidR="00736428" w:rsidRPr="00246EC3">
        <w:t xml:space="preserve">rojektu. Musí být k </w:t>
      </w:r>
      <w:r w:rsidR="00647709">
        <w:t>Hlavnímu příjemci</w:t>
      </w:r>
      <w:r w:rsidR="00647709" w:rsidRPr="00246EC3">
        <w:t xml:space="preserve"> </w:t>
      </w:r>
      <w:r w:rsidR="00605C61" w:rsidRPr="00246EC3">
        <w:t xml:space="preserve">v pracovním poměru nebo v poměru </w:t>
      </w:r>
      <w:r w:rsidR="006768B5" w:rsidRPr="00246EC3">
        <w:t>pracovním</w:t>
      </w:r>
      <w:r w:rsidR="00605C61" w:rsidRPr="00246EC3">
        <w:t xml:space="preserve"> obdobném. </w:t>
      </w:r>
      <w:r w:rsidR="00AB0F8E" w:rsidRPr="00152873">
        <w:t>O</w:t>
      </w:r>
      <w:r w:rsidR="00605C61" w:rsidRPr="00152873">
        <w:t>dpovědn</w:t>
      </w:r>
      <w:r w:rsidR="00C72487" w:rsidRPr="00152873">
        <w:t>ý</w:t>
      </w:r>
      <w:r w:rsidR="00605C61" w:rsidRPr="00152873">
        <w:t xml:space="preserve"> řešitel</w:t>
      </w:r>
      <w:r w:rsidR="00C72487">
        <w:rPr>
          <w:color w:val="FF0000"/>
        </w:rPr>
        <w:t xml:space="preserve"> </w:t>
      </w:r>
      <w:r w:rsidR="00145316">
        <w:t>Další</w:t>
      </w:r>
      <w:r w:rsidR="00343850">
        <w:t>ho</w:t>
      </w:r>
      <w:r w:rsidR="00145316">
        <w:t xml:space="preserve"> účastník</w:t>
      </w:r>
      <w:r w:rsidR="00343850">
        <w:t>a</w:t>
      </w:r>
      <w:r w:rsidR="00145316">
        <w:t xml:space="preserve"> projektu</w:t>
      </w:r>
      <w:r w:rsidR="00C72487">
        <w:t xml:space="preserve"> </w:t>
      </w:r>
      <w:r w:rsidR="00152873">
        <w:t>je</w:t>
      </w:r>
      <w:r w:rsidR="00605C61" w:rsidRPr="00246EC3">
        <w:t xml:space="preserve"> odpovědn</w:t>
      </w:r>
      <w:r w:rsidR="00152873">
        <w:t>ý</w:t>
      </w:r>
      <w:r w:rsidR="00605C61" w:rsidRPr="00246EC3">
        <w:t xml:space="preserve"> </w:t>
      </w:r>
      <w:r w:rsidR="00145316">
        <w:t>Dalšímu účastníkovi projektu</w:t>
      </w:r>
      <w:r w:rsidR="00152873">
        <w:t xml:space="preserve"> </w:t>
      </w:r>
      <w:r w:rsidR="00605C61" w:rsidRPr="00246EC3">
        <w:t xml:space="preserve">za celkovou odbornou úroveň </w:t>
      </w:r>
      <w:r w:rsidR="001C5FB8">
        <w:t>P</w:t>
      </w:r>
      <w:r w:rsidR="00605C61" w:rsidRPr="00246EC3">
        <w:t xml:space="preserve">rojektu. </w:t>
      </w:r>
    </w:p>
    <w:p w14:paraId="74600E70" w14:textId="77777777" w:rsidR="00605C61" w:rsidRPr="00246EC3" w:rsidRDefault="00605C61" w:rsidP="00AB0F8E">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V</w:t>
      </w:r>
    </w:p>
    <w:p w14:paraId="2416DED1" w14:textId="77777777" w:rsidR="00A11C32" w:rsidRPr="00246EC3" w:rsidRDefault="00A11C32" w:rsidP="00AB0F8E">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Řízen</w:t>
      </w:r>
      <w:r w:rsidR="00736428" w:rsidRPr="00246EC3">
        <w:rPr>
          <w:rFonts w:ascii="Times New Roman" w:hAnsi="Times New Roman" w:cs="Times New Roman"/>
          <w:b/>
          <w:color w:val="auto"/>
          <w:sz w:val="24"/>
          <w:szCs w:val="24"/>
        </w:rPr>
        <w:t xml:space="preserve">í </w:t>
      </w:r>
      <w:r w:rsidR="000C4168" w:rsidRPr="00246EC3">
        <w:rPr>
          <w:rFonts w:ascii="Times New Roman" w:hAnsi="Times New Roman" w:cs="Times New Roman"/>
          <w:b/>
          <w:color w:val="auto"/>
          <w:sz w:val="24"/>
          <w:szCs w:val="24"/>
        </w:rPr>
        <w:t>P</w:t>
      </w:r>
      <w:r w:rsidR="00736428" w:rsidRPr="00246EC3">
        <w:rPr>
          <w:rFonts w:ascii="Times New Roman" w:hAnsi="Times New Roman" w:cs="Times New Roman"/>
          <w:b/>
          <w:color w:val="auto"/>
          <w:sz w:val="24"/>
          <w:szCs w:val="24"/>
        </w:rPr>
        <w:t>rojektu, způsob zapojení jedn</w:t>
      </w:r>
      <w:r w:rsidRPr="00246EC3">
        <w:rPr>
          <w:rFonts w:ascii="Times New Roman" w:hAnsi="Times New Roman" w:cs="Times New Roman"/>
          <w:b/>
          <w:color w:val="auto"/>
          <w:sz w:val="24"/>
          <w:szCs w:val="24"/>
        </w:rPr>
        <w:t xml:space="preserve">otlivých </w:t>
      </w:r>
      <w:r w:rsidR="008700BB">
        <w:rPr>
          <w:rFonts w:ascii="Times New Roman" w:hAnsi="Times New Roman" w:cs="Times New Roman"/>
          <w:b/>
          <w:color w:val="auto"/>
          <w:sz w:val="24"/>
          <w:szCs w:val="24"/>
        </w:rPr>
        <w:t>Smluvních stran</w:t>
      </w:r>
      <w:r w:rsidR="008700BB" w:rsidRPr="00246EC3">
        <w:rPr>
          <w:rFonts w:ascii="Times New Roman" w:hAnsi="Times New Roman" w:cs="Times New Roman"/>
          <w:b/>
          <w:color w:val="auto"/>
          <w:sz w:val="24"/>
          <w:szCs w:val="24"/>
        </w:rPr>
        <w:t xml:space="preserve"> </w:t>
      </w:r>
      <w:r w:rsidR="00BC04B8">
        <w:rPr>
          <w:rFonts w:ascii="Times New Roman" w:hAnsi="Times New Roman" w:cs="Times New Roman"/>
          <w:b/>
          <w:color w:val="auto"/>
          <w:sz w:val="24"/>
          <w:szCs w:val="24"/>
        </w:rPr>
        <w:t>S</w:t>
      </w:r>
      <w:r w:rsidRPr="00246EC3">
        <w:rPr>
          <w:rFonts w:ascii="Times New Roman" w:hAnsi="Times New Roman" w:cs="Times New Roman"/>
          <w:b/>
          <w:color w:val="auto"/>
          <w:sz w:val="24"/>
          <w:szCs w:val="24"/>
        </w:rPr>
        <w:t xml:space="preserve">mlouvy do </w:t>
      </w:r>
      <w:r w:rsidR="000C4168" w:rsidRPr="00246EC3">
        <w:rPr>
          <w:rFonts w:ascii="Times New Roman" w:hAnsi="Times New Roman" w:cs="Times New Roman"/>
          <w:b/>
          <w:color w:val="auto"/>
          <w:sz w:val="24"/>
          <w:szCs w:val="24"/>
        </w:rPr>
        <w:t>P</w:t>
      </w:r>
      <w:r w:rsidRPr="00246EC3">
        <w:rPr>
          <w:rFonts w:ascii="Times New Roman" w:hAnsi="Times New Roman" w:cs="Times New Roman"/>
          <w:b/>
          <w:color w:val="auto"/>
          <w:sz w:val="24"/>
          <w:szCs w:val="24"/>
        </w:rPr>
        <w:t>rojektu</w:t>
      </w:r>
    </w:p>
    <w:p w14:paraId="1C6EC2C8" w14:textId="77777777" w:rsidR="00A11C32" w:rsidRPr="00246EC3" w:rsidRDefault="00647709" w:rsidP="0027513F">
      <w:pPr>
        <w:numPr>
          <w:ilvl w:val="0"/>
          <w:numId w:val="3"/>
        </w:numPr>
        <w:spacing w:before="120"/>
        <w:ind w:left="539" w:hanging="539"/>
        <w:jc w:val="both"/>
      </w:pPr>
      <w:r>
        <w:t xml:space="preserve">Hlavní </w:t>
      </w:r>
      <w:r w:rsidR="000C03A5">
        <w:t xml:space="preserve">příjemce plní </w:t>
      </w:r>
      <w:r w:rsidR="00A11C32" w:rsidRPr="00246EC3">
        <w:t xml:space="preserve">funkci koordinátora </w:t>
      </w:r>
      <w:r w:rsidR="00D07E8F">
        <w:t>P</w:t>
      </w:r>
      <w:r w:rsidR="00A11C32" w:rsidRPr="00246EC3">
        <w:t>rojektu a zajišťuje administrativní spolupráci s Poskytovatelem.</w:t>
      </w:r>
    </w:p>
    <w:p w14:paraId="603337BD" w14:textId="77777777" w:rsidR="00A11C32" w:rsidRDefault="00145316" w:rsidP="0027513F">
      <w:pPr>
        <w:numPr>
          <w:ilvl w:val="0"/>
          <w:numId w:val="3"/>
        </w:numPr>
        <w:spacing w:before="120"/>
        <w:ind w:left="539" w:hanging="539"/>
        <w:jc w:val="both"/>
      </w:pPr>
      <w:r>
        <w:t>Další účastní</w:t>
      </w:r>
      <w:r w:rsidR="00683FE7">
        <w:t>k</w:t>
      </w:r>
      <w:r>
        <w:t xml:space="preserve"> projektu</w:t>
      </w:r>
      <w:r w:rsidR="00A11C32" w:rsidRPr="00246EC3">
        <w:t xml:space="preserve"> se při provádění činností dle </w:t>
      </w:r>
      <w:r w:rsidR="00BC04B8">
        <w:t>S</w:t>
      </w:r>
      <w:r w:rsidR="00A11C32" w:rsidRPr="00246EC3">
        <w:t>mlouvy zavazuj</w:t>
      </w:r>
      <w:r w:rsidR="00683FE7">
        <w:t>e</w:t>
      </w:r>
      <w:r w:rsidR="00771C89">
        <w:t xml:space="preserve"> </w:t>
      </w:r>
      <w:r w:rsidR="00A11C32" w:rsidRPr="00246EC3">
        <w:t xml:space="preserve">konat tak, aby umožnil </w:t>
      </w:r>
      <w:r w:rsidR="00647709">
        <w:t>Hlavnímu příjemci</w:t>
      </w:r>
      <w:r w:rsidR="00647709" w:rsidRPr="00246EC3">
        <w:t xml:space="preserve"> </w:t>
      </w:r>
      <w:r w:rsidR="00A11C32" w:rsidRPr="00246EC3">
        <w:t xml:space="preserve">plnit jeho závazky vyplývající z obecně závazných právních předpisů ČR týkajících se účelové podpory výzkumu a vývoje (zejména </w:t>
      </w:r>
      <w:r w:rsidR="009D10E2">
        <w:t>ZPVV</w:t>
      </w:r>
      <w:r w:rsidR="00A11C32" w:rsidRPr="00246EC3">
        <w:t>) a jím uzavřených smluv.</w:t>
      </w:r>
    </w:p>
    <w:p w14:paraId="27EE39A2" w14:textId="77777777" w:rsidR="004A46C3" w:rsidRDefault="00005B36" w:rsidP="0027513F">
      <w:pPr>
        <w:numPr>
          <w:ilvl w:val="0"/>
          <w:numId w:val="3"/>
        </w:numPr>
        <w:spacing w:before="120"/>
        <w:ind w:left="539" w:hanging="539"/>
        <w:jc w:val="both"/>
      </w:pPr>
      <w:r>
        <w:t>Smluvní strany se zavazují</w:t>
      </w:r>
      <w:r w:rsidR="004A46C3" w:rsidRPr="004A46C3">
        <w:t>, že v rámci spolupráce na řešení Projektu bud</w:t>
      </w:r>
      <w:r w:rsidR="004A46C3">
        <w:t>ou</w:t>
      </w:r>
      <w:r w:rsidR="004A46C3" w:rsidRPr="004A46C3">
        <w:t xml:space="preserve"> provádět ve stanovených termínech a ve stanoveném rozsahu úkony konkrétně určené v Projektu, popřípadě i další úkony nutné nebo potřebné pro realizaci Projektu</w:t>
      </w:r>
      <w:r w:rsidR="004A46C3">
        <w:t>.</w:t>
      </w:r>
    </w:p>
    <w:p w14:paraId="7925CBDF" w14:textId="77777777" w:rsidR="00005B36" w:rsidRPr="00246EC3" w:rsidRDefault="00BC04B8" w:rsidP="0027513F">
      <w:pPr>
        <w:numPr>
          <w:ilvl w:val="0"/>
          <w:numId w:val="3"/>
        </w:numPr>
        <w:spacing w:before="120"/>
        <w:ind w:left="539" w:hanging="539"/>
        <w:jc w:val="both"/>
      </w:pPr>
      <w:r>
        <w:t>Každá ze Smluvních stran</w:t>
      </w:r>
      <w:r w:rsidR="00005B36" w:rsidRPr="00246EC3">
        <w:t xml:space="preserve"> odpovídá za tu část Projektu, kterou fakticky provádí a vykonává.</w:t>
      </w:r>
    </w:p>
    <w:p w14:paraId="3A0B29EA" w14:textId="77777777" w:rsidR="00DC23FE" w:rsidRDefault="00DC23FE" w:rsidP="009C0025">
      <w:pPr>
        <w:spacing w:after="20"/>
        <w:ind w:left="540"/>
        <w:jc w:val="both"/>
      </w:pPr>
    </w:p>
    <w:p w14:paraId="5953D23E" w14:textId="77777777" w:rsidR="00005B36" w:rsidRPr="00246EC3" w:rsidRDefault="00005B36" w:rsidP="00005B36">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V</w:t>
      </w:r>
      <w:r>
        <w:rPr>
          <w:rFonts w:ascii="Times New Roman" w:hAnsi="Times New Roman" w:cs="Times New Roman"/>
          <w:b/>
          <w:color w:val="auto"/>
          <w:sz w:val="24"/>
          <w:szCs w:val="24"/>
        </w:rPr>
        <w:t>I</w:t>
      </w:r>
    </w:p>
    <w:p w14:paraId="7FB5855D" w14:textId="77777777" w:rsidR="00005B36" w:rsidRPr="00246EC3" w:rsidRDefault="00005B36" w:rsidP="0027513F">
      <w:pPr>
        <w:pStyle w:val="FormtovanvHTML"/>
        <w:spacing w:before="120"/>
        <w:ind w:left="-85"/>
        <w:jc w:val="center"/>
        <w:rPr>
          <w:rFonts w:ascii="Times New Roman" w:hAnsi="Times New Roman" w:cs="Times New Roman"/>
          <w:b/>
          <w:color w:val="auto"/>
          <w:sz w:val="24"/>
          <w:szCs w:val="24"/>
        </w:rPr>
      </w:pPr>
      <w:r>
        <w:rPr>
          <w:rFonts w:ascii="Times New Roman" w:hAnsi="Times New Roman" w:cs="Times New Roman"/>
          <w:b/>
          <w:color w:val="auto"/>
          <w:sz w:val="24"/>
          <w:szCs w:val="24"/>
        </w:rPr>
        <w:t>Hodnocení Projektu</w:t>
      </w:r>
    </w:p>
    <w:p w14:paraId="71CA2FC0" w14:textId="77777777" w:rsidR="004A46C3" w:rsidRDefault="004A46C3" w:rsidP="0027513F">
      <w:pPr>
        <w:numPr>
          <w:ilvl w:val="0"/>
          <w:numId w:val="15"/>
        </w:numPr>
        <w:tabs>
          <w:tab w:val="clear" w:pos="0"/>
        </w:tabs>
        <w:spacing w:before="120"/>
        <w:ind w:left="540" w:hanging="540"/>
        <w:jc w:val="both"/>
      </w:pPr>
      <w:r>
        <w:t xml:space="preserve">Za účelem ověření a zhodnocení postupu spolupráce </w:t>
      </w:r>
      <w:r w:rsidR="00005B36">
        <w:t>Další</w:t>
      </w:r>
      <w:r w:rsidR="00FE578C">
        <w:t>ch</w:t>
      </w:r>
      <w:r w:rsidR="00005B36">
        <w:t xml:space="preserve"> účastník</w:t>
      </w:r>
      <w:r w:rsidR="00FE578C">
        <w:t>ů</w:t>
      </w:r>
      <w:r w:rsidR="00005B36">
        <w:t xml:space="preserve"> projektu</w:t>
      </w:r>
      <w:r>
        <w:t xml:space="preserve"> na řešení Projektu </w:t>
      </w:r>
      <w:r w:rsidR="00145316">
        <w:t>j</w:t>
      </w:r>
      <w:r w:rsidR="00683FE7">
        <w:t>e</w:t>
      </w:r>
      <w:r>
        <w:t xml:space="preserve"> </w:t>
      </w:r>
      <w:r w:rsidR="00005B36">
        <w:t>Další účastní</w:t>
      </w:r>
      <w:r w:rsidR="00683FE7">
        <w:t>k</w:t>
      </w:r>
      <w:r w:rsidR="00005B36">
        <w:t xml:space="preserve"> projektu</w:t>
      </w:r>
      <w:r>
        <w:t xml:space="preserve"> </w:t>
      </w:r>
      <w:r w:rsidR="001010FB">
        <w:t>povin</w:t>
      </w:r>
      <w:r w:rsidR="00683FE7">
        <w:t>en</w:t>
      </w:r>
      <w:r w:rsidR="001010FB">
        <w:t xml:space="preserve"> </w:t>
      </w:r>
      <w:r>
        <w:t xml:space="preserve">předložit </w:t>
      </w:r>
      <w:r w:rsidR="00647709">
        <w:t>Hlavnímu příjemci</w:t>
      </w:r>
      <w:r>
        <w:t>:</w:t>
      </w:r>
    </w:p>
    <w:p w14:paraId="7496D966" w14:textId="77777777" w:rsidR="004A46C3" w:rsidRDefault="004A46C3" w:rsidP="0027513F">
      <w:pPr>
        <w:spacing w:before="120"/>
        <w:ind w:left="900" w:hanging="360"/>
        <w:jc w:val="both"/>
      </w:pPr>
      <w:r>
        <w:t>a)</w:t>
      </w:r>
      <w:r>
        <w:tab/>
        <w:t>průběžné periodické zprávy,</w:t>
      </w:r>
    </w:p>
    <w:p w14:paraId="5A1F199C" w14:textId="77777777" w:rsidR="004A46C3" w:rsidRDefault="004A46C3" w:rsidP="0027513F">
      <w:pPr>
        <w:spacing w:before="120"/>
        <w:ind w:left="900" w:hanging="360"/>
        <w:jc w:val="both"/>
      </w:pPr>
      <w:r>
        <w:t>b)</w:t>
      </w:r>
      <w:r>
        <w:tab/>
        <w:t>průběžné neperiodické zprávy,</w:t>
      </w:r>
    </w:p>
    <w:p w14:paraId="762663BD" w14:textId="77777777" w:rsidR="004A46C3" w:rsidRDefault="004A46C3" w:rsidP="0027513F">
      <w:pPr>
        <w:spacing w:before="120"/>
        <w:ind w:left="900" w:hanging="360"/>
        <w:jc w:val="both"/>
      </w:pPr>
      <w:r>
        <w:t>c)</w:t>
      </w:r>
      <w:r>
        <w:tab/>
        <w:t>závěrečnou zprávu,</w:t>
      </w:r>
    </w:p>
    <w:p w14:paraId="39CD4358" w14:textId="77777777" w:rsidR="004A46C3" w:rsidRDefault="004A46C3" w:rsidP="0027513F">
      <w:pPr>
        <w:spacing w:before="120"/>
        <w:ind w:left="900" w:hanging="360"/>
        <w:jc w:val="both"/>
      </w:pPr>
      <w:r>
        <w:t>d)</w:t>
      </w:r>
      <w:r>
        <w:tab/>
        <w:t>výkazy uznaných nákladů Projektu,</w:t>
      </w:r>
    </w:p>
    <w:p w14:paraId="129D6036" w14:textId="77777777" w:rsidR="004A46C3" w:rsidRDefault="004A46C3" w:rsidP="0027513F">
      <w:pPr>
        <w:spacing w:before="120"/>
        <w:ind w:left="900" w:hanging="360"/>
        <w:jc w:val="both"/>
      </w:pPr>
      <w:r>
        <w:t>e)</w:t>
      </w:r>
      <w:r>
        <w:tab/>
        <w:t xml:space="preserve">další zprávy, pokud tak stanoví </w:t>
      </w:r>
      <w:r w:rsidR="00332C27">
        <w:t>Hlavní příjemce</w:t>
      </w:r>
      <w:r>
        <w:t>.</w:t>
      </w:r>
    </w:p>
    <w:p w14:paraId="3A80B7E8" w14:textId="77777777" w:rsidR="004A46C3" w:rsidRDefault="004A46C3" w:rsidP="0027513F">
      <w:pPr>
        <w:numPr>
          <w:ilvl w:val="0"/>
          <w:numId w:val="15"/>
        </w:numPr>
        <w:tabs>
          <w:tab w:val="clear" w:pos="0"/>
        </w:tabs>
        <w:spacing w:before="120"/>
        <w:ind w:left="540" w:hanging="540"/>
        <w:jc w:val="both"/>
      </w:pPr>
      <w:r>
        <w:t xml:space="preserve">Průběžnou periodickou zprávou se rozumí zpráva o postupu </w:t>
      </w:r>
      <w:r w:rsidR="00145316">
        <w:t>ře</w:t>
      </w:r>
      <w:r>
        <w:t xml:space="preserve">šení části Projektu </w:t>
      </w:r>
      <w:r w:rsidR="00005B36">
        <w:t>Da</w:t>
      </w:r>
      <w:r w:rsidR="00145316">
        <w:t>lším ú</w:t>
      </w:r>
      <w:r>
        <w:t>častník</w:t>
      </w:r>
      <w:r w:rsidR="001010FB">
        <w:t>em</w:t>
      </w:r>
      <w:r>
        <w:t xml:space="preserve"> projektu, </w:t>
      </w:r>
      <w:r w:rsidR="00145316">
        <w:t>případných odchylkách v obsahu ř</w:t>
      </w:r>
      <w:r>
        <w:t>ešení části Projektu a zpráva o dosažených výsledcích za uplynulé období.</w:t>
      </w:r>
    </w:p>
    <w:p w14:paraId="771C1346" w14:textId="77777777" w:rsidR="004A46C3" w:rsidRDefault="004A46C3" w:rsidP="0027513F">
      <w:pPr>
        <w:numPr>
          <w:ilvl w:val="0"/>
          <w:numId w:val="15"/>
        </w:numPr>
        <w:tabs>
          <w:tab w:val="clear" w:pos="0"/>
        </w:tabs>
        <w:spacing w:before="120"/>
        <w:ind w:left="540" w:hanging="540"/>
        <w:jc w:val="both"/>
      </w:pPr>
      <w:r>
        <w:t xml:space="preserve">Průběžné periodické zprávy </w:t>
      </w:r>
      <w:r w:rsidR="001010FB">
        <w:t>j</w:t>
      </w:r>
      <w:r w:rsidR="00A81641">
        <w:t>e</w:t>
      </w:r>
      <w:r>
        <w:t xml:space="preserve"> </w:t>
      </w:r>
      <w:r w:rsidR="00005B36">
        <w:t>D</w:t>
      </w:r>
      <w:r w:rsidR="00145316">
        <w:t>alší ú</w:t>
      </w:r>
      <w:r>
        <w:t>častní</w:t>
      </w:r>
      <w:r w:rsidR="00A81641">
        <w:t>k</w:t>
      </w:r>
      <w:r w:rsidR="00145316">
        <w:t xml:space="preserve"> </w:t>
      </w:r>
      <w:r>
        <w:t>projektu povin</w:t>
      </w:r>
      <w:r w:rsidR="00A81641">
        <w:t>en</w:t>
      </w:r>
      <w:r>
        <w:t xml:space="preserve"> předkládat </w:t>
      </w:r>
      <w:r w:rsidR="00647709">
        <w:t xml:space="preserve">Hlavnímu příjemci </w:t>
      </w:r>
      <w:r>
        <w:t xml:space="preserve">vždy </w:t>
      </w:r>
      <w:r w:rsidRPr="00777B3C">
        <w:t xml:space="preserve">nejpozději do </w:t>
      </w:r>
      <w:r w:rsidR="000340F7" w:rsidRPr="00777B3C">
        <w:t>15</w:t>
      </w:r>
      <w:r w:rsidRPr="00777B3C">
        <w:t xml:space="preserve"> kalendářních dnů po</w:t>
      </w:r>
      <w:r>
        <w:t xml:space="preserve"> skončení daného kalendářního roku řešení Projektu, přičemž průběžná periodická zpráva musí zahrnovat období daného kalendářního roku. </w:t>
      </w:r>
      <w:r w:rsidR="00647709">
        <w:t xml:space="preserve">Hlavní příjemce </w:t>
      </w:r>
      <w:r>
        <w:t xml:space="preserve">je oprávněn vyžádat si průběžnou periodickou zprávu i mimo tuto pravidelnou roční periodicitu. V takovém </w:t>
      </w:r>
      <w:r w:rsidRPr="00777B3C">
        <w:t xml:space="preserve">případě je Další účastník projektu povinen předložit průběžnou periodickou zprávu nejpozději do 15 kalendářních dnů od data, kdy si </w:t>
      </w:r>
      <w:r w:rsidR="00886C8D" w:rsidRPr="00777B3C">
        <w:t xml:space="preserve">Hlavní příjemce </w:t>
      </w:r>
      <w:r w:rsidRPr="00777B3C">
        <w:t>průběžnou periodickou zprávu vyžádal</w:t>
      </w:r>
      <w:r>
        <w:t>.</w:t>
      </w:r>
    </w:p>
    <w:p w14:paraId="0B1C5606" w14:textId="77777777" w:rsidR="004A46C3" w:rsidRDefault="004A46C3" w:rsidP="0027513F">
      <w:pPr>
        <w:numPr>
          <w:ilvl w:val="0"/>
          <w:numId w:val="15"/>
        </w:numPr>
        <w:tabs>
          <w:tab w:val="clear" w:pos="0"/>
        </w:tabs>
        <w:spacing w:before="120"/>
        <w:ind w:left="540" w:hanging="540"/>
        <w:jc w:val="both"/>
      </w:pPr>
      <w:r>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 využití.</w:t>
      </w:r>
    </w:p>
    <w:p w14:paraId="591CE5BE" w14:textId="77777777" w:rsidR="004A46C3" w:rsidRDefault="004A46C3" w:rsidP="0027513F">
      <w:pPr>
        <w:numPr>
          <w:ilvl w:val="0"/>
          <w:numId w:val="15"/>
        </w:numPr>
        <w:tabs>
          <w:tab w:val="clear" w:pos="0"/>
        </w:tabs>
        <w:spacing w:before="120"/>
        <w:ind w:left="540" w:hanging="540"/>
        <w:jc w:val="both"/>
      </w:pPr>
      <w:r>
        <w:lastRenderedPageBreak/>
        <w:t>Závěrečnou zprávou se rozumí zpráva o všech pracích, cílech, výsledcích a závěrech vyplývajících ze spolupráce Další</w:t>
      </w:r>
      <w:r w:rsidR="001010FB">
        <w:t>ho</w:t>
      </w:r>
      <w:r>
        <w:t xml:space="preserve"> účastník</w:t>
      </w:r>
      <w:r w:rsidR="001010FB">
        <w:t>a</w:t>
      </w:r>
      <w:r>
        <w:t xml:space="preserve"> projektu na </w:t>
      </w:r>
      <w:r w:rsidR="00005B36">
        <w:t>ř</w:t>
      </w:r>
      <w:r>
        <w:t xml:space="preserve">ešení </w:t>
      </w:r>
      <w:r w:rsidR="00005B36">
        <w:t xml:space="preserve">odpovídající </w:t>
      </w:r>
      <w:r>
        <w:t xml:space="preserve">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w:t>
      </w:r>
      <w:r w:rsidRPr="00AF1C18">
        <w:t>Řešení</w:t>
      </w:r>
      <w:r>
        <w:t xml:space="preserve"> části Projektu. Jako součást závěrečné zprávy je Další účastník projektu povinen </w:t>
      </w:r>
      <w:r w:rsidR="00886C8D">
        <w:t xml:space="preserve">Hlavnímu příjemci </w:t>
      </w:r>
      <w:r>
        <w:t>předložit podklady o celkových vynaložených způsobilých nákladech Projektu.</w:t>
      </w:r>
    </w:p>
    <w:p w14:paraId="44A68164" w14:textId="77777777" w:rsidR="004A46C3" w:rsidRPr="00777B3C" w:rsidRDefault="004A46C3" w:rsidP="0027513F">
      <w:pPr>
        <w:numPr>
          <w:ilvl w:val="0"/>
          <w:numId w:val="15"/>
        </w:numPr>
        <w:tabs>
          <w:tab w:val="clear" w:pos="0"/>
        </w:tabs>
        <w:spacing w:before="120"/>
        <w:ind w:left="540" w:hanging="540"/>
        <w:jc w:val="both"/>
      </w:pPr>
      <w:r w:rsidRPr="00777B3C">
        <w:t xml:space="preserve">Závěrečná zpráva musí zahrnovat celé období Řešení části Projektu a musí být Dalším účastníkem projektu poskytnuta </w:t>
      </w:r>
      <w:r w:rsidR="00886C8D" w:rsidRPr="00777B3C">
        <w:t xml:space="preserve">Hlavnímu příjemci </w:t>
      </w:r>
      <w:r w:rsidRPr="00777B3C">
        <w:t xml:space="preserve">do </w:t>
      </w:r>
      <w:r w:rsidR="00005B36" w:rsidRPr="00777B3C">
        <w:t>30</w:t>
      </w:r>
      <w:r w:rsidRPr="00777B3C">
        <w:t xml:space="preserve"> kalendářních dnů po ukončení Řešení části Projektu, a to i v případě předčasného ukončení Projektu.</w:t>
      </w:r>
    </w:p>
    <w:p w14:paraId="42BEAB3A" w14:textId="77777777" w:rsidR="004A46C3" w:rsidRDefault="004A46C3" w:rsidP="0027513F">
      <w:pPr>
        <w:numPr>
          <w:ilvl w:val="0"/>
          <w:numId w:val="15"/>
        </w:numPr>
        <w:tabs>
          <w:tab w:val="clear" w:pos="0"/>
        </w:tabs>
        <w:spacing w:before="120"/>
        <w:ind w:left="540" w:hanging="540"/>
        <w:jc w:val="both"/>
      </w:pPr>
      <w:r>
        <w:t>Výkazy způsobilých nákladů Projektu se rozumí výkazy, které zachycují a prokazují čerpání způsobilých nákladů Dalším účastníkem projektu v souladu se schváleným návrhem Projektu a Smlouvou.</w:t>
      </w:r>
    </w:p>
    <w:p w14:paraId="27BB9801" w14:textId="77777777" w:rsidR="004A46C3" w:rsidRDefault="004A46C3" w:rsidP="0027513F">
      <w:pPr>
        <w:numPr>
          <w:ilvl w:val="0"/>
          <w:numId w:val="15"/>
        </w:numPr>
        <w:tabs>
          <w:tab w:val="clear" w:pos="0"/>
        </w:tabs>
        <w:spacing w:before="120"/>
        <w:ind w:left="540" w:hanging="540"/>
        <w:jc w:val="both"/>
      </w:pPr>
      <w:r>
        <w:t xml:space="preserve">Výkazy způsobilých nákladů je Další účastník projektu povinen předkládat dohromady společně s každou průběžnou zprávou, a to v termínech stanovených pro odevzdání průběžné zprávy podle bodu </w:t>
      </w:r>
      <w:r w:rsidR="00005B36">
        <w:t>6.3</w:t>
      </w:r>
      <w:r>
        <w:t xml:space="preserve"> toho</w:t>
      </w:r>
      <w:r w:rsidR="00005B36">
        <w:t>to článku.</w:t>
      </w:r>
    </w:p>
    <w:p w14:paraId="62C32039" w14:textId="77777777" w:rsidR="004A46C3" w:rsidRPr="004A46C3" w:rsidRDefault="004A46C3" w:rsidP="0027513F">
      <w:pPr>
        <w:numPr>
          <w:ilvl w:val="0"/>
          <w:numId w:val="15"/>
        </w:numPr>
        <w:tabs>
          <w:tab w:val="clear" w:pos="0"/>
        </w:tabs>
        <w:spacing w:before="120"/>
        <w:ind w:left="540" w:hanging="540"/>
        <w:jc w:val="both"/>
      </w:pPr>
      <w:r>
        <w:t xml:space="preserve">Zprávy uvedené v bodě </w:t>
      </w:r>
      <w:r w:rsidR="00005B36">
        <w:t>6.</w:t>
      </w:r>
      <w:r>
        <w:t xml:space="preserve">1 tohoto článku je Další účastník projektu povinen poskytovat </w:t>
      </w:r>
      <w:r w:rsidR="00886C8D">
        <w:t>Hlavnímu příjemci</w:t>
      </w:r>
      <w:r>
        <w:t xml:space="preserve">, přičemž Další účastník projektu je povinen respektovat pokyny </w:t>
      </w:r>
      <w:r w:rsidR="00886C8D">
        <w:t xml:space="preserve">Hlavního příjemce </w:t>
      </w:r>
      <w:r>
        <w:t xml:space="preserve">týkající se obsahu, struktury zpráv a lhůt pro jejich odevzdání a dále pak předkládat zprávy v takové vhodné formě, aby zprávy mohly být </w:t>
      </w:r>
      <w:r w:rsidR="00886C8D">
        <w:t xml:space="preserve">Hlavním příjemcem </w:t>
      </w:r>
      <w:r>
        <w:t>nebo Poskytovatelem publikovány.</w:t>
      </w:r>
    </w:p>
    <w:p w14:paraId="72B81DF2" w14:textId="77777777" w:rsidR="002B1511" w:rsidRPr="00246EC3" w:rsidRDefault="002B1511" w:rsidP="00AB0F8E">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V</w:t>
      </w:r>
      <w:r w:rsidR="00CF62AC">
        <w:rPr>
          <w:rFonts w:ascii="Times New Roman" w:hAnsi="Times New Roman" w:cs="Times New Roman"/>
          <w:b/>
          <w:color w:val="auto"/>
          <w:sz w:val="24"/>
          <w:szCs w:val="24"/>
        </w:rPr>
        <w:t>I</w:t>
      </w:r>
      <w:r w:rsidR="00550032" w:rsidRPr="00246EC3">
        <w:rPr>
          <w:rFonts w:ascii="Times New Roman" w:hAnsi="Times New Roman" w:cs="Times New Roman"/>
          <w:b/>
          <w:color w:val="auto"/>
          <w:sz w:val="24"/>
          <w:szCs w:val="24"/>
        </w:rPr>
        <w:t>I</w:t>
      </w:r>
    </w:p>
    <w:p w14:paraId="1C61B4B1" w14:textId="77777777" w:rsidR="002B1511" w:rsidRPr="00246EC3" w:rsidRDefault="002B1511" w:rsidP="00AB0F8E">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Práva a povinnosti </w:t>
      </w:r>
      <w:r w:rsidR="00CF62AC">
        <w:rPr>
          <w:rFonts w:ascii="Times New Roman" w:hAnsi="Times New Roman" w:cs="Times New Roman"/>
          <w:b/>
          <w:color w:val="auto"/>
          <w:sz w:val="24"/>
          <w:szCs w:val="24"/>
        </w:rPr>
        <w:t>S</w:t>
      </w:r>
      <w:r w:rsidR="00736428" w:rsidRPr="00246EC3">
        <w:rPr>
          <w:rFonts w:ascii="Times New Roman" w:hAnsi="Times New Roman" w:cs="Times New Roman"/>
          <w:b/>
          <w:color w:val="auto"/>
          <w:sz w:val="24"/>
          <w:szCs w:val="24"/>
        </w:rPr>
        <w:t>mluvních stran</w:t>
      </w:r>
    </w:p>
    <w:p w14:paraId="6B5DB3CE" w14:textId="77777777" w:rsidR="00C07140" w:rsidRPr="00246EC3" w:rsidRDefault="00005B36" w:rsidP="0027513F">
      <w:pPr>
        <w:numPr>
          <w:ilvl w:val="0"/>
          <w:numId w:val="16"/>
        </w:numPr>
        <w:tabs>
          <w:tab w:val="clear" w:pos="360"/>
        </w:tabs>
        <w:spacing w:before="120"/>
        <w:ind w:left="539" w:hanging="539"/>
        <w:jc w:val="both"/>
      </w:pPr>
      <w:r>
        <w:t>Smluvní strany</w:t>
      </w:r>
      <w:r w:rsidR="00C07140" w:rsidRPr="00246EC3">
        <w:t xml:space="preserve"> jsou povinny se navzájem informovat o veškerých změnách týkajících se </w:t>
      </w:r>
      <w:r w:rsidR="008802D8">
        <w:t>P</w:t>
      </w:r>
      <w:r w:rsidR="00C07140" w:rsidRPr="00246EC3">
        <w:t>rojektu, dále o případné neschopnosti subjektu plnit řádně a včas povinnosti vyplývající z</w:t>
      </w:r>
      <w:r w:rsidR="00BC04B8">
        <w:t>e</w:t>
      </w:r>
      <w:r w:rsidR="00C07140" w:rsidRPr="00246EC3">
        <w:t xml:space="preserve"> </w:t>
      </w:r>
      <w:r w:rsidR="008802D8">
        <w:t>S</w:t>
      </w:r>
      <w:r w:rsidR="00C07140" w:rsidRPr="00246EC3">
        <w:t xml:space="preserve">mlouvy a o všech významných změnách svého majetkového postavení, jakými jsou zejména vznik, </w:t>
      </w:r>
      <w:r w:rsidR="00C446AD" w:rsidRPr="00844550">
        <w:t>fúze</w:t>
      </w:r>
      <w:r w:rsidR="00C07140" w:rsidRPr="00246EC3">
        <w:t xml:space="preserve"> či rozdělení společnosti, změna právní formy, snížení základního kapitálu, vstup do likvidace, </w:t>
      </w:r>
      <w:r w:rsidR="00C446AD" w:rsidRPr="00844550">
        <w:t>úpadek subjektu, zahájení insolvenčního řízení</w:t>
      </w:r>
      <w:r w:rsidR="00C07140" w:rsidRPr="00844550">
        <w:t>,</w:t>
      </w:r>
      <w:r w:rsidR="00C07140" w:rsidRPr="00246EC3">
        <w:t xml:space="preserve"> zánik příslušného oprávnění k činnosti apod., a to </w:t>
      </w:r>
      <w:r w:rsidR="008802D8">
        <w:t>nejpozději do 4 kalendářních dnů</w:t>
      </w:r>
      <w:r w:rsidR="00C07140" w:rsidRPr="00246EC3">
        <w:t xml:space="preserve"> </w:t>
      </w:r>
      <w:r w:rsidR="008802D8">
        <w:t xml:space="preserve">ode dne, </w:t>
      </w:r>
      <w:r w:rsidR="00BC04B8">
        <w:t>kdy se o změně dozvěděly.</w:t>
      </w:r>
      <w:r w:rsidR="00C07140" w:rsidRPr="00246EC3">
        <w:t xml:space="preserve"> S</w:t>
      </w:r>
      <w:r w:rsidR="00BC04B8">
        <w:t>mluvní strany</w:t>
      </w:r>
      <w:r w:rsidR="00C07140" w:rsidRPr="00246EC3">
        <w:t xml:space="preserve"> jsou dále povinny kdykoliv prokázat, že jsou stále způsobilé pro řešení </w:t>
      </w:r>
      <w:r w:rsidR="00E33973">
        <w:t>P</w:t>
      </w:r>
      <w:r w:rsidR="00C07140" w:rsidRPr="00246EC3">
        <w:t>rojektu.</w:t>
      </w:r>
    </w:p>
    <w:p w14:paraId="04C7C6F2" w14:textId="77777777" w:rsidR="003265CC" w:rsidRPr="00246EC3" w:rsidRDefault="003265CC" w:rsidP="0027513F">
      <w:pPr>
        <w:numPr>
          <w:ilvl w:val="0"/>
          <w:numId w:val="16"/>
        </w:numPr>
        <w:tabs>
          <w:tab w:val="clear" w:pos="360"/>
        </w:tabs>
        <w:spacing w:before="120"/>
        <w:ind w:left="539" w:hanging="539"/>
        <w:jc w:val="both"/>
      </w:pPr>
      <w:r w:rsidRPr="00246EC3">
        <w:t>Každ</w:t>
      </w:r>
      <w:r w:rsidR="00CF62AC">
        <w:t>á ze Smluvních stran</w:t>
      </w:r>
      <w:r w:rsidRPr="00246EC3">
        <w:t xml:space="preserve"> vede oddělenou účetní evidenci všech účetních případů vztahujících se k Projektu.</w:t>
      </w:r>
    </w:p>
    <w:p w14:paraId="7F27F4F9" w14:textId="77777777" w:rsidR="003265CC" w:rsidRPr="00246EC3" w:rsidRDefault="003265CC" w:rsidP="0027513F">
      <w:pPr>
        <w:numPr>
          <w:ilvl w:val="0"/>
          <w:numId w:val="16"/>
        </w:numPr>
        <w:tabs>
          <w:tab w:val="clear" w:pos="360"/>
        </w:tabs>
        <w:spacing w:before="120"/>
        <w:ind w:left="539" w:hanging="539"/>
        <w:jc w:val="both"/>
      </w:pPr>
      <w:r w:rsidRPr="00246EC3">
        <w:t>Každ</w:t>
      </w:r>
      <w:r w:rsidR="00CF62AC">
        <w:t>á ze Smluvních stran</w:t>
      </w:r>
      <w:r w:rsidRPr="00246EC3">
        <w:t xml:space="preserve"> se </w:t>
      </w:r>
      <w:r w:rsidR="00335960" w:rsidRPr="00246EC3">
        <w:t>zavazuje podrobit se kontrolám P</w:t>
      </w:r>
      <w:r w:rsidRPr="00246EC3">
        <w:t xml:space="preserve">rojektu ze strany </w:t>
      </w:r>
      <w:r w:rsidR="00CF62AC">
        <w:t>P</w:t>
      </w:r>
      <w:r w:rsidRPr="00246EC3">
        <w:t>oskytovatele a dalších kontrolních subjektů a při těchto kontrolách poskytovat odpovídající součinnost.</w:t>
      </w:r>
    </w:p>
    <w:p w14:paraId="3AEDE41A" w14:textId="77777777" w:rsidR="003265CC" w:rsidRPr="00246EC3" w:rsidRDefault="00CF62AC" w:rsidP="0027513F">
      <w:pPr>
        <w:numPr>
          <w:ilvl w:val="0"/>
          <w:numId w:val="16"/>
        </w:numPr>
        <w:tabs>
          <w:tab w:val="clear" w:pos="360"/>
        </w:tabs>
        <w:spacing w:before="120"/>
        <w:ind w:left="539" w:hanging="539"/>
        <w:jc w:val="both"/>
      </w:pPr>
      <w:r>
        <w:t>Každá ze Smluvních stran</w:t>
      </w:r>
      <w:r w:rsidR="003265CC" w:rsidRPr="00246EC3">
        <w:t xml:space="preserve"> se zavazuje řádně dokončit a finančně uzavřít Projekt ve stanoveném termínu, včetně finančního vypořádání.</w:t>
      </w:r>
    </w:p>
    <w:p w14:paraId="535485CC" w14:textId="77777777" w:rsidR="00DC6EB8" w:rsidRPr="00246EC3" w:rsidRDefault="00CF62AC" w:rsidP="0027513F">
      <w:pPr>
        <w:numPr>
          <w:ilvl w:val="0"/>
          <w:numId w:val="16"/>
        </w:numPr>
        <w:tabs>
          <w:tab w:val="clear" w:pos="360"/>
        </w:tabs>
        <w:spacing w:before="120"/>
        <w:ind w:left="539" w:hanging="539"/>
        <w:jc w:val="both"/>
      </w:pPr>
      <w:r>
        <w:t>Další účastník projektu</w:t>
      </w:r>
      <w:r w:rsidR="00DC6EB8" w:rsidRPr="00246EC3">
        <w:t xml:space="preserve"> je odpovědný </w:t>
      </w:r>
      <w:r w:rsidR="00332C27">
        <w:t>Hlavnímu příjemci</w:t>
      </w:r>
      <w:r w:rsidR="00332C27" w:rsidRPr="00246EC3">
        <w:t xml:space="preserve"> </w:t>
      </w:r>
      <w:r w:rsidR="00DC6EB8" w:rsidRPr="00246EC3">
        <w:t xml:space="preserve">za řešení </w:t>
      </w:r>
      <w:r w:rsidR="00DC318E" w:rsidRPr="00246EC3">
        <w:t>jím prováděné</w:t>
      </w:r>
      <w:r w:rsidR="00DC6EB8" w:rsidRPr="00246EC3">
        <w:t xml:space="preserve"> části </w:t>
      </w:r>
      <w:r w:rsidR="00F408CA">
        <w:t>P</w:t>
      </w:r>
      <w:r w:rsidR="00DC6EB8" w:rsidRPr="00246EC3">
        <w:t>rojektu a za hospodaření s přidělenou částí účelových finančních prostředků v plném rozsahu.</w:t>
      </w:r>
    </w:p>
    <w:p w14:paraId="6C9DC078" w14:textId="77777777" w:rsidR="003265CC" w:rsidRPr="00246EC3" w:rsidRDefault="003265CC" w:rsidP="0027513F">
      <w:pPr>
        <w:numPr>
          <w:ilvl w:val="0"/>
          <w:numId w:val="16"/>
        </w:numPr>
        <w:tabs>
          <w:tab w:val="clear" w:pos="360"/>
        </w:tabs>
        <w:spacing w:before="120"/>
        <w:ind w:left="539" w:hanging="539"/>
        <w:jc w:val="both"/>
      </w:pPr>
      <w:r w:rsidRPr="00246EC3">
        <w:t>Každ</w:t>
      </w:r>
      <w:r w:rsidR="00CF62AC">
        <w:t>á ze Smluvních stran</w:t>
      </w:r>
      <w:r w:rsidRPr="00246EC3">
        <w:t xml:space="preserve"> se zavazuje archivovat </w:t>
      </w:r>
      <w:r w:rsidR="008466B7" w:rsidRPr="00246EC3">
        <w:t>dokumenty</w:t>
      </w:r>
      <w:r w:rsidRPr="00246EC3">
        <w:t xml:space="preserve"> související s Projektem po dobu </w:t>
      </w:r>
      <w:r w:rsidRPr="0018561D">
        <w:t xml:space="preserve">nejméně </w:t>
      </w:r>
      <w:r w:rsidR="00214253" w:rsidRPr="0018561D">
        <w:t>10</w:t>
      </w:r>
      <w:r w:rsidR="00AC5083" w:rsidRPr="0018561D">
        <w:t xml:space="preserve"> let</w:t>
      </w:r>
      <w:r w:rsidR="00AC5083">
        <w:t xml:space="preserve"> od ukončení Projektu.</w:t>
      </w:r>
    </w:p>
    <w:p w14:paraId="7AEDA1DE" w14:textId="77777777" w:rsidR="00571C60" w:rsidRPr="00246EC3" w:rsidRDefault="00571C60" w:rsidP="000C03A5">
      <w:pPr>
        <w:pStyle w:val="FormtovanvHTML"/>
        <w:keepNext/>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lastRenderedPageBreak/>
        <w:t>Článek VI</w:t>
      </w:r>
      <w:r w:rsidR="008466B7" w:rsidRPr="00246EC3">
        <w:rPr>
          <w:rFonts w:ascii="Times New Roman" w:hAnsi="Times New Roman" w:cs="Times New Roman"/>
          <w:b/>
          <w:color w:val="auto"/>
          <w:sz w:val="24"/>
          <w:szCs w:val="24"/>
        </w:rPr>
        <w:t>I</w:t>
      </w:r>
      <w:r w:rsidR="00CF62AC">
        <w:rPr>
          <w:rFonts w:ascii="Times New Roman" w:hAnsi="Times New Roman" w:cs="Times New Roman"/>
          <w:b/>
          <w:color w:val="auto"/>
          <w:sz w:val="24"/>
          <w:szCs w:val="24"/>
        </w:rPr>
        <w:t>I</w:t>
      </w:r>
    </w:p>
    <w:p w14:paraId="0967BF9B" w14:textId="77777777" w:rsidR="00571C60" w:rsidRPr="00246EC3" w:rsidRDefault="00571C60" w:rsidP="000C03A5">
      <w:pPr>
        <w:pStyle w:val="FormtovanvHTML"/>
        <w:keepNext/>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Práva a povinnosti účastníků ve věcech finančních</w:t>
      </w:r>
    </w:p>
    <w:p w14:paraId="6C2E5DD2" w14:textId="77777777" w:rsidR="00CF62AC" w:rsidRDefault="00CF62AC" w:rsidP="0027513F">
      <w:pPr>
        <w:keepNext/>
        <w:numPr>
          <w:ilvl w:val="1"/>
          <w:numId w:val="17"/>
        </w:numPr>
        <w:tabs>
          <w:tab w:val="clear" w:pos="360"/>
        </w:tabs>
        <w:spacing w:before="120"/>
        <w:ind w:left="539" w:hanging="539"/>
        <w:jc w:val="both"/>
      </w:pPr>
      <w:r w:rsidRPr="00CF62AC">
        <w:t xml:space="preserve">Uznanými náklady Projektu se rozumí způsobilé náklady vynaložené na činnosti uvedené v ust. § 2 odst. 2 písm. l) </w:t>
      </w:r>
      <w:r w:rsidR="007D6801">
        <w:t>ZPVV</w:t>
      </w:r>
      <w:r w:rsidRPr="00CF62AC">
        <w:t xml:space="preserve">, které Poskytovatel schválil a které jsou zdůvodněné. </w:t>
      </w:r>
      <w:r>
        <w:t>Uznané n</w:t>
      </w:r>
      <w:r w:rsidRPr="00246EC3">
        <w:t xml:space="preserve">áklady Projektu dle schváleného rozpočtu jsou uvedeny </w:t>
      </w:r>
      <w:r w:rsidR="00804F96">
        <w:t>v </w:t>
      </w:r>
      <w:r w:rsidR="00804F96" w:rsidRPr="00804F96">
        <w:rPr>
          <w:b/>
        </w:rPr>
        <w:t>Příloze č. 1 – Závazné parametry řešení</w:t>
      </w:r>
      <w:r w:rsidR="00804F96">
        <w:t>.</w:t>
      </w:r>
    </w:p>
    <w:p w14:paraId="49D22A30" w14:textId="77777777" w:rsidR="009C0025" w:rsidRPr="00AF7BA0" w:rsidRDefault="009C0025" w:rsidP="0027513F">
      <w:pPr>
        <w:numPr>
          <w:ilvl w:val="1"/>
          <w:numId w:val="6"/>
        </w:numPr>
        <w:tabs>
          <w:tab w:val="clear" w:pos="360"/>
        </w:tabs>
        <w:spacing w:before="120"/>
        <w:ind w:left="539" w:hanging="539"/>
        <w:jc w:val="both"/>
      </w:pPr>
      <w:r w:rsidRPr="00AF7BA0">
        <w:t xml:space="preserve">Plánovanou část dotace převede </w:t>
      </w:r>
      <w:r w:rsidR="00886C8D" w:rsidRPr="00AF7BA0">
        <w:t xml:space="preserve">Hlavní příjemce </w:t>
      </w:r>
      <w:r w:rsidRPr="00AF7BA0">
        <w:t>Dalším</w:t>
      </w:r>
      <w:r w:rsidR="001010FB" w:rsidRPr="00AF7BA0">
        <w:t>u</w:t>
      </w:r>
      <w:r w:rsidRPr="00AF7BA0">
        <w:t xml:space="preserve"> účastník</w:t>
      </w:r>
      <w:r w:rsidR="0017173B" w:rsidRPr="00AF7BA0">
        <w:t>ovi</w:t>
      </w:r>
      <w:r w:rsidRPr="00AF7BA0">
        <w:t xml:space="preserve"> projektu po podpisu Smlouvy a do </w:t>
      </w:r>
      <w:r w:rsidR="00A246AC" w:rsidRPr="00AF7BA0">
        <w:t>30</w:t>
      </w:r>
      <w:r w:rsidRPr="00AF7BA0">
        <w:t xml:space="preserve"> dnů ode dne doručení dotace pro příslušný kalendářní rok na účet </w:t>
      </w:r>
      <w:r w:rsidR="00886C8D" w:rsidRPr="00AF7BA0">
        <w:t xml:space="preserve">Hlavního příjemce </w:t>
      </w:r>
      <w:r w:rsidRPr="00AF7BA0">
        <w:t xml:space="preserve">na základě smlouvy o poskytnutí účelové podpory mezi Poskytovatelem a </w:t>
      </w:r>
      <w:r w:rsidR="00886C8D" w:rsidRPr="00AF7BA0">
        <w:t>Hlavním příjemcem</w:t>
      </w:r>
      <w:r w:rsidRPr="00AF7BA0">
        <w:t>.</w:t>
      </w:r>
    </w:p>
    <w:p w14:paraId="1EA958AB" w14:textId="77777777" w:rsidR="00EE5C61" w:rsidRPr="00AF7BA0" w:rsidRDefault="00EE5C61" w:rsidP="0027513F">
      <w:pPr>
        <w:numPr>
          <w:ilvl w:val="1"/>
          <w:numId w:val="6"/>
        </w:numPr>
        <w:tabs>
          <w:tab w:val="clear" w:pos="360"/>
        </w:tabs>
        <w:spacing w:before="120"/>
        <w:ind w:left="539" w:hanging="539"/>
        <w:jc w:val="both"/>
      </w:pPr>
      <w:r w:rsidRPr="00AF7BA0">
        <w:t xml:space="preserve">Bankovní spojení </w:t>
      </w:r>
      <w:r w:rsidR="00C0249D" w:rsidRPr="00AF7BA0">
        <w:t>Dalšíh</w:t>
      </w:r>
      <w:r w:rsidR="001010FB" w:rsidRPr="00AF7BA0">
        <w:t>o</w:t>
      </w:r>
      <w:r w:rsidR="00C0249D" w:rsidRPr="00AF7BA0">
        <w:t xml:space="preserve"> účastník</w:t>
      </w:r>
      <w:r w:rsidR="001010FB" w:rsidRPr="00AF7BA0">
        <w:t>a</w:t>
      </w:r>
      <w:r w:rsidR="00C0249D" w:rsidRPr="00AF7BA0">
        <w:t xml:space="preserve"> projektu </w:t>
      </w:r>
      <w:r w:rsidR="001010FB" w:rsidRPr="00AF7BA0">
        <w:t>je</w:t>
      </w:r>
      <w:r w:rsidRPr="00AF7BA0">
        <w:t xml:space="preserve"> uveden</w:t>
      </w:r>
      <w:r w:rsidR="001010FB" w:rsidRPr="00AF7BA0">
        <w:t>o</w:t>
      </w:r>
      <w:r w:rsidRPr="00AF7BA0">
        <w:t xml:space="preserve"> v</w:t>
      </w:r>
      <w:r w:rsidR="009C0025" w:rsidRPr="00AF7BA0">
        <w:t> čl. I</w:t>
      </w:r>
      <w:r w:rsidR="006C4B25" w:rsidRPr="00AF7BA0">
        <w:t>.</w:t>
      </w:r>
      <w:r w:rsidRPr="00AF7BA0">
        <w:t xml:space="preserve"> Smlouvy</w:t>
      </w:r>
      <w:r w:rsidR="007A796F" w:rsidRPr="00AF7BA0">
        <w:t xml:space="preserve">. </w:t>
      </w:r>
    </w:p>
    <w:p w14:paraId="61BB5ACE" w14:textId="77777777" w:rsidR="000614BC" w:rsidRDefault="000614BC" w:rsidP="000614BC">
      <w:pPr>
        <w:numPr>
          <w:ilvl w:val="1"/>
          <w:numId w:val="6"/>
        </w:numPr>
        <w:tabs>
          <w:tab w:val="clear" w:pos="360"/>
          <w:tab w:val="num" w:pos="567"/>
        </w:tabs>
        <w:spacing w:before="120"/>
        <w:ind w:left="567" w:hanging="567"/>
        <w:jc w:val="both"/>
      </w:pPr>
      <w:r>
        <w:t>Smluvní strany se zavazují, že při realizaci Projektu budou při nákupu veškerého zboží nebo služeb od třetích osob postupovat v souladu se zákonem č. 134/2016 Sb., o zadávání veřejných zakázek, ve znění pozdějších předpisů nebo předpisů jej měnících či nahrazujících.</w:t>
      </w:r>
    </w:p>
    <w:p w14:paraId="6B978400" w14:textId="77777777" w:rsidR="000614BC" w:rsidRDefault="000614BC" w:rsidP="000614BC">
      <w:pPr>
        <w:numPr>
          <w:ilvl w:val="1"/>
          <w:numId w:val="6"/>
        </w:numPr>
        <w:tabs>
          <w:tab w:val="clear" w:pos="360"/>
          <w:tab w:val="num" w:pos="567"/>
        </w:tabs>
        <w:spacing w:before="120"/>
        <w:ind w:left="567" w:hanging="567"/>
        <w:jc w:val="both"/>
      </w:pPr>
      <w:r>
        <w:t>Smluvní strany se zavazují použít účelovou podporu v souladu se zákonem č. 218/2000 Sb., o rozpočtových pravidlech a o změně některých souvisejících zákonů (rozpočtová pravidla), ve znění pozdějších předpisů a ZPVV, vždy do konce příslušného kalendářního roku výhradně k úhradě prokazatelných, nezbytně nutných nákladů přímo souvisejících s plněním cílů a parametrů předmětného Projektu, a to přímou platbou dodavatelům z bankovního účtu.</w:t>
      </w:r>
    </w:p>
    <w:p w14:paraId="2EAFD4CF" w14:textId="77777777" w:rsidR="000614BC" w:rsidRDefault="000614BC" w:rsidP="000614BC">
      <w:pPr>
        <w:numPr>
          <w:ilvl w:val="1"/>
          <w:numId w:val="6"/>
        </w:numPr>
        <w:tabs>
          <w:tab w:val="clear" w:pos="360"/>
          <w:tab w:val="num" w:pos="567"/>
        </w:tabs>
        <w:spacing w:before="120"/>
        <w:ind w:left="567" w:hanging="567"/>
        <w:jc w:val="both"/>
      </w:pPr>
      <w:r>
        <w:t>Další účastník Projektu je povinen předložit Hlavnímu příjemci za každý rok řešení výkazy způsobilých nákladů. Výkazy způsobilých nákladů Projektu se rozumí výkazy, které zachycují a prokazují čerpání způsobilých nákladů Dalším účastníkem Projektu v souladu se schváleným návrhem Projektu a Smlouvou.</w:t>
      </w:r>
    </w:p>
    <w:p w14:paraId="2A83D6C0" w14:textId="77777777" w:rsidR="000614BC" w:rsidRDefault="000614BC" w:rsidP="000614BC">
      <w:pPr>
        <w:numPr>
          <w:ilvl w:val="1"/>
          <w:numId w:val="6"/>
        </w:numPr>
        <w:tabs>
          <w:tab w:val="clear" w:pos="360"/>
          <w:tab w:val="num" w:pos="567"/>
        </w:tabs>
        <w:spacing w:before="120"/>
        <w:ind w:left="567" w:hanging="567"/>
        <w:jc w:val="both"/>
      </w:pPr>
      <w:r>
        <w:t>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vést i evidenci o užití pořízeného dlouhodobého nehmotného majetku a na základě ročního využití tyto prostředky vyúčtovat. Tuto evidenci uchovávat po dobu 10 let od ukončení řešení Projektu. Při vedení této účetní evidence je Další účastník projektu povinen dodržovat běžné účetní zvyklosti a příslušné závazné podmínky uvedené v zásadách, pokynech, směrnicích nebo v jiných předpisech, uveřejněných ve Finančním zpravodaji Ministerstva financí, nebo jiným obdobným způsobem. Stanoví-li tak Hlavní příjemce, je Další účastník projektu povinen předložit účetnictví k auditu.</w:t>
      </w:r>
    </w:p>
    <w:p w14:paraId="1ED25D84" w14:textId="77777777" w:rsidR="000614BC" w:rsidRDefault="000614BC" w:rsidP="000614BC">
      <w:pPr>
        <w:numPr>
          <w:ilvl w:val="1"/>
          <w:numId w:val="6"/>
        </w:numPr>
        <w:tabs>
          <w:tab w:val="clear" w:pos="360"/>
          <w:tab w:val="num" w:pos="567"/>
        </w:tabs>
        <w:spacing w:before="120"/>
        <w:ind w:left="567" w:hanging="567"/>
        <w:jc w:val="both"/>
      </w:pPr>
      <w:r>
        <w:t>Nedojde-li k poskytnutí příslušné části dotace Poskytovatelem Hlavnímu příjemci nebo dojde-li k opožděnému poskytnutí příslušné části dotace Poskytovatelem Hlavnímu příjemci v důsledku rozpočtového provizoria podle zvláštního právního předpisu nebo v důsledku aplikace jiného právního předpisu, Hlavní příjemce neodpovídá Dalšímu účastníkovi projektu za škodu, která vznikla Dalšímu účastníkovi projektu jako důsledek této situace.</w:t>
      </w:r>
    </w:p>
    <w:p w14:paraId="075A5BA9" w14:textId="77777777" w:rsidR="000614BC" w:rsidRDefault="000614BC" w:rsidP="000614BC">
      <w:pPr>
        <w:numPr>
          <w:ilvl w:val="1"/>
          <w:numId w:val="6"/>
        </w:numPr>
        <w:tabs>
          <w:tab w:val="clear" w:pos="360"/>
          <w:tab w:val="num" w:pos="567"/>
        </w:tabs>
        <w:spacing w:before="120"/>
        <w:ind w:left="567" w:hanging="567"/>
        <w:jc w:val="both"/>
      </w:pPr>
      <w:r>
        <w:t>Pokud vznikne při provádění Projektu finanční ztráta, tuto ztrátu nese každá ze Smluvních stran sama za tu část Projektu, za níž nese odpovědnost.</w:t>
      </w:r>
    </w:p>
    <w:p w14:paraId="7645CC1A" w14:textId="77777777" w:rsidR="00EF4ACF" w:rsidRDefault="00EF4ACF" w:rsidP="00C15107">
      <w:pPr>
        <w:pStyle w:val="FormtovanvHTML"/>
        <w:spacing w:before="240" w:after="120"/>
        <w:ind w:left="-85"/>
        <w:jc w:val="center"/>
        <w:rPr>
          <w:rFonts w:ascii="Times New Roman" w:hAnsi="Times New Roman" w:cs="Times New Roman"/>
          <w:b/>
          <w:color w:val="auto"/>
          <w:sz w:val="24"/>
          <w:szCs w:val="24"/>
        </w:rPr>
      </w:pPr>
    </w:p>
    <w:p w14:paraId="307B198B" w14:textId="1220255B" w:rsidR="00C15107" w:rsidRPr="00246EC3" w:rsidRDefault="00C15107" w:rsidP="00C15107">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lastRenderedPageBreak/>
        <w:t xml:space="preserve">Článek </w:t>
      </w:r>
      <w:r>
        <w:rPr>
          <w:rFonts w:ascii="Times New Roman" w:hAnsi="Times New Roman" w:cs="Times New Roman"/>
          <w:b/>
          <w:color w:val="auto"/>
          <w:sz w:val="24"/>
          <w:szCs w:val="24"/>
        </w:rPr>
        <w:t>IX</w:t>
      </w:r>
    </w:p>
    <w:p w14:paraId="7D8FB758" w14:textId="77777777" w:rsidR="00C15107" w:rsidRPr="00246EC3" w:rsidRDefault="00C15107" w:rsidP="00C15107">
      <w:pPr>
        <w:pStyle w:val="FormtovanvHTML"/>
        <w:spacing w:after="120"/>
        <w:ind w:left="-85"/>
        <w:jc w:val="center"/>
        <w:rPr>
          <w:rFonts w:ascii="Times New Roman" w:hAnsi="Times New Roman" w:cs="Times New Roman"/>
          <w:b/>
          <w:color w:val="auto"/>
          <w:sz w:val="24"/>
          <w:szCs w:val="24"/>
        </w:rPr>
      </w:pPr>
      <w:r>
        <w:rPr>
          <w:rFonts w:ascii="Times New Roman" w:hAnsi="Times New Roman" w:cs="Times New Roman"/>
          <w:b/>
          <w:color w:val="auto"/>
          <w:sz w:val="24"/>
          <w:szCs w:val="24"/>
        </w:rPr>
        <w:t>Práva k hmotnému majetku</w:t>
      </w:r>
    </w:p>
    <w:p w14:paraId="0D79A09C" w14:textId="77777777" w:rsidR="00C15107" w:rsidRDefault="00C15107" w:rsidP="003B4A27">
      <w:pPr>
        <w:numPr>
          <w:ilvl w:val="1"/>
          <w:numId w:val="8"/>
        </w:numPr>
        <w:tabs>
          <w:tab w:val="clear" w:pos="360"/>
        </w:tabs>
        <w:spacing w:before="120"/>
        <w:ind w:left="539" w:hanging="539"/>
        <w:jc w:val="both"/>
      </w:pPr>
      <w:r>
        <w:t xml:space="preserve">Vlastníkem hmotného majetku (infrastruktury), nutného k řešení části Projektu a pořízeného z poskytnuté dotace je ta Smluvní strana, která se na řešení dané části Projektu podílí. Pokud došlo k pořízení hmotného majetku společně </w:t>
      </w:r>
      <w:r w:rsidR="00E24518">
        <w:t xml:space="preserve">více </w:t>
      </w:r>
      <w:r>
        <w:t>Smluvními stranami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0E133B0B" w14:textId="77777777" w:rsidR="00C15107" w:rsidRDefault="00C15107" w:rsidP="003B4A27">
      <w:pPr>
        <w:numPr>
          <w:ilvl w:val="1"/>
          <w:numId w:val="8"/>
        </w:numPr>
        <w:tabs>
          <w:tab w:val="clear" w:pos="360"/>
        </w:tabs>
        <w:spacing w:before="120"/>
        <w:ind w:left="539" w:hanging="539"/>
        <w:jc w:val="both"/>
      </w:pPr>
      <w:r>
        <w:t>Po dobu realizace Projektu nejsou Smluvní strany oprávněny bez souhlasu Poskytovatele s hmotným majetkem podle odst. 9.1 tohoto článku disponovat ve prospěch třetí osoby, zejména pak nejsou oprávněny tento hmotný majetek zcizit, převést, zatížit, pronajmout, půjčit či zapůjčit.</w:t>
      </w:r>
    </w:p>
    <w:p w14:paraId="12CCDB95" w14:textId="77777777" w:rsidR="00C15107" w:rsidRPr="00246EC3" w:rsidRDefault="00C15107" w:rsidP="003B4A27">
      <w:pPr>
        <w:numPr>
          <w:ilvl w:val="1"/>
          <w:numId w:val="8"/>
        </w:numPr>
        <w:tabs>
          <w:tab w:val="clear" w:pos="360"/>
        </w:tabs>
        <w:spacing w:before="120"/>
        <w:ind w:left="539" w:hanging="539"/>
        <w:jc w:val="both"/>
      </w:pPr>
      <w:r>
        <w:t>Hmotný majetek podle odst. 9.1 jsou Smluvní strany oprávněny využívat pro řešení Projektu bezplatně.</w:t>
      </w:r>
    </w:p>
    <w:p w14:paraId="58109AA6" w14:textId="77777777" w:rsidR="0016292A" w:rsidRPr="00246EC3" w:rsidRDefault="0016292A" w:rsidP="002262FA">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 xml:space="preserve">Článek </w:t>
      </w:r>
      <w:r w:rsidR="00C15107">
        <w:rPr>
          <w:rFonts w:ascii="Times New Roman" w:hAnsi="Times New Roman" w:cs="Times New Roman"/>
          <w:b/>
          <w:color w:val="auto"/>
          <w:sz w:val="24"/>
          <w:szCs w:val="24"/>
        </w:rPr>
        <w:t>X</w:t>
      </w:r>
    </w:p>
    <w:p w14:paraId="1009C300" w14:textId="77777777" w:rsidR="0016292A" w:rsidRPr="00246EC3" w:rsidRDefault="0016292A" w:rsidP="00AC1828">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Duševní vlastnictví</w:t>
      </w:r>
    </w:p>
    <w:p w14:paraId="618A91AB" w14:textId="77777777" w:rsidR="00C73902" w:rsidRPr="00C446AD" w:rsidRDefault="00C446AD" w:rsidP="003B4A27">
      <w:pPr>
        <w:widowControl w:val="0"/>
        <w:autoSpaceDE w:val="0"/>
        <w:autoSpaceDN w:val="0"/>
        <w:adjustRightInd w:val="0"/>
        <w:spacing w:before="120"/>
        <w:ind w:left="567" w:hanging="705"/>
        <w:jc w:val="both"/>
        <w:rPr>
          <w:bCs/>
          <w:highlight w:val="green"/>
        </w:rPr>
      </w:pPr>
      <w:r>
        <w:t>10.1</w:t>
      </w:r>
      <w:r>
        <w:tab/>
      </w:r>
      <w:r w:rsidR="00C73902" w:rsidRPr="00246EC3">
        <w:t xml:space="preserve">Právní vztahy vzniklé v souvislosti s ochranou průmyslového vlastnictví vytvořeného při plnění účelu </w:t>
      </w:r>
      <w:r w:rsidR="00BC04B8">
        <w:t>S</w:t>
      </w:r>
      <w:r w:rsidR="00C73902" w:rsidRPr="00246EC3">
        <w:t>mlouvy se řídí obecně závaznými právními předpisy České republiky, zejména zákonem č. 527/1990 Sb., o vynálezech a zlepšovacích návrzích, ve znění pozdějších předpisů, zákonem č. 207/2000 Sb., o ochraně průmyslových vzorů, ve znění pozdějších předpisů, zákonem č. 478/1992 Sb., o užitných vzorech, ve znění pozdějších předpisů, zákonem č. 221/2006 Sb., o vymáhání práv z průmyslového vlastnictví a o změně zákonů na ochranu průmyslového vlastnictví, zákonem č. 206/2000 Sb., o ochraně biotechnologických vynálezů, zákonem č. 441/2003 Sb., o ochranných známkách, ve znění pozdějších předpisů</w:t>
      </w:r>
      <w:r w:rsidR="00C84A36">
        <w:t>,</w:t>
      </w:r>
      <w:r w:rsidR="004C3DC2" w:rsidRPr="004C3DC2">
        <w:t xml:space="preserve"> </w:t>
      </w:r>
      <w:r w:rsidR="00E30418">
        <w:t>ZPVV v platném znění</w:t>
      </w:r>
      <w:r w:rsidRPr="00A85F05">
        <w:rPr>
          <w:bCs/>
        </w:rPr>
        <w:t>.</w:t>
      </w:r>
    </w:p>
    <w:p w14:paraId="1C032F94" w14:textId="77777777" w:rsidR="00C73902" w:rsidRPr="00246EC3" w:rsidRDefault="00BC04B8" w:rsidP="003B4A27">
      <w:pPr>
        <w:numPr>
          <w:ilvl w:val="1"/>
          <w:numId w:val="22"/>
        </w:numPr>
        <w:spacing w:before="120"/>
        <w:ind w:left="567" w:hanging="567"/>
        <w:jc w:val="both"/>
      </w:pPr>
      <w:r>
        <w:t>S</w:t>
      </w:r>
      <w:r w:rsidR="00C73902" w:rsidRPr="00246EC3">
        <w:t xml:space="preserve">mlouva upravuje práva </w:t>
      </w:r>
      <w:r w:rsidR="00032F22">
        <w:t>S</w:t>
      </w:r>
      <w:r w:rsidR="00C73902" w:rsidRPr="00246EC3">
        <w:t xml:space="preserve">mluvních stran </w:t>
      </w:r>
      <w:r w:rsidR="00EE5C61" w:rsidRPr="00246EC3">
        <w:t>k předmětům</w:t>
      </w:r>
      <w:r w:rsidR="00C73902" w:rsidRPr="00246EC3">
        <w:t xml:space="preserve"> průmyslového vlastnictví</w:t>
      </w:r>
      <w:r w:rsidR="00C446AD">
        <w:t xml:space="preserve"> </w:t>
      </w:r>
      <w:r w:rsidR="00C73902" w:rsidRPr="00246EC3">
        <w:t xml:space="preserve">existující před uzavřením </w:t>
      </w:r>
      <w:r>
        <w:t>S</w:t>
      </w:r>
      <w:r w:rsidR="00C73902" w:rsidRPr="00246EC3">
        <w:t xml:space="preserve">mlouvy a stanoví pravidla užití těchto předmětů pro účely realizace Projektu, dále </w:t>
      </w:r>
      <w:r>
        <w:t>S</w:t>
      </w:r>
      <w:r w:rsidR="00C73902" w:rsidRPr="00246EC3">
        <w:t xml:space="preserve">mlouva upravuje práva na vytvořené předměty průmyslového vlastnictví, které vzniknou v průběhu trvání </w:t>
      </w:r>
      <w:r>
        <w:t>S</w:t>
      </w:r>
      <w:r w:rsidR="00C73902" w:rsidRPr="00246EC3">
        <w:t xml:space="preserve">mlouvy a stanou se vlastnictvím </w:t>
      </w:r>
      <w:r w:rsidR="00773345">
        <w:t>S</w:t>
      </w:r>
      <w:r w:rsidR="00C73902" w:rsidRPr="00246EC3">
        <w:t>mluvních stran, které je vytvoří.</w:t>
      </w:r>
    </w:p>
    <w:p w14:paraId="41450E2B" w14:textId="77777777" w:rsidR="00C73902" w:rsidRDefault="00C73902" w:rsidP="003B4A27">
      <w:pPr>
        <w:numPr>
          <w:ilvl w:val="1"/>
          <w:numId w:val="22"/>
        </w:numPr>
        <w:spacing w:before="120"/>
        <w:ind w:left="567" w:hanging="567"/>
        <w:jc w:val="both"/>
      </w:pPr>
      <w:r w:rsidRPr="00246EC3">
        <w:t xml:space="preserve">Předmětem průmyslového vlastnictví se pro účely </w:t>
      </w:r>
      <w:r w:rsidR="00BC04B8">
        <w:t>S</w:t>
      </w:r>
      <w:r w:rsidRPr="00246EC3">
        <w:t xml:space="preserve">mlouvy rozumí jakýkoli výsledek duševní činnosti, na jehož základě vznikne nehmotný statek, který je objektivně zachytitelný, který má faktickou či potencionální výrobní, průmyslovou či vědeckou hodnotu. Jedná se zejména o vynálezy, technická řešení chráněná užitným vzorem, průmyslové vzory, zlepšovací návrhy, biotechnologické vynálezy, ochranné známky, </w:t>
      </w:r>
      <w:r w:rsidRPr="00FD4A0A">
        <w:t>know-how a další výsledky duševní činnosti</w:t>
      </w:r>
      <w:r w:rsidR="00F9160F" w:rsidRPr="00FD4A0A">
        <w:t>.</w:t>
      </w:r>
      <w:r w:rsidR="00223D29">
        <w:t xml:space="preserve"> Podmínkou vzniku právní ochrany k danému předmětu průmyslového vlastnictví je vždy formální zápis do stanoveného </w:t>
      </w:r>
      <w:r w:rsidR="000F6978">
        <w:t xml:space="preserve">veřejného </w:t>
      </w:r>
      <w:r w:rsidR="00223D29">
        <w:t>rejstříku.</w:t>
      </w:r>
    </w:p>
    <w:p w14:paraId="113D5374" w14:textId="77777777" w:rsidR="00FD4A0A" w:rsidRDefault="00FD4A0A" w:rsidP="003B4A27">
      <w:pPr>
        <w:numPr>
          <w:ilvl w:val="1"/>
          <w:numId w:val="22"/>
        </w:numPr>
        <w:spacing w:before="120"/>
        <w:ind w:left="540" w:hanging="540"/>
        <w:jc w:val="both"/>
      </w:pPr>
      <w:r>
        <w:t xml:space="preserve">Předměty </w:t>
      </w:r>
      <w:r w:rsidRPr="00FD4A0A">
        <w:t xml:space="preserve">průmyslového vlastnictví, které jsou ve vlastnictví jednotlivých </w:t>
      </w:r>
      <w:r w:rsidR="00773345">
        <w:t>S</w:t>
      </w:r>
      <w:r w:rsidRPr="00FD4A0A">
        <w:t xml:space="preserve">mluvních stran před uzavřením Smlouvy a které jsou potřebné pro realizaci Projektu nebo pro užívání jeho výsledků, zůstávají ve vlastnictví </w:t>
      </w:r>
      <w:r w:rsidR="00E90C8D">
        <w:t>Hlavního příjemce</w:t>
      </w:r>
      <w:r w:rsidR="00E90C8D" w:rsidRPr="00FD4A0A">
        <w:t xml:space="preserve"> </w:t>
      </w:r>
      <w:r w:rsidRPr="00FD4A0A">
        <w:t>nebo Dalšího účastníka projektu nebo Další účastník projektu umožní využívání předmětů průmyslového vlastnictví jemu náležících ostatním Smluvním stranám v rozsahu potřebném pro účely realizace Projektu.</w:t>
      </w:r>
    </w:p>
    <w:p w14:paraId="78B735B8" w14:textId="77777777" w:rsidR="008F7BA1" w:rsidRPr="00246EC3" w:rsidRDefault="008F7BA1" w:rsidP="003B4A27">
      <w:pPr>
        <w:numPr>
          <w:ilvl w:val="1"/>
          <w:numId w:val="22"/>
        </w:numPr>
        <w:spacing w:before="120"/>
        <w:ind w:left="540" w:hanging="540"/>
        <w:jc w:val="both"/>
      </w:pPr>
      <w:r w:rsidRPr="00246EC3">
        <w:lastRenderedPageBreak/>
        <w:t xml:space="preserve">Smluvní strany se dohodly na tom, že duševní vlastnictví vzniklé při plnění úkolů v rámci Projektu je majetkem té </w:t>
      </w:r>
      <w:r w:rsidR="00032F22">
        <w:t>S</w:t>
      </w:r>
      <w:r w:rsidR="001B20CC">
        <w:t xml:space="preserve">mluvní strany, jejíž </w:t>
      </w:r>
      <w:r w:rsidR="001B20CC" w:rsidRPr="00A85F05">
        <w:t>zaměstnanci</w:t>
      </w:r>
      <w:r w:rsidRPr="00246EC3">
        <w:t xml:space="preserve"> duševní vlastnictví vytvořili. Smluvní strany si navzájem oznámí vytvoření duševního vlastnictví a Smluvní strana, která je majitelem takového duševního vlastnictví nese náklady spojené s podáním přihlášek a vedením příslušných řízení.</w:t>
      </w:r>
      <w:r w:rsidR="001B69A0">
        <w:t xml:space="preserve"> Smluvní strany berou na vědomí, že podmínkou vzniku právní ochrany k danému předmětu průmyslového vlastnictví je vždy formální zápis do stanoveného veřejného rejstříku.</w:t>
      </w:r>
    </w:p>
    <w:p w14:paraId="2794D6F8" w14:textId="77777777" w:rsidR="008F7BA1" w:rsidRPr="00246EC3" w:rsidRDefault="008F7BA1" w:rsidP="003B4A27">
      <w:pPr>
        <w:numPr>
          <w:ilvl w:val="1"/>
          <w:numId w:val="22"/>
        </w:numPr>
        <w:spacing w:before="120"/>
        <w:ind w:left="540" w:hanging="540"/>
        <w:jc w:val="both"/>
      </w:pPr>
      <w:r w:rsidRPr="00246EC3">
        <w:t>Vznikne-li duševní vlastnictví při plnění úkolů v rámci Proje</w:t>
      </w:r>
      <w:r w:rsidR="002F6876">
        <w:t xml:space="preserve">ktu prokazatelně spoluprací </w:t>
      </w:r>
      <w:r w:rsidR="002F6876" w:rsidRPr="00A85F05">
        <w:t>zaměstnanců</w:t>
      </w:r>
      <w:r w:rsidRPr="00246EC3">
        <w:t xml:space="preserve"> </w:t>
      </w:r>
      <w:r w:rsidR="00B2641E">
        <w:t xml:space="preserve">více </w:t>
      </w:r>
      <w:r w:rsidR="00032F22">
        <w:t>S</w:t>
      </w:r>
      <w:r w:rsidRPr="00246EC3">
        <w:t xml:space="preserve">mluvních stran, je toto duševní vlastnictví společným majetkem </w:t>
      </w:r>
      <w:r w:rsidR="00B2641E">
        <w:t xml:space="preserve">daných </w:t>
      </w:r>
      <w:r w:rsidR="00032F22">
        <w:t>S</w:t>
      </w:r>
      <w:r w:rsidRPr="00246EC3">
        <w:t xml:space="preserve">mluvních stran, a to v tom poměru majetkových podílů, v jakém se na vytvoření duševního vlastnictví podíleli </w:t>
      </w:r>
      <w:r w:rsidR="003016B3" w:rsidRPr="00A85F05">
        <w:t>zaměstnanci</w:t>
      </w:r>
      <w:r w:rsidRPr="00246EC3">
        <w:t xml:space="preserve"> každé ze </w:t>
      </w:r>
      <w:r w:rsidR="00032F22">
        <w:t>S</w:t>
      </w:r>
      <w:r w:rsidRPr="00246EC3">
        <w:t>mluvních stran. Smluvní strany jsou si vzájemně nápomocny při přípravě podání</w:t>
      </w:r>
      <w:r w:rsidR="00A2752C" w:rsidRPr="00246EC3">
        <w:t xml:space="preserve"> přihlášek, a to i zahraničních. </w:t>
      </w:r>
      <w:r w:rsidRPr="00246EC3">
        <w:t>Smluvní strany se v poměru jejich spoluvlastnických podílů podílejí na nákladech spojených s podáním přihlášek a vedením příslušných řízení.</w:t>
      </w:r>
      <w:r w:rsidR="005546EC" w:rsidRPr="005546EC">
        <w:t xml:space="preserve"> </w:t>
      </w:r>
      <w:r w:rsidR="005546EC">
        <w:t>Smluvní strany berou na vědomí, že podmínkou vzniku právní ochrany k danému předmětu průmyslového vlastnictví je vždy formální zápis do stanoveného veřejného rejstříku.</w:t>
      </w:r>
    </w:p>
    <w:p w14:paraId="1407BD24" w14:textId="77777777" w:rsidR="008F7BA1" w:rsidRPr="00246EC3" w:rsidRDefault="008F7BA1" w:rsidP="003B4A27">
      <w:pPr>
        <w:numPr>
          <w:ilvl w:val="1"/>
          <w:numId w:val="22"/>
        </w:numPr>
        <w:spacing w:before="120"/>
        <w:ind w:left="540" w:hanging="540"/>
        <w:jc w:val="both"/>
      </w:pPr>
      <w:r w:rsidRPr="00246EC3">
        <w:t xml:space="preserve">Nebude-li </w:t>
      </w:r>
      <w:r w:rsidR="00243F57">
        <w:t>některá</w:t>
      </w:r>
      <w:r w:rsidR="00243F57" w:rsidRPr="00246EC3">
        <w:t xml:space="preserve"> </w:t>
      </w:r>
      <w:r w:rsidRPr="00246EC3">
        <w:t xml:space="preserve">ze </w:t>
      </w:r>
      <w:r w:rsidR="004F6BF3">
        <w:t>S</w:t>
      </w:r>
      <w:r w:rsidRPr="00246EC3">
        <w:t>mluvních stran m</w:t>
      </w:r>
      <w:r w:rsidR="009A650A">
        <w:t xml:space="preserve">ít zájem na podání přihlášky, </w:t>
      </w:r>
      <w:r w:rsidR="00243F57">
        <w:t xml:space="preserve">mohou ostatní </w:t>
      </w:r>
      <w:r w:rsidR="00032F22">
        <w:t xml:space="preserve">Smluvní </w:t>
      </w:r>
      <w:r w:rsidRPr="00246EC3">
        <w:t>stran</w:t>
      </w:r>
      <w:r w:rsidR="00243F57">
        <w:t>y</w:t>
      </w:r>
      <w:r w:rsidRPr="00246EC3">
        <w:t xml:space="preserve"> požádat o převedení práva na podání takové přihlášky na sebe. Smluvní strany </w:t>
      </w:r>
      <w:r w:rsidR="00F9160F" w:rsidRPr="00246EC3">
        <w:t>před převodem projednají podmínky</w:t>
      </w:r>
      <w:r w:rsidRPr="00246EC3">
        <w:t xml:space="preserve"> převedení práva podat přihlášku. Smluvní strany jsou si vzájemně nápomocny při přípravě podání přihlášek, a to i zahraničních. Smluvní strana, na kterou</w:t>
      </w:r>
      <w:r w:rsidR="00EE1D68">
        <w:t>/na které</w:t>
      </w:r>
      <w:r w:rsidRPr="00246EC3">
        <w:t xml:space="preserve"> je převedeno právo k podání přihlášky nese náklady spojené s podáním přihlášky a vedením příslušných řízení.</w:t>
      </w:r>
    </w:p>
    <w:p w14:paraId="07EFC7C7" w14:textId="77777777" w:rsidR="00434320" w:rsidRPr="00246EC3" w:rsidRDefault="00A2752C" w:rsidP="003B4A27">
      <w:pPr>
        <w:numPr>
          <w:ilvl w:val="1"/>
          <w:numId w:val="22"/>
        </w:numPr>
        <w:suppressAutoHyphens/>
        <w:spacing w:before="120"/>
        <w:ind w:left="540" w:hanging="540"/>
        <w:jc w:val="both"/>
        <w:rPr>
          <w:color w:val="000000"/>
        </w:rPr>
      </w:pPr>
      <w:r w:rsidRPr="00246EC3">
        <w:t xml:space="preserve">Prohlášení o vytvoření </w:t>
      </w:r>
      <w:r w:rsidR="00650AA7" w:rsidRPr="00246EC3">
        <w:t xml:space="preserve">předmětu </w:t>
      </w:r>
      <w:r w:rsidRPr="00246EC3">
        <w:t>duš</w:t>
      </w:r>
      <w:r w:rsidR="009A650A">
        <w:t>evního vlastnictví, např. o </w:t>
      </w:r>
      <w:r w:rsidRPr="00246EC3">
        <w:t>vytvoření vynálezu, vznikl</w:t>
      </w:r>
      <w:r w:rsidR="00650AA7" w:rsidRPr="00246EC3">
        <w:t>ého</w:t>
      </w:r>
      <w:r w:rsidRPr="00246EC3">
        <w:t xml:space="preserve"> v rámci Projektu je nutné provést písemně</w:t>
      </w:r>
      <w:r w:rsidR="00650AA7" w:rsidRPr="00246EC3">
        <w:t xml:space="preserve">, provede jej ta </w:t>
      </w:r>
      <w:r w:rsidR="004F6BF3">
        <w:t xml:space="preserve">Smluvní </w:t>
      </w:r>
      <w:r w:rsidR="00650AA7" w:rsidRPr="00246EC3">
        <w:t xml:space="preserve">strana, která se na vytvoření předmětu duševního vlastnictví podílela, v případě rovnosti podílů provede přihlášení </w:t>
      </w:r>
      <w:r w:rsidR="00E90C8D">
        <w:t>Hlavní příjemce</w:t>
      </w:r>
      <w:r w:rsidR="00650AA7" w:rsidRPr="00246EC3">
        <w:t>.</w:t>
      </w:r>
    </w:p>
    <w:p w14:paraId="14CFCB87" w14:textId="77777777" w:rsidR="00434320" w:rsidRDefault="00650AA7" w:rsidP="003B4A27">
      <w:pPr>
        <w:numPr>
          <w:ilvl w:val="1"/>
          <w:numId w:val="22"/>
        </w:numPr>
        <w:spacing w:before="120"/>
        <w:ind w:left="540" w:hanging="540"/>
        <w:jc w:val="both"/>
      </w:pPr>
      <w:r w:rsidRPr="00246EC3">
        <w:t xml:space="preserve">Práva původců budou </w:t>
      </w:r>
      <w:r w:rsidR="00032F22">
        <w:t>Smluvními stranami</w:t>
      </w:r>
      <w:r w:rsidRPr="00246EC3">
        <w:t xml:space="preserve"> řešena</w:t>
      </w:r>
      <w:r w:rsidR="009A650A">
        <w:t xml:space="preserve"> dle §9 zák. č. 527/1990 Sb., o </w:t>
      </w:r>
      <w:r w:rsidRPr="00246EC3">
        <w:t>vynálezech a zlepšovacích návrzích, ve znění pozdějších předpisů nebo dle obdobných předpisů.</w:t>
      </w:r>
    </w:p>
    <w:p w14:paraId="02BFB04C" w14:textId="77777777" w:rsidR="00032F22" w:rsidRDefault="00032F22" w:rsidP="003B4A27">
      <w:pPr>
        <w:numPr>
          <w:ilvl w:val="1"/>
          <w:numId w:val="22"/>
        </w:numPr>
        <w:spacing w:before="120"/>
        <w:ind w:left="720" w:hanging="720"/>
        <w:jc w:val="both"/>
      </w:pPr>
      <w:r>
        <w:t>Smluvní strany</w:t>
      </w:r>
      <w:r w:rsidRPr="00246EC3">
        <w:t xml:space="preserve"> jsou oprávněny využívat know-how získané při provádění Projektu a přenést výsledky tohoto know-how do praxe.</w:t>
      </w:r>
    </w:p>
    <w:p w14:paraId="0EDAF435" w14:textId="77777777" w:rsidR="008F7BA1" w:rsidRDefault="000614BC" w:rsidP="000614BC">
      <w:pPr>
        <w:numPr>
          <w:ilvl w:val="1"/>
          <w:numId w:val="22"/>
        </w:numPr>
        <w:spacing w:before="120"/>
        <w:ind w:left="709" w:hanging="709"/>
        <w:jc w:val="both"/>
      </w:pPr>
      <w:r w:rsidRPr="000614BC">
        <w:t>O využití práv z předmětu průmyslového vlastnictví, které bude vytvořeno při realizaci Projektu, rozhodnou ty Smluvní strany, které jsou v souladu s touto Smlouvou spolumajiteli práv z předmětu průmyslového vlastnictví, a to jednomyslně,</w:t>
      </w:r>
      <w:r>
        <w:t xml:space="preserve"> </w:t>
      </w:r>
      <w:r w:rsidR="00032F22" w:rsidRPr="00246EC3">
        <w:t xml:space="preserve">žádný ze spolumajitelů není oprávněn využívat tato práva bez souhlasu ostatních spolumajitelů. Smluvní strany se zavazují vynaložit maximální úsilí o dohodu na společném využití práv z předmětu průmyslového vlastnictví. K platnému uzavření licenční smlouvy je třeba souhlasu všech spolumajitelů. K převodu práv z předmětu průmyslového vlastnictví na třetí osobu je zapotřebí jednomyslného souhlasu všech spolumajitelů. K převodu podílu některého ze spolumajitelů na jiného spolumajitele se souhlas ostatních nevyžaduje. Na třetí osobu může některý ze spolumajitelů převést svůj podíl jen v případě, že žádný ze spolumajitelů nepřijme ve lhůtě jednoho měsíce písemnou nabídku převodu. V ostatních otázkách se vzájemné vztahy mezi spolumajiteli řídí obecnými předpisy o podílovém spoluvlastnictví </w:t>
      </w:r>
    </w:p>
    <w:p w14:paraId="00D74943" w14:textId="77777777" w:rsidR="000614BC" w:rsidRDefault="000614BC" w:rsidP="000614BC">
      <w:pPr>
        <w:numPr>
          <w:ilvl w:val="1"/>
          <w:numId w:val="22"/>
        </w:numPr>
        <w:ind w:left="709" w:hanging="709"/>
        <w:jc w:val="both"/>
      </w:pPr>
      <w:r w:rsidRPr="000614BC">
        <w:t xml:space="preserve">Smluvní strany sjednávají, že v případě poskytnutí licence k předmětu průmyslového vlastnictví podle předchozího odstavce, se budou na odměně za poskytnutí licence k předmětu průmyslového vlastnictví Smluvní strany podílet v následujícím poměru: </w:t>
      </w:r>
      <w:r w:rsidRPr="000614BC">
        <w:lastRenderedPageBreak/>
        <w:t xml:space="preserve">Hlavní příjemce bude mít nárok na 70 % z odměny za poskytnutí licence, Další účastník projektu bude mít nárok na </w:t>
      </w:r>
      <w:r w:rsidR="0055148C">
        <w:t>3</w:t>
      </w:r>
      <w:r w:rsidRPr="000614BC">
        <w:t>0 % z odměny za poskytnutí licence</w:t>
      </w:r>
      <w:r w:rsidR="00590E18">
        <w:t>.</w:t>
      </w:r>
    </w:p>
    <w:p w14:paraId="5E2235B4" w14:textId="77777777" w:rsidR="00590E18" w:rsidRPr="000614BC" w:rsidRDefault="00590E18" w:rsidP="000614BC">
      <w:pPr>
        <w:numPr>
          <w:ilvl w:val="1"/>
          <w:numId w:val="22"/>
        </w:numPr>
        <w:ind w:left="709" w:hanging="709"/>
        <w:jc w:val="both"/>
      </w:pPr>
      <w:r w:rsidRPr="000614BC">
        <w:t>Smluvní strany sjednávají, že v</w:t>
      </w:r>
      <w:r>
        <w:t> </w:t>
      </w:r>
      <w:r w:rsidRPr="000614BC">
        <w:t>případě</w:t>
      </w:r>
      <w:r>
        <w:t xml:space="preserve"> prodeje produktu Interaktivní mapa seismického ohrožení nebo zisku, který vzniknul přímo ve spojitosti s využíváním tohoto produktu</w:t>
      </w:r>
      <w:r w:rsidRPr="000614BC">
        <w:t xml:space="preserve">, se budou na </w:t>
      </w:r>
      <w:r>
        <w:t>zisku</w:t>
      </w:r>
      <w:r w:rsidRPr="000614BC">
        <w:t xml:space="preserve"> Smluvní strany podílet v následujícím poměru: Hlavní příjemce bude mít nárok na 70 % z</w:t>
      </w:r>
      <w:r>
        <w:t>e zisku</w:t>
      </w:r>
      <w:r w:rsidRPr="000614BC">
        <w:t xml:space="preserve">, Další účastník projektu bude mít nárok na </w:t>
      </w:r>
      <w:r>
        <w:t>3</w:t>
      </w:r>
      <w:r w:rsidRPr="000614BC">
        <w:t>0 % z</w:t>
      </w:r>
      <w:r>
        <w:t>e zisku.</w:t>
      </w:r>
    </w:p>
    <w:p w14:paraId="6173143B" w14:textId="77777777" w:rsidR="00D361EB" w:rsidRPr="00246EC3" w:rsidRDefault="00D361EB" w:rsidP="009A65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w:t>
      </w:r>
      <w:r w:rsidR="00B9296E" w:rsidRPr="00246EC3">
        <w:rPr>
          <w:rFonts w:ascii="Times New Roman" w:hAnsi="Times New Roman" w:cs="Times New Roman"/>
          <w:b/>
          <w:color w:val="auto"/>
          <w:sz w:val="24"/>
          <w:szCs w:val="24"/>
        </w:rPr>
        <w:t xml:space="preserve"> </w:t>
      </w:r>
      <w:r w:rsidRPr="00246EC3">
        <w:rPr>
          <w:rFonts w:ascii="Times New Roman" w:hAnsi="Times New Roman" w:cs="Times New Roman"/>
          <w:b/>
          <w:color w:val="auto"/>
          <w:sz w:val="24"/>
          <w:szCs w:val="24"/>
        </w:rPr>
        <w:t>X</w:t>
      </w:r>
      <w:r w:rsidR="009518E0">
        <w:rPr>
          <w:rFonts w:ascii="Times New Roman" w:hAnsi="Times New Roman" w:cs="Times New Roman"/>
          <w:b/>
          <w:color w:val="auto"/>
          <w:sz w:val="24"/>
          <w:szCs w:val="24"/>
        </w:rPr>
        <w:t>I</w:t>
      </w:r>
    </w:p>
    <w:p w14:paraId="16DBF893" w14:textId="77777777" w:rsidR="00D361EB" w:rsidRPr="00246EC3" w:rsidRDefault="00D361EB" w:rsidP="009A650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Zajištění ochrany výsledků výzkumu a vývoje uskutečněných v souvislosti s Projektem</w:t>
      </w:r>
    </w:p>
    <w:p w14:paraId="0FDBCA6A" w14:textId="77777777" w:rsidR="002331DD" w:rsidRPr="00246EC3" w:rsidRDefault="009A650A" w:rsidP="003B4A27">
      <w:pPr>
        <w:numPr>
          <w:ilvl w:val="0"/>
          <w:numId w:val="19"/>
        </w:numPr>
        <w:tabs>
          <w:tab w:val="clear" w:pos="360"/>
        </w:tabs>
        <w:suppressAutoHyphens/>
        <w:spacing w:before="120"/>
        <w:ind w:hanging="720"/>
        <w:jc w:val="both"/>
      </w:pPr>
      <w:r>
        <w:t>S</w:t>
      </w:r>
      <w:r w:rsidR="002331DD" w:rsidRPr="00246EC3">
        <w:t xml:space="preserve">mluvní strany se dohodly na tom, že informace, dokumentace a výsledky práce, předané a vzniklé v souvislosti s plněním Smlouvy, jakož i jednotlivých následných smluv, budou pokládány za důvěrné a nebudou poskytnuty třetí straně ani využity </w:t>
      </w:r>
      <w:r w:rsidR="00977CAC" w:rsidRPr="00246EC3">
        <w:t>jinak</w:t>
      </w:r>
      <w:r w:rsidR="002331DD" w:rsidRPr="00246EC3">
        <w:t xml:space="preserve"> než pro účel </w:t>
      </w:r>
      <w:r w:rsidR="00BC04B8">
        <w:t>S</w:t>
      </w:r>
      <w:r w:rsidR="002331DD" w:rsidRPr="00246EC3">
        <w:t>mlouvy. Toto ustanovení neplatí ve vztahu k Poskytovateli.</w:t>
      </w:r>
    </w:p>
    <w:p w14:paraId="7DF10205" w14:textId="77777777" w:rsidR="006F1A3F" w:rsidRPr="00246EC3" w:rsidRDefault="009518E0" w:rsidP="003B4A27">
      <w:pPr>
        <w:numPr>
          <w:ilvl w:val="0"/>
          <w:numId w:val="19"/>
        </w:numPr>
        <w:tabs>
          <w:tab w:val="clear" w:pos="360"/>
        </w:tabs>
        <w:spacing w:before="120"/>
        <w:ind w:hanging="720"/>
        <w:jc w:val="both"/>
      </w:pPr>
      <w:r>
        <w:t>Smluvní strany</w:t>
      </w:r>
      <w:r w:rsidR="009E2C89" w:rsidRPr="00246EC3">
        <w:t xml:space="preserve"> </w:t>
      </w:r>
      <w:r w:rsidR="006F1A3F" w:rsidRPr="00246EC3">
        <w:t xml:space="preserve">se zavazují si vzájemně poskytovat veškeré informace nutné pro vykonávání činností podle Smlouvy, informace o činnostech v </w:t>
      </w:r>
      <w:r>
        <w:t>Projektu a o jejich výsledcích.</w:t>
      </w:r>
    </w:p>
    <w:p w14:paraId="21E77EE4" w14:textId="77777777" w:rsidR="006F457B" w:rsidRDefault="006F1A3F" w:rsidP="00BA0012">
      <w:pPr>
        <w:numPr>
          <w:ilvl w:val="0"/>
          <w:numId w:val="19"/>
        </w:numPr>
        <w:tabs>
          <w:tab w:val="clear" w:pos="360"/>
        </w:tabs>
        <w:spacing w:before="120"/>
        <w:ind w:hanging="720"/>
        <w:jc w:val="both"/>
      </w:pPr>
      <w:r w:rsidRPr="00246EC3">
        <w:t xml:space="preserve">Nedohodnou-li se </w:t>
      </w:r>
      <w:r w:rsidR="009518E0">
        <w:t xml:space="preserve">Smluvní </w:t>
      </w:r>
      <w:r w:rsidRPr="00246EC3">
        <w:t xml:space="preserve">strany v konkrétním případě jinak, jsou veškeré informace, které získá jedna </w:t>
      </w:r>
      <w:r w:rsidR="00D23276">
        <w:t>S</w:t>
      </w:r>
      <w:r w:rsidRPr="00246EC3">
        <w:t xml:space="preserve">mluvní strana od druhé </w:t>
      </w:r>
      <w:r w:rsidR="00D23276">
        <w:t>S</w:t>
      </w:r>
      <w:r w:rsidRPr="00246EC3">
        <w:t xml:space="preserve">mluvní strany dle odstavce </w:t>
      </w:r>
      <w:r w:rsidR="002331DD" w:rsidRPr="00246EC3">
        <w:t>1</w:t>
      </w:r>
      <w:r w:rsidR="009518E0">
        <w:t>1</w:t>
      </w:r>
      <w:r w:rsidR="002331DD" w:rsidRPr="00246EC3">
        <w:t>.2, a které</w:t>
      </w:r>
      <w:r w:rsidRPr="00246EC3">
        <w:t xml:space="preserve"> nejsou obecně známé, považovány za důvěrné (dále jen „</w:t>
      </w:r>
      <w:r w:rsidRPr="006F457B">
        <w:rPr>
          <w:b/>
          <w:i/>
        </w:rPr>
        <w:t>důvěrné informa</w:t>
      </w:r>
      <w:r w:rsidR="00FD0F37" w:rsidRPr="006F457B">
        <w:rPr>
          <w:b/>
          <w:i/>
        </w:rPr>
        <w:t>ce</w:t>
      </w:r>
      <w:r w:rsidR="00FD0F37" w:rsidRPr="00246EC3">
        <w:t xml:space="preserve">“) a </w:t>
      </w:r>
      <w:r w:rsidR="00D23276">
        <w:t xml:space="preserve">Smluvní </w:t>
      </w:r>
      <w:r w:rsidR="00FD0F37" w:rsidRPr="00246EC3">
        <w:t>strana, která je získala</w:t>
      </w:r>
      <w:r w:rsidR="001F7B67">
        <w:t>,</w:t>
      </w:r>
      <w:r w:rsidR="00FD0F37" w:rsidRPr="00246EC3">
        <w:t xml:space="preserve"> </w:t>
      </w:r>
      <w:r w:rsidRPr="00246EC3">
        <w:t xml:space="preserve">je povinna důvěrné informace uchovat v tajnosti a zajistit dostatečnou ochranu před přístupem nepovolaných osob k nim, nesmí důvěrné informace sdělit žádné další osobě, s výjimkou svých zaměstnanců a jiných osob, které jsou pověřeny činnostmi v rámci </w:t>
      </w:r>
      <w:r w:rsidR="009518E0">
        <w:t>S</w:t>
      </w:r>
      <w:r w:rsidRPr="00246EC3">
        <w:t xml:space="preserve">mlouvy a se kterými dotyčná </w:t>
      </w:r>
      <w:r w:rsidR="009518E0">
        <w:t>S</w:t>
      </w:r>
      <w:r w:rsidRPr="00246EC3">
        <w:t xml:space="preserve">mluvní strana uzavřela dohodu o zachování mlčenlivosti v obdobném rozsahu, jako stanoví </w:t>
      </w:r>
      <w:r w:rsidR="009518E0">
        <w:t>S</w:t>
      </w:r>
      <w:r w:rsidRPr="00246EC3">
        <w:t xml:space="preserve">mlouva </w:t>
      </w:r>
      <w:r w:rsidR="00BC04B8">
        <w:t>S</w:t>
      </w:r>
      <w:r w:rsidRPr="00246EC3">
        <w:t>mluvním stranám, a nesmí důvěrné informace použít za jiným účelem</w:t>
      </w:r>
      <w:r w:rsidR="001F7B67">
        <w:t>,</w:t>
      </w:r>
      <w:r w:rsidRPr="00246EC3">
        <w:t xml:space="preserve"> než k výkonu činností podle Smlouvy. </w:t>
      </w:r>
    </w:p>
    <w:p w14:paraId="48FBBB15" w14:textId="77777777" w:rsidR="006F1A3F" w:rsidRPr="00246EC3" w:rsidRDefault="006F1A3F" w:rsidP="00BA0012">
      <w:pPr>
        <w:numPr>
          <w:ilvl w:val="0"/>
          <w:numId w:val="19"/>
        </w:numPr>
        <w:tabs>
          <w:tab w:val="clear" w:pos="360"/>
        </w:tabs>
        <w:spacing w:before="120"/>
        <w:ind w:hanging="720"/>
        <w:jc w:val="both"/>
      </w:pPr>
      <w:r w:rsidRPr="00246EC3">
        <w:t>Povinnosti podle odstavce 1</w:t>
      </w:r>
      <w:r w:rsidR="009518E0">
        <w:t>1</w:t>
      </w:r>
      <w:r w:rsidRPr="00246EC3">
        <w:t>.</w:t>
      </w:r>
      <w:r w:rsidR="002331DD" w:rsidRPr="00246EC3">
        <w:t>3</w:t>
      </w:r>
      <w:r w:rsidRPr="00246EC3">
        <w:t xml:space="preserve"> pl</w:t>
      </w:r>
      <w:r w:rsidR="009E2C89" w:rsidRPr="00246EC3">
        <w:t xml:space="preserve">atí beze změny po dobu </w:t>
      </w:r>
      <w:r w:rsidR="009E2C89" w:rsidRPr="001C64E1">
        <w:t xml:space="preserve">dalších </w:t>
      </w:r>
      <w:r w:rsidR="00DC23FE" w:rsidRPr="001C64E1">
        <w:t xml:space="preserve">5 </w:t>
      </w:r>
      <w:r w:rsidRPr="001C64E1">
        <w:t>let po</w:t>
      </w:r>
      <w:r w:rsidRPr="00246EC3">
        <w:t xml:space="preserve"> skončení účinnosti ostatních ustanovení </w:t>
      </w:r>
      <w:r w:rsidR="009518E0">
        <w:t>S</w:t>
      </w:r>
      <w:r w:rsidRPr="00246EC3">
        <w:t xml:space="preserve">mlouvy, ať k </w:t>
      </w:r>
      <w:r w:rsidR="0098220D" w:rsidRPr="00246EC3">
        <w:t>němu dojde z jakéhokoliv důvodu.</w:t>
      </w:r>
    </w:p>
    <w:p w14:paraId="7C44EEB0" w14:textId="77777777" w:rsidR="006F1A3F" w:rsidRPr="00246EC3" w:rsidRDefault="000E61C6" w:rsidP="003B4A27">
      <w:pPr>
        <w:numPr>
          <w:ilvl w:val="0"/>
          <w:numId w:val="19"/>
        </w:numPr>
        <w:tabs>
          <w:tab w:val="clear" w:pos="360"/>
        </w:tabs>
        <w:spacing w:before="120"/>
        <w:ind w:hanging="720"/>
        <w:jc w:val="both"/>
      </w:pPr>
      <w:r w:rsidRPr="000E61C6">
        <w:t xml:space="preserve">Zveřejňuje-li </w:t>
      </w:r>
      <w:r>
        <w:t>kterákoliv ze Smluvních stran</w:t>
      </w:r>
      <w:r w:rsidRPr="000E61C6">
        <w:t xml:space="preserve"> informace o Projektu nebo o </w:t>
      </w:r>
      <w:r>
        <w:t>v</w:t>
      </w:r>
      <w:r w:rsidRPr="000E61C6">
        <w:t>ýsledcích Projektu</w:t>
      </w:r>
      <w:r w:rsidR="001F7B67">
        <w:t>,</w:t>
      </w:r>
      <w:r w:rsidRPr="000E61C6">
        <w:t xml:space="preserve"> je povin</w:t>
      </w:r>
      <w:r>
        <w:t>na</w:t>
      </w:r>
      <w:r w:rsidRPr="000E61C6">
        <w:t xml:space="preserve"> důsledně uvádět identifikační kód Projektu podle Centrální evidence projektů a dále tu skutečnost, že </w:t>
      </w:r>
      <w:r>
        <w:t>v</w:t>
      </w:r>
      <w:r w:rsidRPr="000E61C6">
        <w:t>ýsledek Projektu byl získán za finančního přispění Poskytovatele v rámci účelové podpory výzkumu, vývoje a inovací. Současně je pak povin</w:t>
      </w:r>
      <w:r w:rsidR="001F7B67">
        <w:t>na</w:t>
      </w:r>
      <w:r w:rsidRPr="000E61C6">
        <w:t xml:space="preserve"> uvést, že se jedná o Projekt řešený ve spolupráci s</w:t>
      </w:r>
      <w:r>
        <w:t> </w:t>
      </w:r>
      <w:r w:rsidR="00AB35F0">
        <w:t xml:space="preserve">ostatními </w:t>
      </w:r>
      <w:r>
        <w:t>Smluvní</w:t>
      </w:r>
      <w:r w:rsidR="00AB35F0">
        <w:t>mi</w:t>
      </w:r>
      <w:r w:rsidR="004B7A30">
        <w:t xml:space="preserve"> stran</w:t>
      </w:r>
      <w:r w:rsidR="00AB35F0">
        <w:t>ami</w:t>
      </w:r>
      <w:r w:rsidRPr="000E61C6">
        <w:t xml:space="preserve"> a uvést </w:t>
      </w:r>
      <w:r>
        <w:t>jej</w:t>
      </w:r>
      <w:r w:rsidR="0021626A">
        <w:t>ich</w:t>
      </w:r>
      <w:r w:rsidRPr="000E61C6">
        <w:t xml:space="preserve"> identifikační znaky. Zveřejněním nesmí být dotčena nebo </w:t>
      </w:r>
      <w:r>
        <w:t>ohrožena ochrana v</w:t>
      </w:r>
      <w:r w:rsidRPr="000E61C6">
        <w:t xml:space="preserve">ýsledků Projektu, jinak </w:t>
      </w:r>
      <w:r>
        <w:t>Smluvní strana</w:t>
      </w:r>
      <w:r w:rsidRPr="000E61C6">
        <w:t xml:space="preserve"> odpovídá </w:t>
      </w:r>
      <w:r w:rsidR="00946F38">
        <w:t xml:space="preserve">ostatním </w:t>
      </w:r>
      <w:r>
        <w:t>Smluvní</w:t>
      </w:r>
      <w:r w:rsidR="00946F38">
        <w:t>m</w:t>
      </w:r>
      <w:r>
        <w:t xml:space="preserve"> stran</w:t>
      </w:r>
      <w:r w:rsidR="00946F38">
        <w:t>ám</w:t>
      </w:r>
      <w:r w:rsidRPr="000E61C6">
        <w:t xml:space="preserve"> za způsobenou škodu.</w:t>
      </w:r>
    </w:p>
    <w:p w14:paraId="7B85E2E0" w14:textId="77777777" w:rsidR="00BF43E1" w:rsidRPr="00246EC3" w:rsidRDefault="00BF43E1" w:rsidP="003B4A27">
      <w:pPr>
        <w:numPr>
          <w:ilvl w:val="0"/>
          <w:numId w:val="19"/>
        </w:numPr>
        <w:tabs>
          <w:tab w:val="clear" w:pos="360"/>
        </w:tabs>
        <w:spacing w:before="120"/>
        <w:ind w:hanging="720"/>
        <w:jc w:val="both"/>
      </w:pPr>
      <w:r w:rsidRPr="00246EC3">
        <w:t>Smluvní strany se dohodly na níže uvedeném způsobu předávání výsledků do Rejstříku informací o výsledcích (dále jen „</w:t>
      </w:r>
      <w:r w:rsidRPr="003041A6">
        <w:rPr>
          <w:b/>
          <w:i/>
        </w:rPr>
        <w:t>RIV</w:t>
      </w:r>
      <w:r w:rsidRPr="00246EC3">
        <w:t xml:space="preserve">“) podle </w:t>
      </w:r>
      <w:r w:rsidR="009B117A">
        <w:t>Z</w:t>
      </w:r>
      <w:r w:rsidR="00391F28">
        <w:t>PVV</w:t>
      </w:r>
      <w:r w:rsidR="000E61C6">
        <w:t>:</w:t>
      </w:r>
    </w:p>
    <w:p w14:paraId="5A5D9ED7" w14:textId="77777777" w:rsidR="00BF43E1" w:rsidRPr="00246EC3" w:rsidRDefault="00E90C8D" w:rsidP="003B4A27">
      <w:pPr>
        <w:numPr>
          <w:ilvl w:val="1"/>
          <w:numId w:val="5"/>
        </w:numPr>
        <w:tabs>
          <w:tab w:val="clear" w:pos="1440"/>
        </w:tabs>
        <w:spacing w:before="120"/>
        <w:ind w:left="1080"/>
        <w:jc w:val="both"/>
      </w:pPr>
      <w:r>
        <w:t xml:space="preserve">Hlavní příjemce </w:t>
      </w:r>
      <w:r w:rsidR="000E61C6">
        <w:t>a Další účastní</w:t>
      </w:r>
      <w:r w:rsidR="004B7A30">
        <w:t>k</w:t>
      </w:r>
      <w:r w:rsidR="000E61C6">
        <w:t xml:space="preserve"> projektu</w:t>
      </w:r>
      <w:r w:rsidR="00BF43E1" w:rsidRPr="00246EC3">
        <w:t xml:space="preserve"> se zavazují samostatně předávat údaje o výsledcích vytvořených při realizaci Projektu do RIV v termínech a ve formě požadované </w:t>
      </w:r>
      <w:r w:rsidR="00BF09FF">
        <w:t>ZPVV</w:t>
      </w:r>
      <w:r w:rsidR="00BF43E1" w:rsidRPr="00246EC3">
        <w:t xml:space="preserve">, pokud se </w:t>
      </w:r>
      <w:r w:rsidR="003032B4">
        <w:t>Hlavní příjemce a Další účastník projektu</w:t>
      </w:r>
      <w:r w:rsidR="00BF43E1" w:rsidRPr="00246EC3">
        <w:t xml:space="preserve"> nedohodnou jinak.</w:t>
      </w:r>
    </w:p>
    <w:p w14:paraId="54A3747F" w14:textId="77777777" w:rsidR="00BF43E1" w:rsidRPr="00246EC3" w:rsidRDefault="00BF43E1" w:rsidP="003B4A27">
      <w:pPr>
        <w:numPr>
          <w:ilvl w:val="1"/>
          <w:numId w:val="5"/>
        </w:numPr>
        <w:tabs>
          <w:tab w:val="clear" w:pos="1440"/>
        </w:tabs>
        <w:spacing w:before="120"/>
        <w:ind w:left="1080"/>
        <w:jc w:val="both"/>
      </w:pPr>
      <w:r w:rsidRPr="00246EC3">
        <w:t xml:space="preserve">Způsob započítávání výsledků a podíl dedikací v rámci Projektu bude stanoven na základě podílu, jímž </w:t>
      </w:r>
      <w:r w:rsidR="00E90C8D">
        <w:t xml:space="preserve">Hlavní příjemce </w:t>
      </w:r>
      <w:r w:rsidR="000E61C6">
        <w:t>a Další účastní</w:t>
      </w:r>
      <w:r w:rsidR="00A80866">
        <w:t>ci</w:t>
      </w:r>
      <w:r w:rsidR="000E61C6">
        <w:t xml:space="preserve"> projektu</w:t>
      </w:r>
      <w:r w:rsidR="0022233C" w:rsidRPr="00246EC3">
        <w:t xml:space="preserve"> </w:t>
      </w:r>
      <w:r w:rsidRPr="00246EC3">
        <w:t xml:space="preserve">přispěli k dosažení započitatelných výsledků při realizaci Projektu. Pokud se </w:t>
      </w:r>
      <w:r w:rsidR="008E33D3">
        <w:t>S</w:t>
      </w:r>
      <w:r w:rsidRPr="00246EC3">
        <w:t xml:space="preserve">mluvní strany na výše </w:t>
      </w:r>
      <w:r w:rsidRPr="00246EC3">
        <w:lastRenderedPageBreak/>
        <w:t xml:space="preserve">uvedeném nedohodnou, zavazují se respektovat rozhodnutí, které v této věci vydá </w:t>
      </w:r>
      <w:r w:rsidR="008E33D3">
        <w:t>P</w:t>
      </w:r>
      <w:r w:rsidRPr="00246EC3">
        <w:t>oskytovatel</w:t>
      </w:r>
      <w:r w:rsidR="0012009E" w:rsidRPr="00246EC3">
        <w:t xml:space="preserve"> nebo jiný věcně příslušný rozhodčí orgán.</w:t>
      </w:r>
    </w:p>
    <w:p w14:paraId="1DB9168A" w14:textId="77777777" w:rsidR="009518E0" w:rsidRPr="00246EC3" w:rsidRDefault="009518E0" w:rsidP="009518E0">
      <w:pPr>
        <w:pStyle w:val="FormtovanvHTML"/>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X</w:t>
      </w:r>
      <w:r>
        <w:rPr>
          <w:rFonts w:ascii="Times New Roman" w:hAnsi="Times New Roman" w:cs="Times New Roman"/>
          <w:b/>
          <w:color w:val="auto"/>
          <w:sz w:val="24"/>
          <w:szCs w:val="24"/>
        </w:rPr>
        <w:t>I</w:t>
      </w:r>
      <w:r w:rsidR="008802D8">
        <w:rPr>
          <w:rFonts w:ascii="Times New Roman" w:hAnsi="Times New Roman" w:cs="Times New Roman"/>
          <w:b/>
          <w:color w:val="auto"/>
          <w:sz w:val="24"/>
          <w:szCs w:val="24"/>
        </w:rPr>
        <w:t>I</w:t>
      </w:r>
    </w:p>
    <w:p w14:paraId="60A25CE9" w14:textId="77777777" w:rsidR="009518E0" w:rsidRPr="00246EC3" w:rsidRDefault="009518E0" w:rsidP="007A796F">
      <w:pPr>
        <w:pStyle w:val="FormtovanvHTML"/>
        <w:spacing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Odpovědnost za škodu</w:t>
      </w:r>
    </w:p>
    <w:p w14:paraId="4FD33A00" w14:textId="77777777" w:rsidR="009518E0" w:rsidRPr="00246EC3" w:rsidRDefault="00E90C8D" w:rsidP="00CF0622">
      <w:pPr>
        <w:numPr>
          <w:ilvl w:val="1"/>
          <w:numId w:val="9"/>
        </w:numPr>
        <w:tabs>
          <w:tab w:val="clear" w:pos="360"/>
        </w:tabs>
        <w:suppressAutoHyphens/>
        <w:spacing w:after="20"/>
        <w:ind w:left="540" w:hanging="540"/>
        <w:jc w:val="both"/>
      </w:pPr>
      <w:r>
        <w:t>Hlavní příjemce</w:t>
      </w:r>
      <w:r w:rsidRPr="00246EC3">
        <w:t xml:space="preserve"> </w:t>
      </w:r>
      <w:r w:rsidR="009518E0" w:rsidRPr="00246EC3">
        <w:t xml:space="preserve">odpovídá </w:t>
      </w:r>
      <w:r w:rsidR="00AE6876">
        <w:t>P</w:t>
      </w:r>
      <w:r w:rsidR="009518E0" w:rsidRPr="00246EC3">
        <w:t>oskytovateli za zákonné použi</w:t>
      </w:r>
      <w:r w:rsidR="009518E0">
        <w:t>tí poskytnuté dotace. Další účastník projektu</w:t>
      </w:r>
      <w:r w:rsidR="009518E0" w:rsidRPr="00246EC3">
        <w:t xml:space="preserve"> odpovídá </w:t>
      </w:r>
      <w:r>
        <w:t>Hlavnímu příjemci</w:t>
      </w:r>
      <w:r w:rsidR="00EC5B44">
        <w:t xml:space="preserve"> </w:t>
      </w:r>
      <w:r w:rsidR="009518E0" w:rsidRPr="00246EC3">
        <w:t>za škodu způsobenou poruše</w:t>
      </w:r>
      <w:r w:rsidR="00BC04B8">
        <w:t>ním povinností ze S</w:t>
      </w:r>
      <w:r w:rsidR="009518E0" w:rsidRPr="00246EC3">
        <w:t>mlouvy vyplývajících</w:t>
      </w:r>
      <w:r w:rsidR="00C54818">
        <w:t>,</w:t>
      </w:r>
      <w:r w:rsidR="009518E0" w:rsidRPr="00246EC3">
        <w:t xml:space="preserve"> a to zejména za:</w:t>
      </w:r>
    </w:p>
    <w:p w14:paraId="7564E64B" w14:textId="77777777" w:rsidR="009518E0" w:rsidRDefault="009518E0" w:rsidP="00CF0622">
      <w:pPr>
        <w:numPr>
          <w:ilvl w:val="0"/>
          <w:numId w:val="18"/>
        </w:numPr>
        <w:spacing w:after="20"/>
        <w:ind w:left="1620" w:hanging="1080"/>
        <w:jc w:val="both"/>
      </w:pPr>
      <w:r w:rsidRPr="00246EC3">
        <w:t xml:space="preserve">nedokončení té části </w:t>
      </w:r>
      <w:r w:rsidR="00502A7E">
        <w:t>P</w:t>
      </w:r>
      <w:r w:rsidRPr="00246EC3">
        <w:t xml:space="preserve">rojektu, za níž nese dle </w:t>
      </w:r>
      <w:r w:rsidR="00BC04B8">
        <w:t>S</w:t>
      </w:r>
      <w:r w:rsidRPr="00246EC3">
        <w:t>mlouvy odpovědnost,</w:t>
      </w:r>
    </w:p>
    <w:p w14:paraId="3AE3B259" w14:textId="77777777" w:rsidR="009518E0" w:rsidRDefault="009518E0" w:rsidP="00CF0622">
      <w:pPr>
        <w:numPr>
          <w:ilvl w:val="0"/>
          <w:numId w:val="18"/>
        </w:numPr>
        <w:spacing w:after="20"/>
        <w:ind w:left="1620" w:hanging="1080"/>
        <w:jc w:val="both"/>
      </w:pPr>
      <w:r w:rsidRPr="00246EC3">
        <w:t>poskytnutí nesprávných, neúplných nebo jinak vadných výsledků vědecké práce,</w:t>
      </w:r>
    </w:p>
    <w:p w14:paraId="4C3DD7C6" w14:textId="77777777" w:rsidR="009518E0" w:rsidRDefault="009518E0" w:rsidP="00CF0622">
      <w:pPr>
        <w:numPr>
          <w:ilvl w:val="0"/>
          <w:numId w:val="18"/>
        </w:numPr>
        <w:spacing w:after="20"/>
        <w:ind w:left="900"/>
        <w:jc w:val="both"/>
      </w:pPr>
      <w:r w:rsidRPr="00246EC3">
        <w:t>nerespektování informačních</w:t>
      </w:r>
      <w:r w:rsidRPr="00246EC3">
        <w:rPr>
          <w:color w:val="000000"/>
        </w:rPr>
        <w:t xml:space="preserve"> povinností vůči </w:t>
      </w:r>
      <w:r w:rsidR="00E90C8D">
        <w:rPr>
          <w:color w:val="000000"/>
        </w:rPr>
        <w:t>Hlavnímu příjemci</w:t>
      </w:r>
      <w:r w:rsidR="00E90C8D" w:rsidRPr="00246EC3">
        <w:rPr>
          <w:color w:val="000000"/>
        </w:rPr>
        <w:t xml:space="preserve"> </w:t>
      </w:r>
      <w:r w:rsidRPr="00246EC3">
        <w:rPr>
          <w:color w:val="000000"/>
        </w:rPr>
        <w:t xml:space="preserve">a </w:t>
      </w:r>
      <w:r>
        <w:rPr>
          <w:color w:val="000000"/>
        </w:rPr>
        <w:t>Poskytovateli</w:t>
      </w:r>
      <w:r w:rsidR="0002516A">
        <w:rPr>
          <w:color w:val="000000"/>
        </w:rPr>
        <w:t>,</w:t>
      </w:r>
      <w:r>
        <w:rPr>
          <w:color w:val="000000"/>
        </w:rPr>
        <w:t xml:space="preserve"> jakož i </w:t>
      </w:r>
      <w:r w:rsidRPr="00246EC3">
        <w:rPr>
          <w:color w:val="000000"/>
        </w:rPr>
        <w:t>povinnost</w:t>
      </w:r>
      <w:r w:rsidR="0002516A">
        <w:rPr>
          <w:color w:val="000000"/>
        </w:rPr>
        <w:t>í</w:t>
      </w:r>
      <w:r w:rsidRPr="00246EC3">
        <w:rPr>
          <w:color w:val="000000"/>
        </w:rPr>
        <w:t xml:space="preserve"> vyplývajících z právních předpisů a směrnic EU</w:t>
      </w:r>
      <w:r w:rsidR="0002516A">
        <w:rPr>
          <w:color w:val="000000"/>
        </w:rPr>
        <w:t>,</w:t>
      </w:r>
    </w:p>
    <w:p w14:paraId="7B8B9FCB" w14:textId="77777777" w:rsidR="009518E0" w:rsidRPr="00246EC3" w:rsidRDefault="009518E0" w:rsidP="00CF0622">
      <w:pPr>
        <w:numPr>
          <w:ilvl w:val="0"/>
          <w:numId w:val="18"/>
        </w:numPr>
        <w:tabs>
          <w:tab w:val="clear" w:pos="889"/>
          <w:tab w:val="left" w:pos="900"/>
        </w:tabs>
        <w:spacing w:after="20"/>
        <w:ind w:left="900"/>
        <w:jc w:val="both"/>
        <w:rPr>
          <w:color w:val="000000"/>
        </w:rPr>
      </w:pPr>
      <w:r w:rsidRPr="00246EC3">
        <w:rPr>
          <w:color w:val="000000"/>
        </w:rPr>
        <w:t>nesrovnalosti při vedení účetnictví a porušování povinností k archivaci dokladů Projektu,</w:t>
      </w:r>
    </w:p>
    <w:p w14:paraId="367E18EC" w14:textId="77777777" w:rsidR="005415BF" w:rsidRDefault="009518E0" w:rsidP="00855CF7">
      <w:pPr>
        <w:numPr>
          <w:ilvl w:val="0"/>
          <w:numId w:val="18"/>
        </w:numPr>
        <w:tabs>
          <w:tab w:val="clear" w:pos="889"/>
          <w:tab w:val="left" w:pos="900"/>
        </w:tabs>
        <w:spacing w:after="120"/>
        <w:ind w:left="900"/>
        <w:jc w:val="both"/>
        <w:rPr>
          <w:color w:val="000000"/>
        </w:rPr>
      </w:pPr>
      <w:r w:rsidRPr="00246EC3">
        <w:rPr>
          <w:color w:val="000000"/>
        </w:rPr>
        <w:t xml:space="preserve">neposkytnutí součinnosti v případě, kdy je podle </w:t>
      </w:r>
      <w:r w:rsidR="00BC04B8">
        <w:rPr>
          <w:color w:val="000000"/>
        </w:rPr>
        <w:t>S</w:t>
      </w:r>
      <w:r w:rsidRPr="00246EC3">
        <w:rPr>
          <w:color w:val="000000"/>
        </w:rPr>
        <w:t>mlouvy povinen součinnost poskytnout</w:t>
      </w:r>
      <w:r w:rsidR="005415BF">
        <w:rPr>
          <w:color w:val="000000"/>
        </w:rPr>
        <w:t>,</w:t>
      </w:r>
    </w:p>
    <w:p w14:paraId="1E8ED80C" w14:textId="77777777" w:rsidR="009518E0" w:rsidRPr="00855CF7" w:rsidRDefault="005415BF" w:rsidP="003041A6">
      <w:pPr>
        <w:spacing w:after="120"/>
        <w:ind w:left="540"/>
        <w:jc w:val="both"/>
        <w:rPr>
          <w:color w:val="000000"/>
        </w:rPr>
      </w:pPr>
      <w:r>
        <w:rPr>
          <w:color w:val="000000"/>
        </w:rPr>
        <w:t>avšak</w:t>
      </w:r>
      <w:r w:rsidR="007C59A6">
        <w:rPr>
          <w:color w:val="000000"/>
        </w:rPr>
        <w:t xml:space="preserve"> v souhrnu</w:t>
      </w:r>
      <w:r>
        <w:rPr>
          <w:color w:val="000000"/>
        </w:rPr>
        <w:t xml:space="preserve"> </w:t>
      </w:r>
      <w:r>
        <w:t xml:space="preserve">maximálně do výše </w:t>
      </w:r>
      <w:r w:rsidR="008B130A">
        <w:t>dotace</w:t>
      </w:r>
      <w:r>
        <w:t xml:space="preserve"> poskytnuté Dalšímu účastníkovi projektu na základě této Smlouvy.</w:t>
      </w:r>
    </w:p>
    <w:p w14:paraId="690314AE" w14:textId="77777777" w:rsidR="00D361EB" w:rsidRPr="00246EC3" w:rsidRDefault="00D361EB" w:rsidP="0022233C">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85"/>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X</w:t>
      </w:r>
      <w:r w:rsidR="008802D8">
        <w:rPr>
          <w:rFonts w:ascii="Times New Roman" w:hAnsi="Times New Roman" w:cs="Times New Roman"/>
          <w:b/>
          <w:color w:val="auto"/>
          <w:sz w:val="24"/>
          <w:szCs w:val="24"/>
        </w:rPr>
        <w:t>I</w:t>
      </w:r>
      <w:r w:rsidRPr="00246EC3">
        <w:rPr>
          <w:rFonts w:ascii="Times New Roman" w:hAnsi="Times New Roman" w:cs="Times New Roman"/>
          <w:b/>
          <w:color w:val="auto"/>
          <w:sz w:val="24"/>
          <w:szCs w:val="24"/>
        </w:rPr>
        <w:t>I</w:t>
      </w:r>
      <w:r w:rsidR="00B9296E" w:rsidRPr="00246EC3">
        <w:rPr>
          <w:rFonts w:ascii="Times New Roman" w:hAnsi="Times New Roman" w:cs="Times New Roman"/>
          <w:b/>
          <w:color w:val="auto"/>
          <w:sz w:val="24"/>
          <w:szCs w:val="24"/>
        </w:rPr>
        <w:t>I</w:t>
      </w:r>
    </w:p>
    <w:p w14:paraId="363D4CA0" w14:textId="77777777" w:rsidR="00D361EB" w:rsidRPr="00246EC3" w:rsidRDefault="00133800" w:rsidP="000B1566">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imes New Roman" w:hAnsi="Times New Roman" w:cs="Times New Roman"/>
          <w:b/>
          <w:color w:val="auto"/>
          <w:sz w:val="24"/>
          <w:szCs w:val="24"/>
        </w:rPr>
      </w:pPr>
      <w:r>
        <w:rPr>
          <w:rFonts w:ascii="Times New Roman" w:hAnsi="Times New Roman" w:cs="Times New Roman"/>
          <w:b/>
          <w:color w:val="auto"/>
          <w:sz w:val="24"/>
          <w:szCs w:val="24"/>
        </w:rPr>
        <w:t>Doba trvání Smlouvy, o</w:t>
      </w:r>
      <w:r w:rsidR="00BC04B8">
        <w:rPr>
          <w:rFonts w:ascii="Times New Roman" w:hAnsi="Times New Roman" w:cs="Times New Roman"/>
          <w:b/>
          <w:color w:val="auto"/>
          <w:sz w:val="24"/>
          <w:szCs w:val="24"/>
        </w:rPr>
        <w:t>dstoupení od S</w:t>
      </w:r>
      <w:r w:rsidR="004F2FCC" w:rsidRPr="00246EC3">
        <w:rPr>
          <w:rFonts w:ascii="Times New Roman" w:hAnsi="Times New Roman" w:cs="Times New Roman"/>
          <w:b/>
          <w:color w:val="auto"/>
          <w:sz w:val="24"/>
          <w:szCs w:val="24"/>
        </w:rPr>
        <w:t xml:space="preserve">mlouvy a </w:t>
      </w:r>
      <w:r w:rsidR="002C66F3" w:rsidRPr="00246EC3">
        <w:rPr>
          <w:rFonts w:ascii="Times New Roman" w:hAnsi="Times New Roman" w:cs="Times New Roman"/>
          <w:b/>
          <w:color w:val="auto"/>
          <w:sz w:val="24"/>
          <w:szCs w:val="24"/>
        </w:rPr>
        <w:t>smluvní sankce</w:t>
      </w:r>
    </w:p>
    <w:p w14:paraId="68B161CD" w14:textId="77777777" w:rsidR="00133800" w:rsidRPr="00AF7BA0" w:rsidRDefault="00133800" w:rsidP="003041A6">
      <w:pPr>
        <w:numPr>
          <w:ilvl w:val="1"/>
          <w:numId w:val="20"/>
        </w:numPr>
        <w:tabs>
          <w:tab w:val="num" w:pos="540"/>
        </w:tabs>
        <w:suppressAutoHyphens/>
        <w:spacing w:before="120"/>
        <w:ind w:left="539" w:hanging="539"/>
        <w:jc w:val="both"/>
      </w:pPr>
      <w:r w:rsidRPr="00AF7BA0">
        <w:t>Smlouva je uzavírána na dobu určitou, s dobou trvání Smlouvy od data účinnosti této Smlouvy do doby ukončení řešení Projektu.</w:t>
      </w:r>
    </w:p>
    <w:p w14:paraId="7801E0D8" w14:textId="77777777" w:rsidR="004F2FCC" w:rsidRPr="00AF7BA0" w:rsidRDefault="004F2FCC" w:rsidP="003041A6">
      <w:pPr>
        <w:numPr>
          <w:ilvl w:val="1"/>
          <w:numId w:val="20"/>
        </w:numPr>
        <w:tabs>
          <w:tab w:val="num" w:pos="540"/>
        </w:tabs>
        <w:suppressAutoHyphens/>
        <w:spacing w:before="120"/>
        <w:ind w:left="539" w:hanging="539"/>
        <w:jc w:val="both"/>
      </w:pPr>
      <w:r w:rsidRPr="00AF7BA0">
        <w:t xml:space="preserve">Pokud </w:t>
      </w:r>
      <w:r w:rsidR="00BC04B8" w:rsidRPr="00AF7BA0">
        <w:t>Další účastník projektu</w:t>
      </w:r>
      <w:r w:rsidRPr="00AF7BA0">
        <w:t xml:space="preserve"> použije účelovou podporu na základě Smlouvy v rozporu s účelem anebo na jiný účel, než na který mu byla ve smyslu </w:t>
      </w:r>
      <w:r w:rsidR="00BC04B8" w:rsidRPr="00AF7BA0">
        <w:t>S</w:t>
      </w:r>
      <w:r w:rsidRPr="00AF7BA0">
        <w:t>mlouvy poskytnuta</w:t>
      </w:r>
      <w:r w:rsidR="00C7745E" w:rsidRPr="00AF7BA0">
        <w:t xml:space="preserve">, </w:t>
      </w:r>
      <w:r w:rsidR="00A25D14" w:rsidRPr="00AF7BA0">
        <w:t>je Hlavní příjemce</w:t>
      </w:r>
      <w:r w:rsidR="00E90C8D" w:rsidRPr="00AF7BA0">
        <w:t xml:space="preserve"> </w:t>
      </w:r>
      <w:r w:rsidRPr="00AF7BA0">
        <w:t>oprávněn</w:t>
      </w:r>
      <w:r w:rsidR="008E06F2" w:rsidRPr="00AF7BA0">
        <w:t xml:space="preserve"> rozhodnout o vyloučení Dalšího účastníka projektu</w:t>
      </w:r>
      <w:r w:rsidRPr="00AF7BA0">
        <w:t xml:space="preserve"> </w:t>
      </w:r>
      <w:r w:rsidR="000D2AAD" w:rsidRPr="00AF7BA0">
        <w:t>z této Smlouvy</w:t>
      </w:r>
      <w:r w:rsidRPr="00AF7BA0">
        <w:t xml:space="preserve">. </w:t>
      </w:r>
      <w:r w:rsidR="00AE0009" w:rsidRPr="00AF7BA0">
        <w:t>Hlavní příjemce je</w:t>
      </w:r>
      <w:r w:rsidR="00A21786" w:rsidRPr="00AF7BA0">
        <w:t xml:space="preserve"> oprávněn rozhodnout o vyloučení Dalšího účastníka projektu z této Smlouvy </w:t>
      </w:r>
      <w:r w:rsidRPr="00AF7BA0">
        <w:t>rovněž v případě, kdy se prokáže,</w:t>
      </w:r>
      <w:r w:rsidR="00765A96" w:rsidRPr="00AF7BA0">
        <w:t xml:space="preserve"> že údaje předané </w:t>
      </w:r>
      <w:r w:rsidR="006B5446" w:rsidRPr="00AF7BA0">
        <w:t>Dalším</w:t>
      </w:r>
      <w:r w:rsidR="00BC04B8" w:rsidRPr="00AF7BA0">
        <w:t xml:space="preserve"> účastník</w:t>
      </w:r>
      <w:r w:rsidR="006B5446" w:rsidRPr="00AF7BA0">
        <w:t>em</w:t>
      </w:r>
      <w:r w:rsidR="00BC04B8" w:rsidRPr="00AF7BA0">
        <w:t xml:space="preserve"> projektu</w:t>
      </w:r>
      <w:r w:rsidR="00765A96" w:rsidRPr="00AF7BA0">
        <w:t xml:space="preserve"> </w:t>
      </w:r>
      <w:r w:rsidRPr="00AF7BA0">
        <w:t xml:space="preserve">před uzavřením </w:t>
      </w:r>
      <w:r w:rsidR="00BC04B8" w:rsidRPr="00AF7BA0">
        <w:t>S</w:t>
      </w:r>
      <w:r w:rsidRPr="00AF7BA0">
        <w:t xml:space="preserve">mlouvy, které představovaly podmínky, na jejichž splnění bylo vázáno uzavření </w:t>
      </w:r>
      <w:r w:rsidR="00BC04B8" w:rsidRPr="00AF7BA0">
        <w:t>S</w:t>
      </w:r>
      <w:r w:rsidRPr="00AF7BA0">
        <w:t>mlouvy, jsou nepravdivé.</w:t>
      </w:r>
    </w:p>
    <w:p w14:paraId="7B1BA378" w14:textId="77777777" w:rsidR="004F2FCC" w:rsidRPr="00AF7BA0" w:rsidRDefault="004F2FCC" w:rsidP="003041A6">
      <w:pPr>
        <w:numPr>
          <w:ilvl w:val="1"/>
          <w:numId w:val="20"/>
        </w:numPr>
        <w:tabs>
          <w:tab w:val="num" w:pos="540"/>
        </w:tabs>
        <w:suppressAutoHyphens/>
        <w:spacing w:before="120"/>
        <w:ind w:left="539" w:hanging="539"/>
        <w:jc w:val="both"/>
      </w:pPr>
      <w:r w:rsidRPr="00AF7BA0">
        <w:t>Pokud</w:t>
      </w:r>
      <w:r w:rsidR="000C6BDE" w:rsidRPr="00AF7BA0">
        <w:t xml:space="preserve"> Smluvní strany rozhodnou o vyloučení Dalšího účastníka projektu z této Smlouvy</w:t>
      </w:r>
      <w:r w:rsidRPr="00AF7BA0">
        <w:t xml:space="preserve"> dle předchozího odstavce, j</w:t>
      </w:r>
      <w:r w:rsidR="006B5446" w:rsidRPr="00AF7BA0">
        <w:t>e</w:t>
      </w:r>
      <w:r w:rsidRPr="00AF7BA0">
        <w:t xml:space="preserve"> </w:t>
      </w:r>
      <w:r w:rsidR="00BC04B8" w:rsidRPr="00AF7BA0">
        <w:t>Další účastní</w:t>
      </w:r>
      <w:r w:rsidR="006B5446" w:rsidRPr="00AF7BA0">
        <w:t>k</w:t>
      </w:r>
      <w:r w:rsidR="00BC04B8" w:rsidRPr="00AF7BA0">
        <w:t xml:space="preserve"> projektu</w:t>
      </w:r>
      <w:r w:rsidR="00765A96" w:rsidRPr="00AF7BA0">
        <w:t xml:space="preserve"> </w:t>
      </w:r>
      <w:r w:rsidRPr="00AF7BA0">
        <w:t>povin</w:t>
      </w:r>
      <w:r w:rsidR="006B5446" w:rsidRPr="00AF7BA0">
        <w:t>e</w:t>
      </w:r>
      <w:r w:rsidR="00BC04B8" w:rsidRPr="00AF7BA0">
        <w:t>n</w:t>
      </w:r>
      <w:r w:rsidRPr="00AF7BA0">
        <w:t xml:space="preserve"> </w:t>
      </w:r>
      <w:r w:rsidR="001F0332" w:rsidRPr="00AF7BA0">
        <w:t xml:space="preserve">Hlavnímu příjemci </w:t>
      </w:r>
      <w:r w:rsidRPr="00AF7BA0">
        <w:t xml:space="preserve">vrátit veškerou </w:t>
      </w:r>
      <w:r w:rsidR="00BC04B8" w:rsidRPr="00AF7BA0">
        <w:t>dotaci</w:t>
      </w:r>
      <w:r w:rsidRPr="00AF7BA0">
        <w:t xml:space="preserve">, která </w:t>
      </w:r>
      <w:r w:rsidR="006B5446" w:rsidRPr="00AF7BA0">
        <w:t>mu</w:t>
      </w:r>
      <w:r w:rsidRPr="00AF7BA0">
        <w:t xml:space="preserve"> byla na základě </w:t>
      </w:r>
      <w:r w:rsidR="00BC04B8" w:rsidRPr="00AF7BA0">
        <w:t>S</w:t>
      </w:r>
      <w:r w:rsidRPr="00AF7BA0">
        <w:t xml:space="preserve">mlouvy poskytnuta, a to včetně případného majetkového prospěchu získaného v souvislosti s neoprávněným použitím této </w:t>
      </w:r>
      <w:r w:rsidR="00BC04B8" w:rsidRPr="00AF7BA0">
        <w:t>dotace</w:t>
      </w:r>
      <w:r w:rsidRPr="00AF7BA0">
        <w:t xml:space="preserve">, a to nejdéle do 30 dnů ode dne, </w:t>
      </w:r>
      <w:r w:rsidR="00F46795" w:rsidRPr="00AF7BA0">
        <w:t>kdy mu bylo doručeno písemné vyhotovení</w:t>
      </w:r>
      <w:r w:rsidR="00605252" w:rsidRPr="00AF7BA0">
        <w:t xml:space="preserve"> rozhodnutí</w:t>
      </w:r>
      <w:r w:rsidR="00222BB4" w:rsidRPr="00AF7BA0">
        <w:t xml:space="preserve"> Hlavního příjemce</w:t>
      </w:r>
      <w:r w:rsidR="00605252" w:rsidRPr="00AF7BA0">
        <w:t xml:space="preserve"> o vyloučení</w:t>
      </w:r>
      <w:r w:rsidR="00222BB4" w:rsidRPr="00AF7BA0">
        <w:t xml:space="preserve"> Dalšího účastníka projektu</w:t>
      </w:r>
      <w:r w:rsidR="00605252" w:rsidRPr="00AF7BA0">
        <w:t xml:space="preserve"> z této Smlouvy</w:t>
      </w:r>
      <w:r w:rsidR="00322FE9" w:rsidRPr="00AF7BA0">
        <w:t>.</w:t>
      </w:r>
    </w:p>
    <w:p w14:paraId="6E5B2D19" w14:textId="77777777" w:rsidR="004F2FCC" w:rsidRPr="00AF7BA0" w:rsidRDefault="00BC04B8" w:rsidP="003041A6">
      <w:pPr>
        <w:numPr>
          <w:ilvl w:val="1"/>
          <w:numId w:val="20"/>
        </w:numPr>
        <w:tabs>
          <w:tab w:val="num" w:pos="540"/>
        </w:tabs>
        <w:suppressAutoHyphens/>
        <w:spacing w:before="120"/>
        <w:ind w:left="539" w:hanging="539"/>
        <w:jc w:val="both"/>
      </w:pPr>
      <w:r w:rsidRPr="00AF7BA0">
        <w:t xml:space="preserve">Další </w:t>
      </w:r>
      <w:r w:rsidR="000B1566" w:rsidRPr="00AF7BA0">
        <w:t>účastník</w:t>
      </w:r>
      <w:r w:rsidRPr="00AF7BA0">
        <w:t xml:space="preserve"> projektu</w:t>
      </w:r>
      <w:r w:rsidR="00765A96" w:rsidRPr="00AF7BA0">
        <w:t xml:space="preserve"> </w:t>
      </w:r>
      <w:r w:rsidR="004F2FCC" w:rsidRPr="00AF7BA0">
        <w:t xml:space="preserve">je oprávněn odstoupit od Smlouvy, a to jen z důvodů a na základě jeho písemného </w:t>
      </w:r>
      <w:r w:rsidR="00C7745E" w:rsidRPr="00AF7BA0">
        <w:t xml:space="preserve">odůvodněného </w:t>
      </w:r>
      <w:r w:rsidR="004F2FCC" w:rsidRPr="00AF7BA0">
        <w:t xml:space="preserve">prohlášení o tom, že nemůže splnit své závazky dle </w:t>
      </w:r>
      <w:r w:rsidRPr="00AF7BA0">
        <w:t>S</w:t>
      </w:r>
      <w:r w:rsidR="004F2FCC" w:rsidRPr="00AF7BA0">
        <w:t xml:space="preserve">mlouvy. V takovém případě je povinen vrátit dle pokynu </w:t>
      </w:r>
      <w:r w:rsidR="00332C27" w:rsidRPr="00AF7BA0">
        <w:t xml:space="preserve">Hlavního příjemce </w:t>
      </w:r>
      <w:r w:rsidR="004F2FCC" w:rsidRPr="00AF7BA0">
        <w:t xml:space="preserve">veškerou </w:t>
      </w:r>
      <w:r w:rsidR="006B5446" w:rsidRPr="00AF7BA0">
        <w:t>dotaci</w:t>
      </w:r>
      <w:r w:rsidR="004F2FCC" w:rsidRPr="00AF7BA0">
        <w:t xml:space="preserve">, která mu byla na základě </w:t>
      </w:r>
      <w:r w:rsidRPr="00AF7BA0">
        <w:t>S</w:t>
      </w:r>
      <w:r w:rsidR="004F2FCC" w:rsidRPr="00AF7BA0">
        <w:t xml:space="preserve">mlouvy poskytnuta, včetně případného majetkového prospěchu získaného v souvislosti s použitím této účelové podpory, a to do 30 dnů ode dne, kdy odstoupení </w:t>
      </w:r>
      <w:r w:rsidRPr="00AF7BA0">
        <w:t>S</w:t>
      </w:r>
      <w:r w:rsidR="004F2FCC" w:rsidRPr="00AF7BA0">
        <w:t xml:space="preserve">mlouvy </w:t>
      </w:r>
      <w:r w:rsidR="00C7745E" w:rsidRPr="00AF7BA0">
        <w:t xml:space="preserve">bylo doručeno </w:t>
      </w:r>
      <w:r w:rsidR="00E03D00" w:rsidRPr="00AF7BA0">
        <w:t>ostatním Smluvním stranám</w:t>
      </w:r>
      <w:r w:rsidR="00C7745E" w:rsidRPr="00AF7BA0">
        <w:t>.</w:t>
      </w:r>
    </w:p>
    <w:p w14:paraId="3ADE17B0" w14:textId="77777777" w:rsidR="00C7745E" w:rsidRPr="00AF7BA0" w:rsidRDefault="00BC04B8" w:rsidP="003041A6">
      <w:pPr>
        <w:numPr>
          <w:ilvl w:val="1"/>
          <w:numId w:val="20"/>
        </w:numPr>
        <w:tabs>
          <w:tab w:val="num" w:pos="540"/>
        </w:tabs>
        <w:suppressAutoHyphens/>
        <w:spacing w:before="120"/>
        <w:ind w:left="539" w:hanging="539"/>
        <w:jc w:val="both"/>
      </w:pPr>
      <w:r w:rsidRPr="00AF7BA0">
        <w:t xml:space="preserve">Odstoupení </w:t>
      </w:r>
      <w:r w:rsidR="00597D6F" w:rsidRPr="00AF7BA0">
        <w:t xml:space="preserve">od </w:t>
      </w:r>
      <w:r w:rsidRPr="00AF7BA0">
        <w:t>S</w:t>
      </w:r>
      <w:r w:rsidR="00C7745E" w:rsidRPr="00AF7BA0">
        <w:t xml:space="preserve">mlouvy je účinné </w:t>
      </w:r>
      <w:r w:rsidR="000B1566" w:rsidRPr="00AF7BA0">
        <w:t xml:space="preserve">jeho </w:t>
      </w:r>
      <w:r w:rsidR="00C7745E" w:rsidRPr="00AF7BA0">
        <w:t xml:space="preserve">doručením </w:t>
      </w:r>
      <w:r w:rsidR="00765A96" w:rsidRPr="00AF7BA0">
        <w:t>ostatním</w:t>
      </w:r>
      <w:r w:rsidR="00C7745E" w:rsidRPr="00AF7BA0">
        <w:t xml:space="preserve"> </w:t>
      </w:r>
      <w:r w:rsidR="000B1566" w:rsidRPr="00AF7BA0">
        <w:t>S</w:t>
      </w:r>
      <w:r w:rsidR="00C7745E" w:rsidRPr="00AF7BA0">
        <w:t>mluvní</w:t>
      </w:r>
      <w:r w:rsidR="00765A96" w:rsidRPr="00AF7BA0">
        <w:t>m</w:t>
      </w:r>
      <w:r w:rsidR="00C7745E" w:rsidRPr="00AF7BA0">
        <w:t xml:space="preserve"> stran</w:t>
      </w:r>
      <w:r w:rsidR="00765A96" w:rsidRPr="00AF7BA0">
        <w:t>ám</w:t>
      </w:r>
      <w:r w:rsidR="00C7745E" w:rsidRPr="00AF7BA0">
        <w:t>.</w:t>
      </w:r>
    </w:p>
    <w:p w14:paraId="753F7B4C" w14:textId="77777777" w:rsidR="00133800" w:rsidRPr="00AF7BA0" w:rsidRDefault="00133800" w:rsidP="003041A6">
      <w:pPr>
        <w:numPr>
          <w:ilvl w:val="1"/>
          <w:numId w:val="20"/>
        </w:numPr>
        <w:tabs>
          <w:tab w:val="num" w:pos="540"/>
        </w:tabs>
        <w:suppressAutoHyphens/>
        <w:spacing w:before="120"/>
        <w:ind w:left="539" w:hanging="539"/>
        <w:jc w:val="both"/>
      </w:pPr>
      <w:r w:rsidRPr="00AF7BA0">
        <w:t xml:space="preserve">Pokud Poskytovatel neuzná náklady Projektu Dalšího účastníka projektu nebo jejich část, je Další účastník projektu povinen vrátit neuznané náklady nebo jejich část ve lhůtě </w:t>
      </w:r>
      <w:r w:rsidRPr="00AF7BA0">
        <w:lastRenderedPageBreak/>
        <w:t xml:space="preserve">stanovené </w:t>
      </w:r>
      <w:r w:rsidR="001F0332" w:rsidRPr="00AF7BA0">
        <w:t>Hlavním příjemcem</w:t>
      </w:r>
      <w:r w:rsidRPr="00AF7BA0">
        <w:t xml:space="preserve">. Nevrátí-li Další účastník projektu neuznané náklady nebo jejich část ve stanovené lhůtě, je povinen zaplatit </w:t>
      </w:r>
      <w:r w:rsidR="001F0332" w:rsidRPr="00AF7BA0">
        <w:t xml:space="preserve">Hlavnímu příjemci </w:t>
      </w:r>
      <w:r w:rsidRPr="00AF7BA0">
        <w:t>smluvní pokutu ve výši 3 promile za každý den prodlení z nevrácené částky</w:t>
      </w:r>
      <w:r w:rsidR="004C3DC2" w:rsidRPr="00AF7BA0">
        <w:t>.</w:t>
      </w:r>
    </w:p>
    <w:p w14:paraId="1F6A13F0" w14:textId="77777777" w:rsidR="00133800" w:rsidRPr="00AF7BA0" w:rsidRDefault="00133800" w:rsidP="003041A6">
      <w:pPr>
        <w:numPr>
          <w:ilvl w:val="1"/>
          <w:numId w:val="20"/>
        </w:numPr>
        <w:tabs>
          <w:tab w:val="num" w:pos="540"/>
        </w:tabs>
        <w:suppressAutoHyphens/>
        <w:spacing w:before="120"/>
        <w:ind w:left="539" w:hanging="539"/>
        <w:jc w:val="both"/>
      </w:pPr>
      <w:r w:rsidRPr="00AF7BA0">
        <w:t xml:space="preserve">Ustanoveními o smluvní pokutě, ať je o nich hovořeno kdekoli ve Smlouvě, není dotčen nárok </w:t>
      </w:r>
      <w:r w:rsidR="001F0332" w:rsidRPr="00AF7BA0">
        <w:t xml:space="preserve">Hlavního příjemce </w:t>
      </w:r>
      <w:r w:rsidRPr="00AF7BA0">
        <w:t>nebo Dalšího účastníka projektu na náhradu škody.</w:t>
      </w:r>
      <w:r w:rsidR="004C3DC2" w:rsidRPr="00AF7BA0">
        <w:t xml:space="preserve"> Smluvní strany tímto výslovně vylučují použití § 2050 zák.č. 89/2012 Sb., občanský zákoník.</w:t>
      </w:r>
    </w:p>
    <w:p w14:paraId="438BA572" w14:textId="77777777" w:rsidR="00842760" w:rsidRPr="00246EC3" w:rsidRDefault="00842760" w:rsidP="007A796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120"/>
        <w:ind w:left="357"/>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Článek X</w:t>
      </w:r>
      <w:r w:rsidR="008802D8">
        <w:rPr>
          <w:rFonts w:ascii="Times New Roman" w:hAnsi="Times New Roman" w:cs="Times New Roman"/>
          <w:b/>
          <w:color w:val="auto"/>
          <w:sz w:val="24"/>
          <w:szCs w:val="24"/>
        </w:rPr>
        <w:t>IV</w:t>
      </w:r>
    </w:p>
    <w:p w14:paraId="5F56D649" w14:textId="77777777" w:rsidR="00842760" w:rsidRPr="00246EC3" w:rsidRDefault="00842760" w:rsidP="007A796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Times New Roman" w:hAnsi="Times New Roman" w:cs="Times New Roman"/>
          <w:b/>
          <w:color w:val="auto"/>
          <w:sz w:val="24"/>
          <w:szCs w:val="24"/>
        </w:rPr>
      </w:pPr>
      <w:r w:rsidRPr="00246EC3">
        <w:rPr>
          <w:rFonts w:ascii="Times New Roman" w:hAnsi="Times New Roman" w:cs="Times New Roman"/>
          <w:b/>
          <w:color w:val="auto"/>
          <w:sz w:val="24"/>
          <w:szCs w:val="24"/>
        </w:rPr>
        <w:t>Závěrečná ustanovení</w:t>
      </w:r>
    </w:p>
    <w:p w14:paraId="2167A07D" w14:textId="77777777" w:rsidR="00842760" w:rsidRPr="00AF7BA0" w:rsidRDefault="00842760" w:rsidP="003041A6">
      <w:pPr>
        <w:numPr>
          <w:ilvl w:val="0"/>
          <w:numId w:val="21"/>
        </w:numPr>
        <w:tabs>
          <w:tab w:val="clear" w:pos="529"/>
        </w:tabs>
        <w:spacing w:before="120"/>
        <w:ind w:left="630" w:hanging="630"/>
        <w:jc w:val="both"/>
      </w:pPr>
      <w:r w:rsidRPr="00AF7BA0">
        <w:t xml:space="preserve">Údaje o </w:t>
      </w:r>
      <w:r w:rsidR="00BF0972" w:rsidRPr="00AF7BA0">
        <w:t>P</w:t>
      </w:r>
      <w:r w:rsidRPr="00AF7BA0">
        <w:t>rojektu podléhají kódu důvěrnosti údajů S</w:t>
      </w:r>
      <w:r w:rsidR="00133800" w:rsidRPr="00AF7BA0">
        <w:t>,</w:t>
      </w:r>
      <w:r w:rsidRPr="00AF7BA0">
        <w:t xml:space="preserve"> nepodléhají </w:t>
      </w:r>
      <w:r w:rsidR="00133800" w:rsidRPr="00AF7BA0">
        <w:t xml:space="preserve">tedy </w:t>
      </w:r>
      <w:r w:rsidRPr="00AF7BA0">
        <w:t>ochraně podle zvláštních právních předpisů.</w:t>
      </w:r>
    </w:p>
    <w:p w14:paraId="1F849974" w14:textId="77777777" w:rsidR="00765A96" w:rsidRPr="005C4CD6" w:rsidRDefault="00765A96" w:rsidP="003041A6">
      <w:pPr>
        <w:numPr>
          <w:ilvl w:val="0"/>
          <w:numId w:val="21"/>
        </w:numPr>
        <w:tabs>
          <w:tab w:val="clear" w:pos="529"/>
        </w:tabs>
        <w:spacing w:before="120"/>
        <w:ind w:left="644" w:hanging="644"/>
        <w:jc w:val="both"/>
      </w:pPr>
      <w:r w:rsidRPr="005C4CD6">
        <w:t xml:space="preserve">Smluvní strany se dohodly, že případné spory vzniklé při realizaci </w:t>
      </w:r>
      <w:r w:rsidR="00BC04B8" w:rsidRPr="005C4CD6">
        <w:t>S</w:t>
      </w:r>
      <w:r w:rsidRPr="005C4CD6">
        <w:t>mlouvy budou řešit vzájemnou dohodou. Pokud by se nepodařilo vyřešit spor dohodou,</w:t>
      </w:r>
      <w:r w:rsidRPr="005C4CD6">
        <w:rPr>
          <w:i/>
        </w:rPr>
        <w:t xml:space="preserve"> </w:t>
      </w:r>
      <w:r w:rsidRPr="005C4CD6">
        <w:t>v</w:t>
      </w:r>
      <w:r w:rsidRPr="005C4CD6">
        <w:rPr>
          <w:rStyle w:val="Zvraznn"/>
          <w:i w:val="0"/>
          <w:color w:val="000000"/>
        </w:rPr>
        <w:t>šechny spory vznikající z</w:t>
      </w:r>
      <w:r w:rsidR="00BC04B8" w:rsidRPr="005C4CD6">
        <w:rPr>
          <w:rStyle w:val="Zvraznn"/>
          <w:i w:val="0"/>
          <w:color w:val="000000"/>
        </w:rPr>
        <w:t>e S</w:t>
      </w:r>
      <w:r w:rsidRPr="005C4CD6">
        <w:rPr>
          <w:rStyle w:val="Zvraznn"/>
          <w:i w:val="0"/>
          <w:color w:val="000000"/>
        </w:rPr>
        <w:t>mlouvy a v souvislosti s ní budou rozhodovány s konečnou platností u Rozhodčího soudu při Hospodářské komoře České republiky a Agrární komoře České republiky podle jeho Řádu a Pravidel třemi rozhodci.</w:t>
      </w:r>
    </w:p>
    <w:p w14:paraId="3CFFB9E7" w14:textId="77777777" w:rsidR="004A67A9" w:rsidRPr="004A67A9" w:rsidRDefault="00BC04B8" w:rsidP="003041A6">
      <w:pPr>
        <w:widowControl w:val="0"/>
        <w:numPr>
          <w:ilvl w:val="1"/>
          <w:numId w:val="10"/>
        </w:numPr>
        <w:tabs>
          <w:tab w:val="clear" w:pos="465"/>
        </w:tabs>
        <w:autoSpaceDE w:val="0"/>
        <w:autoSpaceDN w:val="0"/>
        <w:adjustRightInd w:val="0"/>
        <w:spacing w:before="120"/>
        <w:ind w:left="630" w:hanging="630"/>
        <w:jc w:val="both"/>
        <w:rPr>
          <w:bCs/>
        </w:rPr>
      </w:pPr>
      <w:r w:rsidRPr="005C4CD6">
        <w:t>S</w:t>
      </w:r>
      <w:r w:rsidR="00842760" w:rsidRPr="005C4CD6">
        <w:t>mlouva může zaniknout úplným splněním všech závazků</w:t>
      </w:r>
      <w:r w:rsidR="00842760" w:rsidRPr="00246EC3">
        <w:t xml:space="preserve"> </w:t>
      </w:r>
      <w:r w:rsidR="00765A96">
        <w:t xml:space="preserve">všech </w:t>
      </w:r>
      <w:r w:rsidR="00BF0972">
        <w:t>S</w:t>
      </w:r>
      <w:r w:rsidR="00842760" w:rsidRPr="00246EC3">
        <w:t xml:space="preserve">mluvních stran, které </w:t>
      </w:r>
      <w:r>
        <w:t xml:space="preserve">z ní vyplývají, </w:t>
      </w:r>
      <w:r w:rsidR="006346A8">
        <w:t xml:space="preserve">vyloučením všech Dalších účastníků projektu podle ustanovení čl. XIII. odst. 13.2. této Smlouvy, </w:t>
      </w:r>
      <w:r w:rsidR="002D4C18">
        <w:t>odstoupením</w:t>
      </w:r>
      <w:r>
        <w:t xml:space="preserve"> </w:t>
      </w:r>
      <w:r w:rsidR="002D4C18">
        <w:t xml:space="preserve">od </w:t>
      </w:r>
      <w:r>
        <w:t>S</w:t>
      </w:r>
      <w:r w:rsidR="00842760" w:rsidRPr="00246EC3">
        <w:t>mlouvy podle ustanovení čl.</w:t>
      </w:r>
      <w:r w:rsidR="00765A96">
        <w:t> </w:t>
      </w:r>
      <w:r w:rsidR="002C66F3" w:rsidRPr="00246EC3">
        <w:t>XI</w:t>
      </w:r>
      <w:r w:rsidR="00133800">
        <w:t>I</w:t>
      </w:r>
      <w:r w:rsidR="002C66F3" w:rsidRPr="00246EC3">
        <w:t>I.</w:t>
      </w:r>
      <w:r w:rsidR="0061385A">
        <w:t xml:space="preserve"> odst. 13.4. této</w:t>
      </w:r>
      <w:r w:rsidR="00842760" w:rsidRPr="00246EC3">
        <w:t xml:space="preserve"> Smlouvy anebo písemnou dohodou </w:t>
      </w:r>
      <w:r w:rsidR="0059607D">
        <w:t>S</w:t>
      </w:r>
      <w:r w:rsidR="00842760" w:rsidRPr="00246EC3">
        <w:t xml:space="preserve">mluvních stran, ve které budou mezi </w:t>
      </w:r>
      <w:r w:rsidR="00D345E6">
        <w:t>Smluvními stranami</w:t>
      </w:r>
      <w:r w:rsidR="00133800">
        <w:t xml:space="preserve"> </w:t>
      </w:r>
      <w:r w:rsidR="00842760" w:rsidRPr="00246EC3">
        <w:t xml:space="preserve">sjednány podmínky ukončení účinnosti Smlouvy. Nedílnou součástí dohody o ukončení účinnosti </w:t>
      </w:r>
      <w:r>
        <w:t>S</w:t>
      </w:r>
      <w:r w:rsidR="00842760" w:rsidRPr="00246EC3">
        <w:t xml:space="preserve">mlouvy bude řádné vyúčtování všech finančních prostředků, které byly na řešení projektu </w:t>
      </w:r>
      <w:r w:rsidR="00133800">
        <w:t>Smluvními stranami</w:t>
      </w:r>
      <w:r w:rsidR="00842760" w:rsidRPr="00246EC3">
        <w:t xml:space="preserve"> vynaloženy</w:t>
      </w:r>
      <w:r w:rsidR="00765A96">
        <w:t>.</w:t>
      </w:r>
    </w:p>
    <w:p w14:paraId="398BA6B0" w14:textId="77777777" w:rsidR="00FA0324" w:rsidRPr="004A67A9" w:rsidRDefault="00842760" w:rsidP="003041A6">
      <w:pPr>
        <w:widowControl w:val="0"/>
        <w:numPr>
          <w:ilvl w:val="1"/>
          <w:numId w:val="10"/>
        </w:numPr>
        <w:tabs>
          <w:tab w:val="clear" w:pos="465"/>
        </w:tabs>
        <w:autoSpaceDE w:val="0"/>
        <w:autoSpaceDN w:val="0"/>
        <w:adjustRightInd w:val="0"/>
        <w:spacing w:before="120"/>
        <w:ind w:left="630" w:hanging="630"/>
        <w:jc w:val="both"/>
        <w:rPr>
          <w:bCs/>
        </w:rPr>
      </w:pPr>
      <w:r w:rsidRPr="00246EC3">
        <w:t xml:space="preserve">Vztahy </w:t>
      </w:r>
      <w:r w:rsidR="00BC04B8">
        <w:t>S</w:t>
      </w:r>
      <w:r w:rsidRPr="00246EC3">
        <w:t xml:space="preserve">mlouvou neupravené se řídí </w:t>
      </w:r>
      <w:r w:rsidR="002D0139" w:rsidRPr="00246EC3">
        <w:t>právními předpisy platnými v České republice</w:t>
      </w:r>
      <w:r w:rsidR="004C3DC2">
        <w:t>, a to zejména</w:t>
      </w:r>
      <w:r w:rsidR="00FA0324" w:rsidRPr="00FA0324">
        <w:t xml:space="preserve"> </w:t>
      </w:r>
      <w:r w:rsidR="00DC4105">
        <w:t>ZPVV</w:t>
      </w:r>
      <w:r w:rsidR="00FA0324" w:rsidRPr="00A85F05">
        <w:t xml:space="preserve"> a zák.</w:t>
      </w:r>
      <w:r w:rsidR="00696445">
        <w:t xml:space="preserve"> </w:t>
      </w:r>
      <w:r w:rsidR="00FA0324" w:rsidRPr="00A85F05">
        <w:t>č. 89/2012, občanský zákoník</w:t>
      </w:r>
      <w:r w:rsidR="0045780E">
        <w:t xml:space="preserve"> (dále jen „</w:t>
      </w:r>
      <w:r w:rsidR="0045780E" w:rsidRPr="003041A6">
        <w:rPr>
          <w:b/>
          <w:i/>
        </w:rPr>
        <w:t>občanský zákoník</w:t>
      </w:r>
      <w:r w:rsidR="0045780E">
        <w:t>“)</w:t>
      </w:r>
      <w:r w:rsidR="00FA0324" w:rsidRPr="004A67A9">
        <w:rPr>
          <w:bCs/>
        </w:rPr>
        <w:t>.</w:t>
      </w:r>
    </w:p>
    <w:p w14:paraId="3D868AA0" w14:textId="77777777" w:rsidR="00F834E6" w:rsidRPr="003041A6" w:rsidRDefault="00F834E6" w:rsidP="003041A6">
      <w:pPr>
        <w:pStyle w:val="Default"/>
        <w:spacing w:before="120"/>
        <w:ind w:left="630"/>
        <w:jc w:val="both"/>
        <w:rPr>
          <w:rFonts w:ascii="Times New Roman" w:hAnsi="Times New Roman" w:cs="Times New Roman"/>
        </w:rPr>
      </w:pPr>
      <w:r w:rsidRPr="003041A6">
        <w:rPr>
          <w:rFonts w:ascii="Times New Roman" w:hAnsi="Times New Roman" w:cs="Times New Roman"/>
        </w:rPr>
        <w:t xml:space="preserve">Odpověď </w:t>
      </w:r>
      <w:r w:rsidR="0045780E" w:rsidRPr="003041A6">
        <w:rPr>
          <w:rFonts w:ascii="Times New Roman" w:hAnsi="Times New Roman" w:cs="Times New Roman"/>
        </w:rPr>
        <w:t xml:space="preserve">Smluvní </w:t>
      </w:r>
      <w:r w:rsidRPr="003041A6">
        <w:rPr>
          <w:rFonts w:ascii="Times New Roman" w:hAnsi="Times New Roman" w:cs="Times New Roman"/>
        </w:rPr>
        <w:t xml:space="preserve">strany této </w:t>
      </w:r>
      <w:r w:rsidR="0045780E" w:rsidRPr="003041A6">
        <w:rPr>
          <w:rFonts w:ascii="Times New Roman" w:hAnsi="Times New Roman" w:cs="Times New Roman"/>
        </w:rPr>
        <w:t>S</w:t>
      </w:r>
      <w:r w:rsidRPr="003041A6">
        <w:rPr>
          <w:rFonts w:ascii="Times New Roman" w:hAnsi="Times New Roman" w:cs="Times New Roman"/>
        </w:rPr>
        <w:t xml:space="preserve">mlouvy, podle § 1740 odst. 3 občanského zákoníku, s dodatkem nebo odchylkou, není přijetím nabídky na uzavření této </w:t>
      </w:r>
      <w:r w:rsidR="007732BA" w:rsidRPr="003041A6">
        <w:rPr>
          <w:rFonts w:ascii="Times New Roman" w:hAnsi="Times New Roman" w:cs="Times New Roman"/>
        </w:rPr>
        <w:t>S</w:t>
      </w:r>
      <w:r w:rsidRPr="003041A6">
        <w:rPr>
          <w:rFonts w:ascii="Times New Roman" w:hAnsi="Times New Roman" w:cs="Times New Roman"/>
        </w:rPr>
        <w:t>mlouvy, ani když podstatně nemění podmínky nabídky.</w:t>
      </w:r>
    </w:p>
    <w:p w14:paraId="6D80EA0C" w14:textId="77777777" w:rsidR="00F834E6" w:rsidRPr="007732BA" w:rsidRDefault="00F834E6" w:rsidP="003041A6">
      <w:pPr>
        <w:widowControl w:val="0"/>
        <w:autoSpaceDE w:val="0"/>
        <w:autoSpaceDN w:val="0"/>
        <w:adjustRightInd w:val="0"/>
        <w:spacing w:before="120"/>
        <w:ind w:left="630"/>
        <w:jc w:val="both"/>
        <w:rPr>
          <w:bCs/>
        </w:rPr>
      </w:pPr>
      <w:r w:rsidRPr="007732BA">
        <w:rPr>
          <w:bCs/>
        </w:rPr>
        <w:t xml:space="preserve">Žádný závazek dle této </w:t>
      </w:r>
      <w:r w:rsidR="007732BA">
        <w:rPr>
          <w:bCs/>
        </w:rPr>
        <w:t>S</w:t>
      </w:r>
      <w:r w:rsidRPr="007732BA">
        <w:rPr>
          <w:bCs/>
        </w:rPr>
        <w:t xml:space="preserve">mlouvy není fixním závazkem podle § 1980 občanského zákoníku. </w:t>
      </w:r>
    </w:p>
    <w:p w14:paraId="059FCAF8" w14:textId="77777777" w:rsidR="00F834E6" w:rsidRPr="00FD73C2" w:rsidRDefault="00F834E6" w:rsidP="003041A6">
      <w:pPr>
        <w:widowControl w:val="0"/>
        <w:autoSpaceDE w:val="0"/>
        <w:autoSpaceDN w:val="0"/>
        <w:adjustRightInd w:val="0"/>
        <w:spacing w:before="120"/>
        <w:ind w:left="630"/>
        <w:jc w:val="both"/>
        <w:rPr>
          <w:bCs/>
        </w:rPr>
      </w:pPr>
      <w:r w:rsidRPr="00A85F05">
        <w:rPr>
          <w:bCs/>
        </w:rPr>
        <w:t xml:space="preserve">Bude-li kterékoliv ustanovení této </w:t>
      </w:r>
      <w:r w:rsidR="007732BA">
        <w:rPr>
          <w:bCs/>
        </w:rPr>
        <w:t>S</w:t>
      </w:r>
      <w:r w:rsidRPr="00A85F05">
        <w:rPr>
          <w:bCs/>
        </w:rPr>
        <w:t xml:space="preserve">mlouvy shledáno příslušným soudem nebo jiným orgánem neplatným, neúčinným, nevymahatelným, nebo takovým, že se k němu nebude přihlížet, bude takové ustanovení považováno za vypuštěné z této </w:t>
      </w:r>
      <w:r w:rsidR="007732BA">
        <w:rPr>
          <w:bCs/>
        </w:rPr>
        <w:t>S</w:t>
      </w:r>
      <w:r w:rsidRPr="00A85F05">
        <w:rPr>
          <w:bCs/>
        </w:rPr>
        <w:t xml:space="preserve">mlouvy a ostatní ustanovení této </w:t>
      </w:r>
      <w:r w:rsidR="007732BA">
        <w:rPr>
          <w:bCs/>
        </w:rPr>
        <w:t>S</w:t>
      </w:r>
      <w:r w:rsidRPr="00A85F05">
        <w:rPr>
          <w:bCs/>
        </w:rPr>
        <w:t xml:space="preserve">mlouvy zůstanou v plném rozsahu v platnosti a účinnosti, pokud z povahy takového ustanovení nebo z jeho obsahu anebo z okolností, za nichž bylo uzavřeno, nevyplývá, že je nelze oddělit od ostatního obsahu této </w:t>
      </w:r>
      <w:r w:rsidR="007732BA">
        <w:rPr>
          <w:bCs/>
        </w:rPr>
        <w:t>S</w:t>
      </w:r>
      <w:r w:rsidRPr="00A85F05">
        <w:rPr>
          <w:bCs/>
        </w:rPr>
        <w:t xml:space="preserve">mlouvy. Smluvní strany v takovém případě uzavřou takové dodatky k této </w:t>
      </w:r>
      <w:r w:rsidR="007732BA">
        <w:rPr>
          <w:bCs/>
        </w:rPr>
        <w:t>S</w:t>
      </w:r>
      <w:r w:rsidRPr="00A85F05">
        <w:rPr>
          <w:bCs/>
        </w:rPr>
        <w:t xml:space="preserve">mlouvě, které budou nezbytné k dosažení výsledku stejného, a pokud to není možné, pak co nejbližšího tomu, jakého mělo být dosaženo neplatným ustanovením, nevymahatelným </w:t>
      </w:r>
      <w:r w:rsidRPr="00FD73C2">
        <w:rPr>
          <w:bCs/>
        </w:rPr>
        <w:t>ustanovením, nebo ustanovením, ke kterému se nepřihlíželo.</w:t>
      </w:r>
    </w:p>
    <w:p w14:paraId="5E3A4244" w14:textId="77777777" w:rsidR="00842760" w:rsidRDefault="00F834E6" w:rsidP="003041A6">
      <w:pPr>
        <w:widowControl w:val="0"/>
        <w:autoSpaceDE w:val="0"/>
        <w:autoSpaceDN w:val="0"/>
        <w:adjustRightInd w:val="0"/>
        <w:spacing w:before="120"/>
        <w:ind w:left="630"/>
        <w:jc w:val="both"/>
      </w:pPr>
      <w:r w:rsidRPr="00FD73C2">
        <w:rPr>
          <w:bCs/>
        </w:rPr>
        <w:t xml:space="preserve">Na tuto </w:t>
      </w:r>
      <w:r w:rsidR="007732BA" w:rsidRPr="00FD73C2">
        <w:rPr>
          <w:bCs/>
        </w:rPr>
        <w:t>S</w:t>
      </w:r>
      <w:r w:rsidRPr="00FD73C2">
        <w:rPr>
          <w:bCs/>
        </w:rPr>
        <w:t xml:space="preserve">mlouvu se neuplatní ustanovení § 1793 občanského zákoníku (neúměrné zkrácení) ani § 1796 občanského zákoníku (lichva). </w:t>
      </w:r>
      <w:r w:rsidR="007732BA" w:rsidRPr="00FD73C2">
        <w:rPr>
          <w:bCs/>
        </w:rPr>
        <w:t>S</w:t>
      </w:r>
      <w:r w:rsidRPr="00FD73C2">
        <w:rPr>
          <w:bCs/>
        </w:rPr>
        <w:t>mluvní strany na sebe berou riziko nebezpečí změny okolností ve smyslu</w:t>
      </w:r>
      <w:r w:rsidRPr="00FD73C2">
        <w:t xml:space="preserve"> ustanovení § 1765 občanského zákoníku.</w:t>
      </w:r>
    </w:p>
    <w:p w14:paraId="7C0D110D" w14:textId="77777777" w:rsidR="00112717" w:rsidRPr="00AF7BA0" w:rsidRDefault="00112717" w:rsidP="003041A6">
      <w:pPr>
        <w:numPr>
          <w:ilvl w:val="1"/>
          <w:numId w:val="10"/>
        </w:numPr>
        <w:tabs>
          <w:tab w:val="clear" w:pos="465"/>
        </w:tabs>
        <w:spacing w:before="120"/>
        <w:ind w:left="630" w:hanging="629"/>
        <w:jc w:val="both"/>
      </w:pPr>
      <w:r w:rsidRPr="00AF7BA0">
        <w:t>Smluvní strany Smlouvy berou na vědomí, že tato Smlouva podléhá právní úpravě zák. č. 340/2015 Sb., zákon o registru smluv, a proto bude uveřejněna v registru dle §4 tohoto zákona. Zveřejnění zařídí Hlavní příjemce.</w:t>
      </w:r>
    </w:p>
    <w:p w14:paraId="1C542493" w14:textId="77777777" w:rsidR="00842760" w:rsidRPr="00246EC3" w:rsidRDefault="0075765E" w:rsidP="003041A6">
      <w:pPr>
        <w:numPr>
          <w:ilvl w:val="1"/>
          <w:numId w:val="10"/>
        </w:numPr>
        <w:tabs>
          <w:tab w:val="clear" w:pos="465"/>
        </w:tabs>
        <w:spacing w:before="120"/>
        <w:ind w:left="630" w:hanging="629"/>
        <w:jc w:val="both"/>
      </w:pPr>
      <w:r w:rsidRPr="0075765E">
        <w:lastRenderedPageBreak/>
        <w:t>Změny a doplňky Smlouvy mohou být prováděny pouze dohodou Smluvních stran, a to formou písemných číslovaných dodatků k</w:t>
      </w:r>
      <w:r>
        <w:t>e</w:t>
      </w:r>
      <w:r w:rsidRPr="0075765E">
        <w:t xml:space="preserve"> Smlouvě</w:t>
      </w:r>
      <w:r w:rsidR="00842760" w:rsidRPr="00246EC3">
        <w:t>.</w:t>
      </w:r>
    </w:p>
    <w:p w14:paraId="630BD0D3" w14:textId="77777777" w:rsidR="00842760" w:rsidRDefault="00BC04B8" w:rsidP="003041A6">
      <w:pPr>
        <w:numPr>
          <w:ilvl w:val="1"/>
          <w:numId w:val="10"/>
        </w:numPr>
        <w:tabs>
          <w:tab w:val="clear" w:pos="465"/>
        </w:tabs>
        <w:spacing w:before="120"/>
        <w:ind w:left="630" w:hanging="629"/>
        <w:jc w:val="both"/>
      </w:pPr>
      <w:r>
        <w:t>S</w:t>
      </w:r>
      <w:r w:rsidR="00C07140" w:rsidRPr="00246EC3">
        <w:t xml:space="preserve">mlouva </w:t>
      </w:r>
      <w:r w:rsidR="00842760" w:rsidRPr="00246EC3">
        <w:t xml:space="preserve">je </w:t>
      </w:r>
      <w:r w:rsidR="00842760" w:rsidRPr="00311327">
        <w:t>vyhotovena v</w:t>
      </w:r>
      <w:r w:rsidR="007732BA">
        <w:t xml:space="preserve"> pěti</w:t>
      </w:r>
      <w:r w:rsidR="00842760" w:rsidRPr="00311327">
        <w:t xml:space="preserve"> </w:t>
      </w:r>
      <w:r w:rsidR="007732BA">
        <w:t>k</w:t>
      </w:r>
      <w:r w:rsidR="00842760" w:rsidRPr="00311327">
        <w:t>opiích s platností</w:t>
      </w:r>
      <w:r w:rsidR="00842760" w:rsidRPr="00246EC3">
        <w:t xml:space="preserve"> originálu,</w:t>
      </w:r>
      <w:r w:rsidR="002D0139" w:rsidRPr="00246EC3">
        <w:t xml:space="preserve"> z nichž</w:t>
      </w:r>
      <w:r w:rsidR="00842760" w:rsidRPr="00246EC3">
        <w:t xml:space="preserve"> každá </w:t>
      </w:r>
      <w:r w:rsidR="007732BA">
        <w:t xml:space="preserve">Smluvní </w:t>
      </w:r>
      <w:r w:rsidR="00842760" w:rsidRPr="00246EC3">
        <w:t xml:space="preserve">strana obdrží </w:t>
      </w:r>
      <w:r w:rsidR="001311D5">
        <w:t>jed</w:t>
      </w:r>
      <w:r w:rsidR="007732BA">
        <w:t>no vyhotovení</w:t>
      </w:r>
      <w:r w:rsidR="00842760" w:rsidRPr="00246EC3">
        <w:t>.</w:t>
      </w:r>
    </w:p>
    <w:p w14:paraId="57571C0C" w14:textId="77777777" w:rsidR="00D905C1" w:rsidRPr="00246EC3" w:rsidRDefault="00EE19AD" w:rsidP="00EE19AD">
      <w:pPr>
        <w:numPr>
          <w:ilvl w:val="1"/>
          <w:numId w:val="10"/>
        </w:numPr>
        <w:tabs>
          <w:tab w:val="clear" w:pos="465"/>
        </w:tabs>
        <w:spacing w:before="120"/>
        <w:ind w:left="567" w:hanging="567"/>
        <w:jc w:val="both"/>
      </w:pPr>
      <w:r w:rsidRPr="00246EC3">
        <w:t xml:space="preserve">Nedílnou součástí </w:t>
      </w:r>
      <w:r>
        <w:t>S</w:t>
      </w:r>
      <w:r w:rsidRPr="00246EC3">
        <w:t>m</w:t>
      </w:r>
      <w:r>
        <w:t xml:space="preserve">louvy je </w:t>
      </w:r>
      <w:r w:rsidRPr="00246EC3">
        <w:t xml:space="preserve">Příloha č. 1 – </w:t>
      </w:r>
      <w:r w:rsidRPr="00EE19AD">
        <w:rPr>
          <w:b/>
        </w:rPr>
        <w:t>Závazné parametry řešení projektu</w:t>
      </w:r>
      <w:r>
        <w:t>.</w:t>
      </w:r>
    </w:p>
    <w:p w14:paraId="43DBD9B1" w14:textId="77777777" w:rsidR="00C07140" w:rsidRDefault="00712CA6" w:rsidP="003041A6">
      <w:pPr>
        <w:numPr>
          <w:ilvl w:val="1"/>
          <w:numId w:val="10"/>
        </w:numPr>
        <w:tabs>
          <w:tab w:val="clear" w:pos="465"/>
        </w:tabs>
        <w:spacing w:before="120"/>
        <w:ind w:left="630" w:hanging="630"/>
        <w:jc w:val="both"/>
      </w:pPr>
      <w:r>
        <w:t>Smluvní strany</w:t>
      </w:r>
      <w:r w:rsidR="008A57A7">
        <w:t xml:space="preserve"> </w:t>
      </w:r>
      <w:r w:rsidR="00C07140" w:rsidRPr="00246EC3">
        <w:t xml:space="preserve">tímto prohlašují, že si </w:t>
      </w:r>
      <w:r w:rsidR="00BC04B8">
        <w:t>S</w:t>
      </w:r>
      <w:r w:rsidR="00C07140" w:rsidRPr="00246EC3">
        <w:t>mlouvu před podpisem přečetl</w:t>
      </w:r>
      <w:r w:rsidR="001B4D1D">
        <w:t>y</w:t>
      </w:r>
      <w:r w:rsidR="00C07140" w:rsidRPr="00246EC3">
        <w:t xml:space="preserve"> a že </w:t>
      </w:r>
      <w:r w:rsidR="00BC04B8">
        <w:t>S</w:t>
      </w:r>
      <w:r w:rsidR="00C07140" w:rsidRPr="00246EC3">
        <w:t>mlouva odpovídá jejich svobodné, vážné a určité vůli, prosté omylu.</w:t>
      </w:r>
    </w:p>
    <w:p w14:paraId="643B3344" w14:textId="77777777" w:rsidR="00F94C4B" w:rsidRDefault="00F94C4B" w:rsidP="00F94C4B">
      <w:pPr>
        <w:spacing w:after="120"/>
        <w:jc w:val="both"/>
      </w:pPr>
    </w:p>
    <w:p w14:paraId="4E2A9AFC" w14:textId="77777777" w:rsidR="00F94C4B" w:rsidRDefault="00F94C4B" w:rsidP="00F94C4B">
      <w:pPr>
        <w:spacing w:after="120"/>
        <w:jc w:val="both"/>
      </w:pPr>
    </w:p>
    <w:tbl>
      <w:tblPr>
        <w:tblW w:w="0" w:type="auto"/>
        <w:tblLook w:val="01E0" w:firstRow="1" w:lastRow="1" w:firstColumn="1" w:lastColumn="1" w:noHBand="0" w:noVBand="0"/>
      </w:tblPr>
      <w:tblGrid>
        <w:gridCol w:w="4537"/>
        <w:gridCol w:w="4535"/>
      </w:tblGrid>
      <w:tr w:rsidR="00D46284" w14:paraId="37D724DD" w14:textId="77777777" w:rsidTr="00F11BCF">
        <w:trPr>
          <w:trHeight w:val="588"/>
        </w:trPr>
        <w:tc>
          <w:tcPr>
            <w:tcW w:w="4606" w:type="dxa"/>
          </w:tcPr>
          <w:p w14:paraId="538882DF" w14:textId="59BF7AF8" w:rsidR="00D46284" w:rsidRPr="00F3170C" w:rsidRDefault="00D46284" w:rsidP="00F11BCF">
            <w:pPr>
              <w:spacing w:after="120"/>
              <w:jc w:val="both"/>
            </w:pPr>
            <w:r w:rsidRPr="00F3170C">
              <w:t>V</w:t>
            </w:r>
            <w:r w:rsidR="00F3170C" w:rsidRPr="00F3170C">
              <w:t> </w:t>
            </w:r>
            <w:r w:rsidR="006F457B">
              <w:t>Praze</w:t>
            </w:r>
            <w:r w:rsidR="00F3170C" w:rsidRPr="00F3170C">
              <w:t xml:space="preserve">, dne </w:t>
            </w:r>
            <w:r w:rsidR="009121F7">
              <w:t>9</w:t>
            </w:r>
            <w:r w:rsidR="00F3170C" w:rsidRPr="00F3170C">
              <w:t>.</w:t>
            </w:r>
            <w:r w:rsidR="006F457B">
              <w:t>3</w:t>
            </w:r>
            <w:r w:rsidR="00F3170C" w:rsidRPr="00F3170C">
              <w:t>.20</w:t>
            </w:r>
            <w:r w:rsidR="006F457B">
              <w:t>21</w:t>
            </w:r>
          </w:p>
        </w:tc>
        <w:tc>
          <w:tcPr>
            <w:tcW w:w="4606" w:type="dxa"/>
          </w:tcPr>
          <w:p w14:paraId="3711903C" w14:textId="6C182082" w:rsidR="00D46284" w:rsidRDefault="00D46284" w:rsidP="00F11BCF">
            <w:pPr>
              <w:spacing w:after="120"/>
              <w:jc w:val="both"/>
            </w:pPr>
            <w:r>
              <w:t xml:space="preserve">V </w:t>
            </w:r>
            <w:r w:rsidRPr="00B32EB7">
              <w:t>Praze,</w:t>
            </w:r>
            <w:r w:rsidR="008D33B5">
              <w:t xml:space="preserve"> 9.3. 2021</w:t>
            </w:r>
          </w:p>
        </w:tc>
      </w:tr>
      <w:tr w:rsidR="00D46284" w14:paraId="670DBC9F" w14:textId="77777777" w:rsidTr="00F11BCF">
        <w:trPr>
          <w:trHeight w:val="1619"/>
        </w:trPr>
        <w:tc>
          <w:tcPr>
            <w:tcW w:w="4606" w:type="dxa"/>
          </w:tcPr>
          <w:p w14:paraId="53AE0EAC" w14:textId="77777777" w:rsidR="00D46284" w:rsidRPr="00F3170C" w:rsidRDefault="00D46284" w:rsidP="00F11BCF">
            <w:pPr>
              <w:spacing w:after="120"/>
              <w:jc w:val="both"/>
            </w:pPr>
            <w:r w:rsidRPr="00F3170C">
              <w:t xml:space="preserve">Za </w:t>
            </w:r>
            <w:r w:rsidR="001F0332" w:rsidRPr="00F3170C">
              <w:t>Hlavního příjemce</w:t>
            </w:r>
            <w:r w:rsidRPr="00F3170C">
              <w:t>:</w:t>
            </w:r>
          </w:p>
          <w:p w14:paraId="5775B4E6" w14:textId="77777777" w:rsidR="00F94C4B" w:rsidRPr="00F3170C" w:rsidRDefault="00F94C4B" w:rsidP="00F11BCF">
            <w:pPr>
              <w:spacing w:after="120"/>
              <w:jc w:val="both"/>
            </w:pPr>
          </w:p>
          <w:p w14:paraId="59A9C248" w14:textId="77777777" w:rsidR="00D46284" w:rsidRPr="00F3170C" w:rsidRDefault="00D46284" w:rsidP="00F11BCF">
            <w:pPr>
              <w:pBdr>
                <w:bottom w:val="dashed" w:sz="4" w:space="1" w:color="auto"/>
              </w:pBdr>
              <w:spacing w:before="960" w:after="120"/>
              <w:jc w:val="both"/>
            </w:pPr>
          </w:p>
        </w:tc>
        <w:tc>
          <w:tcPr>
            <w:tcW w:w="4606" w:type="dxa"/>
          </w:tcPr>
          <w:p w14:paraId="608F1F1E" w14:textId="77777777" w:rsidR="00D46284" w:rsidRDefault="00D46284" w:rsidP="00F11BCF">
            <w:pPr>
              <w:spacing w:after="120"/>
              <w:jc w:val="both"/>
            </w:pPr>
            <w:r>
              <w:t>Za Dalšího účastníka projektu:</w:t>
            </w:r>
          </w:p>
          <w:p w14:paraId="6DA9AF5E" w14:textId="77777777" w:rsidR="00F94C4B" w:rsidRDefault="00F94C4B" w:rsidP="00F11BCF">
            <w:pPr>
              <w:spacing w:after="120"/>
              <w:jc w:val="both"/>
            </w:pPr>
          </w:p>
          <w:p w14:paraId="21B99173" w14:textId="77777777" w:rsidR="00D46284" w:rsidRDefault="00D46284" w:rsidP="00F11BCF">
            <w:pPr>
              <w:pBdr>
                <w:bottom w:val="dashed" w:sz="4" w:space="1" w:color="auto"/>
              </w:pBdr>
              <w:spacing w:before="960" w:after="120"/>
              <w:jc w:val="both"/>
            </w:pPr>
          </w:p>
        </w:tc>
      </w:tr>
      <w:tr w:rsidR="003E2323" w14:paraId="257440C4" w14:textId="77777777" w:rsidTr="00F11BCF">
        <w:tc>
          <w:tcPr>
            <w:tcW w:w="4606" w:type="dxa"/>
          </w:tcPr>
          <w:p w14:paraId="150A036B" w14:textId="77777777" w:rsidR="003E2323" w:rsidRPr="00F3170C" w:rsidRDefault="006F457B" w:rsidP="003E2323">
            <w:pPr>
              <w:spacing w:after="120"/>
              <w:jc w:val="center"/>
            </w:pPr>
            <w:r>
              <w:t>RNDr. Josef Stemberk, CSc.</w:t>
            </w:r>
          </w:p>
          <w:p w14:paraId="3C31E9AD" w14:textId="77777777" w:rsidR="00F3170C" w:rsidRPr="00F3170C" w:rsidRDefault="006F457B" w:rsidP="003E2323">
            <w:pPr>
              <w:spacing w:after="120"/>
              <w:jc w:val="center"/>
            </w:pPr>
            <w:r>
              <w:t>ředitel</w:t>
            </w:r>
          </w:p>
        </w:tc>
        <w:tc>
          <w:tcPr>
            <w:tcW w:w="4606" w:type="dxa"/>
          </w:tcPr>
          <w:p w14:paraId="61DE6877" w14:textId="77777777" w:rsidR="003E2323" w:rsidRPr="003E2323" w:rsidRDefault="006F457B" w:rsidP="003E2323">
            <w:pPr>
              <w:spacing w:after="120"/>
              <w:jc w:val="center"/>
            </w:pPr>
            <w:r>
              <w:t>RNDr. Ivan Prachař</w:t>
            </w:r>
          </w:p>
          <w:p w14:paraId="2C5A762C" w14:textId="7F7F1051" w:rsidR="003E2323" w:rsidRPr="003E2323" w:rsidRDefault="008D33B5" w:rsidP="003E2323">
            <w:pPr>
              <w:spacing w:after="120"/>
              <w:jc w:val="center"/>
            </w:pPr>
            <w:r>
              <w:t>OSVČ</w:t>
            </w:r>
          </w:p>
        </w:tc>
      </w:tr>
      <w:tr w:rsidR="003E2323" w14:paraId="07CDA9F8" w14:textId="77777777" w:rsidTr="00F11BCF">
        <w:tc>
          <w:tcPr>
            <w:tcW w:w="4606" w:type="dxa"/>
          </w:tcPr>
          <w:p w14:paraId="77E55D51" w14:textId="69969B3E" w:rsidR="003E2323" w:rsidRPr="00F3170C" w:rsidRDefault="006F457B" w:rsidP="003E2323">
            <w:pPr>
              <w:spacing w:after="120"/>
              <w:jc w:val="center"/>
            </w:pPr>
            <w:r>
              <w:t>ÚSMH AV ČR, v.</w:t>
            </w:r>
            <w:r w:rsidR="00D772BA">
              <w:t xml:space="preserve"> </w:t>
            </w:r>
            <w:r>
              <w:t>v.</w:t>
            </w:r>
            <w:r w:rsidR="00D772BA">
              <w:t xml:space="preserve"> </w:t>
            </w:r>
            <w:bookmarkStart w:id="1" w:name="_GoBack"/>
            <w:bookmarkEnd w:id="1"/>
            <w:r>
              <w:t>i.</w:t>
            </w:r>
          </w:p>
        </w:tc>
        <w:tc>
          <w:tcPr>
            <w:tcW w:w="4606" w:type="dxa"/>
          </w:tcPr>
          <w:p w14:paraId="3539DC85" w14:textId="48A1F880" w:rsidR="003E2323" w:rsidRPr="003E2323" w:rsidRDefault="00830396" w:rsidP="00830396">
            <w:pPr>
              <w:spacing w:after="120"/>
            </w:pPr>
            <w:r>
              <w:t xml:space="preserve">                                </w:t>
            </w:r>
          </w:p>
        </w:tc>
      </w:tr>
      <w:tr w:rsidR="003E2323" w:rsidRPr="004274F1" w14:paraId="4E5E64E1" w14:textId="77777777" w:rsidTr="00F11BCF">
        <w:trPr>
          <w:trHeight w:val="1395"/>
        </w:trPr>
        <w:tc>
          <w:tcPr>
            <w:tcW w:w="4606" w:type="dxa"/>
          </w:tcPr>
          <w:p w14:paraId="77FE45CA" w14:textId="77777777" w:rsidR="003E2323" w:rsidRPr="00F3170C" w:rsidRDefault="003E2323" w:rsidP="003E2323">
            <w:pPr>
              <w:spacing w:after="120"/>
              <w:jc w:val="center"/>
            </w:pPr>
            <w:r w:rsidRPr="00F3170C">
              <w:t>otisk razítka</w:t>
            </w:r>
          </w:p>
        </w:tc>
        <w:tc>
          <w:tcPr>
            <w:tcW w:w="4606" w:type="dxa"/>
          </w:tcPr>
          <w:p w14:paraId="70C84726" w14:textId="77777777" w:rsidR="003E2323" w:rsidRPr="003E2323" w:rsidRDefault="003E2323" w:rsidP="003E2323">
            <w:pPr>
              <w:spacing w:after="120"/>
              <w:jc w:val="center"/>
            </w:pPr>
            <w:r w:rsidRPr="003E2323">
              <w:t>otisk razítka</w:t>
            </w:r>
          </w:p>
        </w:tc>
      </w:tr>
    </w:tbl>
    <w:p w14:paraId="1650F11E" w14:textId="77777777" w:rsidR="00842760" w:rsidRDefault="00842760" w:rsidP="001311D5">
      <w:pPr>
        <w:spacing w:after="120"/>
        <w:jc w:val="both"/>
      </w:pPr>
    </w:p>
    <w:sectPr w:rsidR="00842760" w:rsidSect="00A04080">
      <w:footerReference w:type="even" r:id="rId10"/>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300FA" w14:textId="77777777" w:rsidR="00FC047C" w:rsidRDefault="00FC047C">
      <w:r>
        <w:separator/>
      </w:r>
    </w:p>
  </w:endnote>
  <w:endnote w:type="continuationSeparator" w:id="0">
    <w:p w14:paraId="75EF4EFC" w14:textId="77777777" w:rsidR="00FC047C" w:rsidRDefault="00FC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34F28" w14:textId="77777777" w:rsidR="007324E3" w:rsidRDefault="007324E3"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E807B7B" w14:textId="77777777" w:rsidR="007324E3" w:rsidRDefault="007324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6CCC" w14:textId="77777777" w:rsidR="007324E3" w:rsidRDefault="007324E3"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75D6F">
      <w:rPr>
        <w:rStyle w:val="slostrnky"/>
        <w:noProof/>
      </w:rPr>
      <w:t>1</w:t>
    </w:r>
    <w:r w:rsidR="00A75D6F">
      <w:rPr>
        <w:rStyle w:val="slostrnky"/>
        <w:noProof/>
      </w:rPr>
      <w:t>3</w:t>
    </w:r>
    <w:r>
      <w:rPr>
        <w:rStyle w:val="slostrnky"/>
      </w:rPr>
      <w:fldChar w:fldCharType="end"/>
    </w:r>
  </w:p>
  <w:p w14:paraId="53B28136" w14:textId="77777777" w:rsidR="007324E3" w:rsidRDefault="007324E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F832" w14:textId="77777777" w:rsidR="007324E3" w:rsidRDefault="007324E3">
    <w:pPr>
      <w:pStyle w:val="Zpat"/>
      <w:jc w:val="center"/>
    </w:pPr>
    <w:r>
      <w:fldChar w:fldCharType="begin"/>
    </w:r>
    <w:r>
      <w:instrText xml:space="preserve"> PAGE   \* MERGEFORMAT </w:instrText>
    </w:r>
    <w:r>
      <w:fldChar w:fldCharType="separate"/>
    </w:r>
    <w:r w:rsidR="00A75D6F">
      <w:rPr>
        <w:noProof/>
      </w:rPr>
      <w:t>1</w:t>
    </w:r>
    <w:r>
      <w:fldChar w:fldCharType="end"/>
    </w:r>
  </w:p>
  <w:p w14:paraId="340B6285" w14:textId="77777777" w:rsidR="007324E3" w:rsidRDefault="007324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31761" w14:textId="77777777" w:rsidR="00FC047C" w:rsidRDefault="00FC047C">
      <w:r>
        <w:separator/>
      </w:r>
    </w:p>
  </w:footnote>
  <w:footnote w:type="continuationSeparator" w:id="0">
    <w:p w14:paraId="7DEE7795" w14:textId="77777777" w:rsidR="00FC047C" w:rsidRDefault="00FC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6E39"/>
    <w:multiLevelType w:val="hybridMultilevel"/>
    <w:tmpl w:val="BD32BA52"/>
    <w:lvl w:ilvl="0" w:tplc="534E303C">
      <w:start w:val="1"/>
      <w:numFmt w:val="decimal"/>
      <w:lvlText w:val="11.%1 "/>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15301"/>
    <w:multiLevelType w:val="hybridMultilevel"/>
    <w:tmpl w:val="4D424CA6"/>
    <w:lvl w:ilvl="0" w:tplc="3BB28A38">
      <w:start w:val="1"/>
      <w:numFmt w:val="decimal"/>
      <w:lvlText w:val="3.%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AF60BA"/>
    <w:multiLevelType w:val="multilevel"/>
    <w:tmpl w:val="953CB2D6"/>
    <w:lvl w:ilvl="0">
      <w:start w:val="7"/>
      <w:numFmt w:val="decimal"/>
      <w:lvlText w:val="%1"/>
      <w:lvlJc w:val="left"/>
      <w:pPr>
        <w:tabs>
          <w:tab w:val="num" w:pos="360"/>
        </w:tabs>
        <w:ind w:left="360" w:hanging="360"/>
      </w:pPr>
      <w:rPr>
        <w:rFonts w:hint="default"/>
      </w:rPr>
    </w:lvl>
    <w:lvl w:ilvl="1">
      <w:start w:val="9"/>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AC629A"/>
    <w:multiLevelType w:val="hybridMultilevel"/>
    <w:tmpl w:val="09AED740"/>
    <w:lvl w:ilvl="0" w:tplc="1DC0B736">
      <w:start w:val="1"/>
      <w:numFmt w:val="decimal"/>
      <w:lvlText w:val="14.%1  "/>
      <w:lvlJc w:val="left"/>
      <w:pPr>
        <w:tabs>
          <w:tab w:val="num" w:pos="529"/>
        </w:tabs>
        <w:ind w:left="889"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847061B"/>
    <w:multiLevelType w:val="multilevel"/>
    <w:tmpl w:val="DF929B98"/>
    <w:lvl w:ilvl="0">
      <w:start w:val="13"/>
      <w:numFmt w:val="decimal"/>
      <w:lvlText w:val="%1"/>
      <w:lvlJc w:val="left"/>
      <w:pPr>
        <w:tabs>
          <w:tab w:val="num" w:pos="465"/>
        </w:tabs>
        <w:ind w:left="465" w:hanging="465"/>
      </w:pPr>
      <w:rPr>
        <w:rFonts w:hint="default"/>
      </w:rPr>
    </w:lvl>
    <w:lvl w:ilvl="1">
      <w:start w:val="3"/>
      <w:numFmt w:val="decimal"/>
      <w:lvlText w:val="1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6" w15:restartNumberingAfterBreak="0">
    <w:nsid w:val="1FD55EBD"/>
    <w:multiLevelType w:val="hybridMultilevel"/>
    <w:tmpl w:val="816A58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35DAF"/>
    <w:multiLevelType w:val="multilevel"/>
    <w:tmpl w:val="B958187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D64DD1"/>
    <w:multiLevelType w:val="hybridMultilevel"/>
    <w:tmpl w:val="8F343F3A"/>
    <w:lvl w:ilvl="0" w:tplc="4894EDA4">
      <w:start w:val="1"/>
      <w:numFmt w:val="decimal"/>
      <w:lvlText w:val="5.%1"/>
      <w:lvlJc w:val="left"/>
      <w:pPr>
        <w:ind w:left="72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7643018"/>
    <w:multiLevelType w:val="multilevel"/>
    <w:tmpl w:val="5596BBC2"/>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3D161C"/>
    <w:multiLevelType w:val="multilevel"/>
    <w:tmpl w:val="AE2A34AE"/>
    <w:lvl w:ilvl="0">
      <w:start w:val="7"/>
      <w:numFmt w:val="decimal"/>
      <w:lvlText w:val="%1"/>
      <w:lvlJc w:val="left"/>
      <w:pPr>
        <w:tabs>
          <w:tab w:val="num" w:pos="360"/>
        </w:tabs>
        <w:ind w:left="360" w:hanging="360"/>
      </w:pPr>
      <w:rPr>
        <w:rFonts w:hint="default"/>
      </w:rPr>
    </w:lvl>
    <w:lvl w:ilvl="1">
      <w:start w:val="2"/>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9607F5"/>
    <w:multiLevelType w:val="hybridMultilevel"/>
    <w:tmpl w:val="AD24EF5E"/>
    <w:lvl w:ilvl="0" w:tplc="875A1308">
      <w:start w:val="1"/>
      <w:numFmt w:val="decimal"/>
      <w:lvlText w:val="10.%1 "/>
      <w:lvlJc w:val="left"/>
      <w:pPr>
        <w:ind w:left="360" w:hanging="360"/>
      </w:pPr>
      <w:rPr>
        <w:rFonts w:hint="default"/>
        <w:b w:val="0"/>
      </w:rPr>
    </w:lvl>
    <w:lvl w:ilvl="1" w:tplc="14A6A85A">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E61993"/>
    <w:multiLevelType w:val="multilevel"/>
    <w:tmpl w:val="C2C6AC6C"/>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0B0E5F"/>
    <w:multiLevelType w:val="hybridMultilevel"/>
    <w:tmpl w:val="0C325442"/>
    <w:lvl w:ilvl="0" w:tplc="FEF83AD6">
      <w:start w:val="1"/>
      <w:numFmt w:val="decimal"/>
      <w:lvlText w:val="7.%1"/>
      <w:lvlJc w:val="left"/>
      <w:pPr>
        <w:tabs>
          <w:tab w:val="num" w:pos="36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7A1A9F"/>
    <w:multiLevelType w:val="hybridMultilevel"/>
    <w:tmpl w:val="0B24E1F8"/>
    <w:lvl w:ilvl="0" w:tplc="442825E8">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C559D4"/>
    <w:multiLevelType w:val="multilevel"/>
    <w:tmpl w:val="C9763F5A"/>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037978"/>
    <w:multiLevelType w:val="multilevel"/>
    <w:tmpl w:val="9DC627B0"/>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7D546B"/>
    <w:multiLevelType w:val="hybridMultilevel"/>
    <w:tmpl w:val="B80089BC"/>
    <w:lvl w:ilvl="0" w:tplc="B2A6FE1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81416BF"/>
    <w:multiLevelType w:val="multilevel"/>
    <w:tmpl w:val="EFD2E15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7063D1"/>
    <w:multiLevelType w:val="multilevel"/>
    <w:tmpl w:val="2F54EF24"/>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A35CA2"/>
    <w:multiLevelType w:val="hybridMultilevel"/>
    <w:tmpl w:val="DB40A016"/>
    <w:lvl w:ilvl="0" w:tplc="04050001">
      <w:start w:val="1"/>
      <w:numFmt w:val="bullet"/>
      <w:lvlText w:val=""/>
      <w:lvlJc w:val="left"/>
      <w:pPr>
        <w:tabs>
          <w:tab w:val="num" w:pos="889"/>
        </w:tabs>
        <w:ind w:left="889" w:hanging="360"/>
      </w:pPr>
      <w:rPr>
        <w:rFonts w:ascii="Symbol" w:hAnsi="Symbol" w:hint="default"/>
      </w:rPr>
    </w:lvl>
    <w:lvl w:ilvl="1" w:tplc="04050003">
      <w:start w:val="1"/>
      <w:numFmt w:val="bullet"/>
      <w:lvlText w:val="o"/>
      <w:lvlJc w:val="left"/>
      <w:pPr>
        <w:tabs>
          <w:tab w:val="num" w:pos="1609"/>
        </w:tabs>
        <w:ind w:left="1609" w:hanging="360"/>
      </w:pPr>
      <w:rPr>
        <w:rFonts w:ascii="Courier New" w:hAnsi="Courier New" w:cs="Courier New" w:hint="default"/>
      </w:rPr>
    </w:lvl>
    <w:lvl w:ilvl="2" w:tplc="04050005" w:tentative="1">
      <w:start w:val="1"/>
      <w:numFmt w:val="bullet"/>
      <w:lvlText w:val=""/>
      <w:lvlJc w:val="left"/>
      <w:pPr>
        <w:tabs>
          <w:tab w:val="num" w:pos="2329"/>
        </w:tabs>
        <w:ind w:left="2329" w:hanging="360"/>
      </w:pPr>
      <w:rPr>
        <w:rFonts w:ascii="Wingdings" w:hAnsi="Wingdings" w:hint="default"/>
      </w:rPr>
    </w:lvl>
    <w:lvl w:ilvl="3" w:tplc="04050001" w:tentative="1">
      <w:start w:val="1"/>
      <w:numFmt w:val="bullet"/>
      <w:lvlText w:val=""/>
      <w:lvlJc w:val="left"/>
      <w:pPr>
        <w:tabs>
          <w:tab w:val="num" w:pos="3049"/>
        </w:tabs>
        <w:ind w:left="3049" w:hanging="360"/>
      </w:pPr>
      <w:rPr>
        <w:rFonts w:ascii="Symbol" w:hAnsi="Symbol" w:hint="default"/>
      </w:rPr>
    </w:lvl>
    <w:lvl w:ilvl="4" w:tplc="04050003" w:tentative="1">
      <w:start w:val="1"/>
      <w:numFmt w:val="bullet"/>
      <w:lvlText w:val="o"/>
      <w:lvlJc w:val="left"/>
      <w:pPr>
        <w:tabs>
          <w:tab w:val="num" w:pos="3769"/>
        </w:tabs>
        <w:ind w:left="3769" w:hanging="360"/>
      </w:pPr>
      <w:rPr>
        <w:rFonts w:ascii="Courier New" w:hAnsi="Courier New" w:cs="Courier New" w:hint="default"/>
      </w:rPr>
    </w:lvl>
    <w:lvl w:ilvl="5" w:tplc="04050005" w:tentative="1">
      <w:start w:val="1"/>
      <w:numFmt w:val="bullet"/>
      <w:lvlText w:val=""/>
      <w:lvlJc w:val="left"/>
      <w:pPr>
        <w:tabs>
          <w:tab w:val="num" w:pos="4489"/>
        </w:tabs>
        <w:ind w:left="4489" w:hanging="360"/>
      </w:pPr>
      <w:rPr>
        <w:rFonts w:ascii="Wingdings" w:hAnsi="Wingdings" w:hint="default"/>
      </w:rPr>
    </w:lvl>
    <w:lvl w:ilvl="6" w:tplc="04050001" w:tentative="1">
      <w:start w:val="1"/>
      <w:numFmt w:val="bullet"/>
      <w:lvlText w:val=""/>
      <w:lvlJc w:val="left"/>
      <w:pPr>
        <w:tabs>
          <w:tab w:val="num" w:pos="5209"/>
        </w:tabs>
        <w:ind w:left="5209" w:hanging="360"/>
      </w:pPr>
      <w:rPr>
        <w:rFonts w:ascii="Symbol" w:hAnsi="Symbol" w:hint="default"/>
      </w:rPr>
    </w:lvl>
    <w:lvl w:ilvl="7" w:tplc="04050003" w:tentative="1">
      <w:start w:val="1"/>
      <w:numFmt w:val="bullet"/>
      <w:lvlText w:val="o"/>
      <w:lvlJc w:val="left"/>
      <w:pPr>
        <w:tabs>
          <w:tab w:val="num" w:pos="5929"/>
        </w:tabs>
        <w:ind w:left="5929" w:hanging="360"/>
      </w:pPr>
      <w:rPr>
        <w:rFonts w:ascii="Courier New" w:hAnsi="Courier New" w:cs="Courier New" w:hint="default"/>
      </w:rPr>
    </w:lvl>
    <w:lvl w:ilvl="8" w:tplc="04050005" w:tentative="1">
      <w:start w:val="1"/>
      <w:numFmt w:val="bullet"/>
      <w:lvlText w:val=""/>
      <w:lvlJc w:val="left"/>
      <w:pPr>
        <w:tabs>
          <w:tab w:val="num" w:pos="6649"/>
        </w:tabs>
        <w:ind w:left="6649" w:hanging="360"/>
      </w:pPr>
      <w:rPr>
        <w:rFonts w:ascii="Wingdings" w:hAnsi="Wingdings" w:hint="default"/>
      </w:rPr>
    </w:lvl>
  </w:abstractNum>
  <w:abstractNum w:abstractNumId="21" w15:restartNumberingAfterBreak="0">
    <w:nsid w:val="7CF22AE3"/>
    <w:multiLevelType w:val="hybridMultilevel"/>
    <w:tmpl w:val="F67C80D4"/>
    <w:lvl w:ilvl="0" w:tplc="CF906824">
      <w:start w:val="1"/>
      <w:numFmt w:val="decimal"/>
      <w:lvlText w:val="6.%1"/>
      <w:lvlJc w:val="left"/>
      <w:pPr>
        <w:tabs>
          <w:tab w:val="num" w:pos="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8"/>
  </w:num>
  <w:num w:numId="4">
    <w:abstractNumId w:val="17"/>
  </w:num>
  <w:num w:numId="5">
    <w:abstractNumId w:val="11"/>
  </w:num>
  <w:num w:numId="6">
    <w:abstractNumId w:val="10"/>
  </w:num>
  <w:num w:numId="7">
    <w:abstractNumId w:val="2"/>
  </w:num>
  <w:num w:numId="8">
    <w:abstractNumId w:val="12"/>
  </w:num>
  <w:num w:numId="9">
    <w:abstractNumId w:val="9"/>
  </w:num>
  <w:num w:numId="10">
    <w:abstractNumId w:val="4"/>
  </w:num>
  <w:num w:numId="11">
    <w:abstractNumId w:val="5"/>
  </w:num>
  <w:num w:numId="12">
    <w:abstractNumId w:val="15"/>
  </w:num>
  <w:num w:numId="13">
    <w:abstractNumId w:val="16"/>
  </w:num>
  <w:num w:numId="14">
    <w:abstractNumId w:val="6"/>
  </w:num>
  <w:num w:numId="15">
    <w:abstractNumId w:val="21"/>
  </w:num>
  <w:num w:numId="16">
    <w:abstractNumId w:val="13"/>
  </w:num>
  <w:num w:numId="17">
    <w:abstractNumId w:val="19"/>
  </w:num>
  <w:num w:numId="18">
    <w:abstractNumId w:val="20"/>
  </w:num>
  <w:num w:numId="19">
    <w:abstractNumId w:val="0"/>
  </w:num>
  <w:num w:numId="20">
    <w:abstractNumId w:val="7"/>
  </w:num>
  <w:num w:numId="21">
    <w:abstractNumId w:val="3"/>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1C"/>
    <w:rsid w:val="000016DB"/>
    <w:rsid w:val="0000340F"/>
    <w:rsid w:val="00005B36"/>
    <w:rsid w:val="00010F5E"/>
    <w:rsid w:val="00024E7C"/>
    <w:rsid w:val="0002516A"/>
    <w:rsid w:val="00026B4D"/>
    <w:rsid w:val="00032F22"/>
    <w:rsid w:val="000340F7"/>
    <w:rsid w:val="00043898"/>
    <w:rsid w:val="0005490D"/>
    <w:rsid w:val="000614BC"/>
    <w:rsid w:val="000766D9"/>
    <w:rsid w:val="00077B48"/>
    <w:rsid w:val="00085C0E"/>
    <w:rsid w:val="00091D3F"/>
    <w:rsid w:val="0009352F"/>
    <w:rsid w:val="000A4386"/>
    <w:rsid w:val="000B1566"/>
    <w:rsid w:val="000B3013"/>
    <w:rsid w:val="000B6D64"/>
    <w:rsid w:val="000C03A5"/>
    <w:rsid w:val="000C0B0B"/>
    <w:rsid w:val="000C36F2"/>
    <w:rsid w:val="000C4168"/>
    <w:rsid w:val="000C6BDE"/>
    <w:rsid w:val="000D2AAD"/>
    <w:rsid w:val="000D4825"/>
    <w:rsid w:val="000E1B65"/>
    <w:rsid w:val="000E1D07"/>
    <w:rsid w:val="000E58BE"/>
    <w:rsid w:val="000E61C6"/>
    <w:rsid w:val="000E6212"/>
    <w:rsid w:val="000F2963"/>
    <w:rsid w:val="000F5759"/>
    <w:rsid w:val="000F6978"/>
    <w:rsid w:val="001010FB"/>
    <w:rsid w:val="00104248"/>
    <w:rsid w:val="001114ED"/>
    <w:rsid w:val="00112717"/>
    <w:rsid w:val="0012009E"/>
    <w:rsid w:val="001311D5"/>
    <w:rsid w:val="00133800"/>
    <w:rsid w:val="00141362"/>
    <w:rsid w:val="0014238F"/>
    <w:rsid w:val="00142B52"/>
    <w:rsid w:val="00145316"/>
    <w:rsid w:val="0015148D"/>
    <w:rsid w:val="00152873"/>
    <w:rsid w:val="00153B03"/>
    <w:rsid w:val="001545FE"/>
    <w:rsid w:val="00156B41"/>
    <w:rsid w:val="00157661"/>
    <w:rsid w:val="0016292A"/>
    <w:rsid w:val="00163ED0"/>
    <w:rsid w:val="0017173B"/>
    <w:rsid w:val="001725E7"/>
    <w:rsid w:val="001734F2"/>
    <w:rsid w:val="00174B4F"/>
    <w:rsid w:val="0018561D"/>
    <w:rsid w:val="00186CE7"/>
    <w:rsid w:val="001906C2"/>
    <w:rsid w:val="001950C5"/>
    <w:rsid w:val="001A25F8"/>
    <w:rsid w:val="001B20CC"/>
    <w:rsid w:val="001B4D1D"/>
    <w:rsid w:val="001B69A0"/>
    <w:rsid w:val="001C3707"/>
    <w:rsid w:val="001C39A2"/>
    <w:rsid w:val="001C5FB8"/>
    <w:rsid w:val="001C64E1"/>
    <w:rsid w:val="001D06AC"/>
    <w:rsid w:val="001D18F0"/>
    <w:rsid w:val="001D68C1"/>
    <w:rsid w:val="001D7A3F"/>
    <w:rsid w:val="001E034C"/>
    <w:rsid w:val="001F0332"/>
    <w:rsid w:val="001F507D"/>
    <w:rsid w:val="001F7B67"/>
    <w:rsid w:val="002124B4"/>
    <w:rsid w:val="002129EC"/>
    <w:rsid w:val="00213F41"/>
    <w:rsid w:val="00214253"/>
    <w:rsid w:val="002151AE"/>
    <w:rsid w:val="0021626A"/>
    <w:rsid w:val="0022233C"/>
    <w:rsid w:val="00222BB4"/>
    <w:rsid w:val="00223319"/>
    <w:rsid w:val="00223D29"/>
    <w:rsid w:val="002262FA"/>
    <w:rsid w:val="00226B9B"/>
    <w:rsid w:val="00230174"/>
    <w:rsid w:val="002331DD"/>
    <w:rsid w:val="0023358E"/>
    <w:rsid w:val="00235293"/>
    <w:rsid w:val="00241CE6"/>
    <w:rsid w:val="002428C2"/>
    <w:rsid w:val="00243F57"/>
    <w:rsid w:val="00246EC3"/>
    <w:rsid w:val="002546AB"/>
    <w:rsid w:val="00260C3D"/>
    <w:rsid w:val="002669AA"/>
    <w:rsid w:val="00270869"/>
    <w:rsid w:val="00274774"/>
    <w:rsid w:val="0027482C"/>
    <w:rsid w:val="0027513F"/>
    <w:rsid w:val="00275447"/>
    <w:rsid w:val="00275919"/>
    <w:rsid w:val="00276EDB"/>
    <w:rsid w:val="002812D2"/>
    <w:rsid w:val="00294A00"/>
    <w:rsid w:val="00296EA6"/>
    <w:rsid w:val="002B1476"/>
    <w:rsid w:val="002B1511"/>
    <w:rsid w:val="002B71C1"/>
    <w:rsid w:val="002C66F3"/>
    <w:rsid w:val="002C7DEE"/>
    <w:rsid w:val="002D0139"/>
    <w:rsid w:val="002D39F2"/>
    <w:rsid w:val="002D4C18"/>
    <w:rsid w:val="002E046A"/>
    <w:rsid w:val="002E4901"/>
    <w:rsid w:val="002F6876"/>
    <w:rsid w:val="003016B3"/>
    <w:rsid w:val="003032B4"/>
    <w:rsid w:val="003041A6"/>
    <w:rsid w:val="00311327"/>
    <w:rsid w:val="0031262C"/>
    <w:rsid w:val="00322FE9"/>
    <w:rsid w:val="003265CC"/>
    <w:rsid w:val="00332C27"/>
    <w:rsid w:val="00335960"/>
    <w:rsid w:val="00336F79"/>
    <w:rsid w:val="00343850"/>
    <w:rsid w:val="00351A77"/>
    <w:rsid w:val="00354063"/>
    <w:rsid w:val="00354BDB"/>
    <w:rsid w:val="00372F8E"/>
    <w:rsid w:val="003912AD"/>
    <w:rsid w:val="00391F28"/>
    <w:rsid w:val="00396C0E"/>
    <w:rsid w:val="003A0D18"/>
    <w:rsid w:val="003A2F59"/>
    <w:rsid w:val="003A6CFE"/>
    <w:rsid w:val="003B0EF3"/>
    <w:rsid w:val="003B0FE6"/>
    <w:rsid w:val="003B1341"/>
    <w:rsid w:val="003B4A27"/>
    <w:rsid w:val="003D77E5"/>
    <w:rsid w:val="003E2323"/>
    <w:rsid w:val="003E3050"/>
    <w:rsid w:val="003E34F6"/>
    <w:rsid w:val="003E4234"/>
    <w:rsid w:val="003E4508"/>
    <w:rsid w:val="003E6AD8"/>
    <w:rsid w:val="003F41E0"/>
    <w:rsid w:val="003F61F0"/>
    <w:rsid w:val="00404C40"/>
    <w:rsid w:val="00405C0C"/>
    <w:rsid w:val="00406CE0"/>
    <w:rsid w:val="004076A8"/>
    <w:rsid w:val="00407BF0"/>
    <w:rsid w:val="00414D31"/>
    <w:rsid w:val="004161CF"/>
    <w:rsid w:val="00424DC9"/>
    <w:rsid w:val="004274F1"/>
    <w:rsid w:val="00431122"/>
    <w:rsid w:val="00434320"/>
    <w:rsid w:val="004543CC"/>
    <w:rsid w:val="00456D16"/>
    <w:rsid w:val="0045780E"/>
    <w:rsid w:val="00465A18"/>
    <w:rsid w:val="0047634E"/>
    <w:rsid w:val="00490B3D"/>
    <w:rsid w:val="00492185"/>
    <w:rsid w:val="00497994"/>
    <w:rsid w:val="004A277D"/>
    <w:rsid w:val="004A36FA"/>
    <w:rsid w:val="004A46C3"/>
    <w:rsid w:val="004A67A9"/>
    <w:rsid w:val="004A6E99"/>
    <w:rsid w:val="004B45A6"/>
    <w:rsid w:val="004B7629"/>
    <w:rsid w:val="004B7A30"/>
    <w:rsid w:val="004C1CFA"/>
    <w:rsid w:val="004C2512"/>
    <w:rsid w:val="004C3DC2"/>
    <w:rsid w:val="004F2FCC"/>
    <w:rsid w:val="004F464D"/>
    <w:rsid w:val="004F6BF3"/>
    <w:rsid w:val="00502A7E"/>
    <w:rsid w:val="005110B9"/>
    <w:rsid w:val="00521C9A"/>
    <w:rsid w:val="00523618"/>
    <w:rsid w:val="00523706"/>
    <w:rsid w:val="00536AC5"/>
    <w:rsid w:val="005415BF"/>
    <w:rsid w:val="00547FFB"/>
    <w:rsid w:val="00550032"/>
    <w:rsid w:val="0055054A"/>
    <w:rsid w:val="0055148C"/>
    <w:rsid w:val="005546EC"/>
    <w:rsid w:val="00563F1E"/>
    <w:rsid w:val="00571C60"/>
    <w:rsid w:val="005738DC"/>
    <w:rsid w:val="00583A7B"/>
    <w:rsid w:val="00586E15"/>
    <w:rsid w:val="00590E18"/>
    <w:rsid w:val="0059607D"/>
    <w:rsid w:val="00597D6F"/>
    <w:rsid w:val="005A142F"/>
    <w:rsid w:val="005A1D2A"/>
    <w:rsid w:val="005C4679"/>
    <w:rsid w:val="005C4CD6"/>
    <w:rsid w:val="005D01B4"/>
    <w:rsid w:val="005D121F"/>
    <w:rsid w:val="005D13C6"/>
    <w:rsid w:val="005D3E5E"/>
    <w:rsid w:val="005E14D6"/>
    <w:rsid w:val="005F11AD"/>
    <w:rsid w:val="005F7606"/>
    <w:rsid w:val="00605252"/>
    <w:rsid w:val="00605C61"/>
    <w:rsid w:val="00613390"/>
    <w:rsid w:val="0061385A"/>
    <w:rsid w:val="00613CC9"/>
    <w:rsid w:val="00620322"/>
    <w:rsid w:val="006214C8"/>
    <w:rsid w:val="00626CF8"/>
    <w:rsid w:val="006271A4"/>
    <w:rsid w:val="0063018E"/>
    <w:rsid w:val="006346A8"/>
    <w:rsid w:val="006462C9"/>
    <w:rsid w:val="00647709"/>
    <w:rsid w:val="00650AA7"/>
    <w:rsid w:val="006564FA"/>
    <w:rsid w:val="006602A1"/>
    <w:rsid w:val="006768B5"/>
    <w:rsid w:val="00680A50"/>
    <w:rsid w:val="00683FE7"/>
    <w:rsid w:val="00692E59"/>
    <w:rsid w:val="00694661"/>
    <w:rsid w:val="00696445"/>
    <w:rsid w:val="006B30C4"/>
    <w:rsid w:val="006B5446"/>
    <w:rsid w:val="006B7C2F"/>
    <w:rsid w:val="006C3F50"/>
    <w:rsid w:val="006C4B25"/>
    <w:rsid w:val="006D228A"/>
    <w:rsid w:val="006D56AC"/>
    <w:rsid w:val="006E07EE"/>
    <w:rsid w:val="006F078F"/>
    <w:rsid w:val="006F1A3F"/>
    <w:rsid w:val="006F1B9A"/>
    <w:rsid w:val="006F457B"/>
    <w:rsid w:val="00712CA6"/>
    <w:rsid w:val="007202AF"/>
    <w:rsid w:val="007304C0"/>
    <w:rsid w:val="007324E3"/>
    <w:rsid w:val="00736428"/>
    <w:rsid w:val="0073745D"/>
    <w:rsid w:val="00752272"/>
    <w:rsid w:val="0075416B"/>
    <w:rsid w:val="007568ED"/>
    <w:rsid w:val="0075765E"/>
    <w:rsid w:val="007636A8"/>
    <w:rsid w:val="007643BC"/>
    <w:rsid w:val="007654E8"/>
    <w:rsid w:val="00765A96"/>
    <w:rsid w:val="00771C89"/>
    <w:rsid w:val="007732BA"/>
    <w:rsid w:val="00773345"/>
    <w:rsid w:val="007750B1"/>
    <w:rsid w:val="00777B3C"/>
    <w:rsid w:val="007963D1"/>
    <w:rsid w:val="007A71B2"/>
    <w:rsid w:val="007A796F"/>
    <w:rsid w:val="007B2B64"/>
    <w:rsid w:val="007B3333"/>
    <w:rsid w:val="007C59A6"/>
    <w:rsid w:val="007D1CC0"/>
    <w:rsid w:val="007D6801"/>
    <w:rsid w:val="007E0100"/>
    <w:rsid w:val="007E0E3A"/>
    <w:rsid w:val="007E3A87"/>
    <w:rsid w:val="007E5C0E"/>
    <w:rsid w:val="007F07D8"/>
    <w:rsid w:val="007F76E7"/>
    <w:rsid w:val="00804F96"/>
    <w:rsid w:val="008118CB"/>
    <w:rsid w:val="008220AB"/>
    <w:rsid w:val="00824226"/>
    <w:rsid w:val="00830396"/>
    <w:rsid w:val="008357BB"/>
    <w:rsid w:val="008364BB"/>
    <w:rsid w:val="00836AFF"/>
    <w:rsid w:val="00837860"/>
    <w:rsid w:val="00837D63"/>
    <w:rsid w:val="00841FC7"/>
    <w:rsid w:val="00842760"/>
    <w:rsid w:val="00844550"/>
    <w:rsid w:val="00844F24"/>
    <w:rsid w:val="008466B7"/>
    <w:rsid w:val="00851162"/>
    <w:rsid w:val="00855686"/>
    <w:rsid w:val="00855CF7"/>
    <w:rsid w:val="008613D3"/>
    <w:rsid w:val="00864679"/>
    <w:rsid w:val="00865450"/>
    <w:rsid w:val="00866FD0"/>
    <w:rsid w:val="008674CE"/>
    <w:rsid w:val="00867BA1"/>
    <w:rsid w:val="008700BB"/>
    <w:rsid w:val="008720AB"/>
    <w:rsid w:val="008727D5"/>
    <w:rsid w:val="008741D1"/>
    <w:rsid w:val="008802D8"/>
    <w:rsid w:val="00882D75"/>
    <w:rsid w:val="00886C8D"/>
    <w:rsid w:val="008A57A7"/>
    <w:rsid w:val="008A6384"/>
    <w:rsid w:val="008B130A"/>
    <w:rsid w:val="008C52DD"/>
    <w:rsid w:val="008D33B5"/>
    <w:rsid w:val="008D3D79"/>
    <w:rsid w:val="008D6338"/>
    <w:rsid w:val="008E06F2"/>
    <w:rsid w:val="008E33D3"/>
    <w:rsid w:val="008E51A8"/>
    <w:rsid w:val="008E6396"/>
    <w:rsid w:val="008F27D8"/>
    <w:rsid w:val="008F77BC"/>
    <w:rsid w:val="008F7BA1"/>
    <w:rsid w:val="009121F7"/>
    <w:rsid w:val="00922C01"/>
    <w:rsid w:val="00930A0D"/>
    <w:rsid w:val="00933DD5"/>
    <w:rsid w:val="00942ADC"/>
    <w:rsid w:val="00946F38"/>
    <w:rsid w:val="009518E0"/>
    <w:rsid w:val="00955211"/>
    <w:rsid w:val="00957F05"/>
    <w:rsid w:val="00962680"/>
    <w:rsid w:val="00963488"/>
    <w:rsid w:val="00975AC2"/>
    <w:rsid w:val="00977CAC"/>
    <w:rsid w:val="009802F9"/>
    <w:rsid w:val="009810AB"/>
    <w:rsid w:val="0098220D"/>
    <w:rsid w:val="00985039"/>
    <w:rsid w:val="009910A1"/>
    <w:rsid w:val="00991254"/>
    <w:rsid w:val="00991437"/>
    <w:rsid w:val="0099334C"/>
    <w:rsid w:val="009A650A"/>
    <w:rsid w:val="009B117A"/>
    <w:rsid w:val="009C0025"/>
    <w:rsid w:val="009C6F3A"/>
    <w:rsid w:val="009C7C26"/>
    <w:rsid w:val="009D10E2"/>
    <w:rsid w:val="009D1651"/>
    <w:rsid w:val="009E2C89"/>
    <w:rsid w:val="009F1244"/>
    <w:rsid w:val="009F3628"/>
    <w:rsid w:val="009F6EBD"/>
    <w:rsid w:val="00A02FA5"/>
    <w:rsid w:val="00A04080"/>
    <w:rsid w:val="00A06DD0"/>
    <w:rsid w:val="00A112EF"/>
    <w:rsid w:val="00A11C32"/>
    <w:rsid w:val="00A13730"/>
    <w:rsid w:val="00A21786"/>
    <w:rsid w:val="00A246AC"/>
    <w:rsid w:val="00A25D14"/>
    <w:rsid w:val="00A2752C"/>
    <w:rsid w:val="00A31C04"/>
    <w:rsid w:val="00A36871"/>
    <w:rsid w:val="00A36F37"/>
    <w:rsid w:val="00A54D76"/>
    <w:rsid w:val="00A560B7"/>
    <w:rsid w:val="00A56D3E"/>
    <w:rsid w:val="00A75D6F"/>
    <w:rsid w:val="00A76FD4"/>
    <w:rsid w:val="00A80410"/>
    <w:rsid w:val="00A80866"/>
    <w:rsid w:val="00A81641"/>
    <w:rsid w:val="00A84B86"/>
    <w:rsid w:val="00A857A6"/>
    <w:rsid w:val="00A85F05"/>
    <w:rsid w:val="00A86FCD"/>
    <w:rsid w:val="00A91095"/>
    <w:rsid w:val="00A95CF9"/>
    <w:rsid w:val="00AB0F8E"/>
    <w:rsid w:val="00AB35F0"/>
    <w:rsid w:val="00AB4F46"/>
    <w:rsid w:val="00AB5DCC"/>
    <w:rsid w:val="00AC1828"/>
    <w:rsid w:val="00AC5083"/>
    <w:rsid w:val="00AC565A"/>
    <w:rsid w:val="00AD0919"/>
    <w:rsid w:val="00AD2FBA"/>
    <w:rsid w:val="00AD45FE"/>
    <w:rsid w:val="00AD4F4C"/>
    <w:rsid w:val="00AD71E5"/>
    <w:rsid w:val="00AE0009"/>
    <w:rsid w:val="00AE6876"/>
    <w:rsid w:val="00AE7EC5"/>
    <w:rsid w:val="00AF1C18"/>
    <w:rsid w:val="00AF5B7D"/>
    <w:rsid w:val="00AF7BA0"/>
    <w:rsid w:val="00B040F7"/>
    <w:rsid w:val="00B11A1E"/>
    <w:rsid w:val="00B138D8"/>
    <w:rsid w:val="00B20E03"/>
    <w:rsid w:val="00B253F9"/>
    <w:rsid w:val="00B2641E"/>
    <w:rsid w:val="00B273BA"/>
    <w:rsid w:val="00B307A0"/>
    <w:rsid w:val="00B32EB7"/>
    <w:rsid w:val="00B432BC"/>
    <w:rsid w:val="00B44B6E"/>
    <w:rsid w:val="00B46B72"/>
    <w:rsid w:val="00B5676C"/>
    <w:rsid w:val="00B6604B"/>
    <w:rsid w:val="00B67622"/>
    <w:rsid w:val="00B73753"/>
    <w:rsid w:val="00B8482C"/>
    <w:rsid w:val="00B901E0"/>
    <w:rsid w:val="00B91740"/>
    <w:rsid w:val="00B9296E"/>
    <w:rsid w:val="00BA0012"/>
    <w:rsid w:val="00BA1CBA"/>
    <w:rsid w:val="00BA2F4B"/>
    <w:rsid w:val="00BA2F67"/>
    <w:rsid w:val="00BB0E1B"/>
    <w:rsid w:val="00BC04B8"/>
    <w:rsid w:val="00BC391C"/>
    <w:rsid w:val="00BC70F4"/>
    <w:rsid w:val="00BE48DB"/>
    <w:rsid w:val="00BF0956"/>
    <w:rsid w:val="00BF0972"/>
    <w:rsid w:val="00BF09FF"/>
    <w:rsid w:val="00BF43E1"/>
    <w:rsid w:val="00C0249D"/>
    <w:rsid w:val="00C07140"/>
    <w:rsid w:val="00C1173F"/>
    <w:rsid w:val="00C117D4"/>
    <w:rsid w:val="00C14388"/>
    <w:rsid w:val="00C14E19"/>
    <w:rsid w:val="00C15107"/>
    <w:rsid w:val="00C15114"/>
    <w:rsid w:val="00C211B0"/>
    <w:rsid w:val="00C230C6"/>
    <w:rsid w:val="00C32235"/>
    <w:rsid w:val="00C33701"/>
    <w:rsid w:val="00C374AF"/>
    <w:rsid w:val="00C40F79"/>
    <w:rsid w:val="00C446AD"/>
    <w:rsid w:val="00C50FDC"/>
    <w:rsid w:val="00C54818"/>
    <w:rsid w:val="00C63C0C"/>
    <w:rsid w:val="00C64B1E"/>
    <w:rsid w:val="00C72487"/>
    <w:rsid w:val="00C73902"/>
    <w:rsid w:val="00C7745E"/>
    <w:rsid w:val="00C84A36"/>
    <w:rsid w:val="00C941A7"/>
    <w:rsid w:val="00CA1EAB"/>
    <w:rsid w:val="00CB137E"/>
    <w:rsid w:val="00CC1825"/>
    <w:rsid w:val="00CC40B4"/>
    <w:rsid w:val="00CF0622"/>
    <w:rsid w:val="00CF62AC"/>
    <w:rsid w:val="00CF71A8"/>
    <w:rsid w:val="00D04719"/>
    <w:rsid w:val="00D052BB"/>
    <w:rsid w:val="00D05E48"/>
    <w:rsid w:val="00D067DB"/>
    <w:rsid w:val="00D07E8F"/>
    <w:rsid w:val="00D15913"/>
    <w:rsid w:val="00D201CB"/>
    <w:rsid w:val="00D23276"/>
    <w:rsid w:val="00D27DC3"/>
    <w:rsid w:val="00D30F47"/>
    <w:rsid w:val="00D345E6"/>
    <w:rsid w:val="00D3544E"/>
    <w:rsid w:val="00D361EB"/>
    <w:rsid w:val="00D40771"/>
    <w:rsid w:val="00D40F42"/>
    <w:rsid w:val="00D45380"/>
    <w:rsid w:val="00D46284"/>
    <w:rsid w:val="00D47297"/>
    <w:rsid w:val="00D50E05"/>
    <w:rsid w:val="00D54801"/>
    <w:rsid w:val="00D54A4F"/>
    <w:rsid w:val="00D62E3F"/>
    <w:rsid w:val="00D66992"/>
    <w:rsid w:val="00D76FCC"/>
    <w:rsid w:val="00D772BA"/>
    <w:rsid w:val="00D806B9"/>
    <w:rsid w:val="00D84950"/>
    <w:rsid w:val="00D87967"/>
    <w:rsid w:val="00D905C1"/>
    <w:rsid w:val="00D92B7A"/>
    <w:rsid w:val="00D9310B"/>
    <w:rsid w:val="00D95E4A"/>
    <w:rsid w:val="00DA7366"/>
    <w:rsid w:val="00DB13B8"/>
    <w:rsid w:val="00DB2F9D"/>
    <w:rsid w:val="00DB6596"/>
    <w:rsid w:val="00DC23FE"/>
    <w:rsid w:val="00DC293D"/>
    <w:rsid w:val="00DC318E"/>
    <w:rsid w:val="00DC40C4"/>
    <w:rsid w:val="00DC4105"/>
    <w:rsid w:val="00DC5056"/>
    <w:rsid w:val="00DC5CBC"/>
    <w:rsid w:val="00DC6EB8"/>
    <w:rsid w:val="00DD7839"/>
    <w:rsid w:val="00DE16DB"/>
    <w:rsid w:val="00DE4132"/>
    <w:rsid w:val="00DF7300"/>
    <w:rsid w:val="00E008D6"/>
    <w:rsid w:val="00E03D00"/>
    <w:rsid w:val="00E04281"/>
    <w:rsid w:val="00E07107"/>
    <w:rsid w:val="00E12C0E"/>
    <w:rsid w:val="00E14D26"/>
    <w:rsid w:val="00E17F44"/>
    <w:rsid w:val="00E24518"/>
    <w:rsid w:val="00E30418"/>
    <w:rsid w:val="00E33143"/>
    <w:rsid w:val="00E33973"/>
    <w:rsid w:val="00E518CE"/>
    <w:rsid w:val="00E51F73"/>
    <w:rsid w:val="00E63B49"/>
    <w:rsid w:val="00E74938"/>
    <w:rsid w:val="00E86A0A"/>
    <w:rsid w:val="00E90C8D"/>
    <w:rsid w:val="00E9258C"/>
    <w:rsid w:val="00EA1879"/>
    <w:rsid w:val="00EB228E"/>
    <w:rsid w:val="00EB4309"/>
    <w:rsid w:val="00EB4668"/>
    <w:rsid w:val="00EC06A9"/>
    <w:rsid w:val="00EC5B44"/>
    <w:rsid w:val="00EC7EB3"/>
    <w:rsid w:val="00ED60CF"/>
    <w:rsid w:val="00EE0B0C"/>
    <w:rsid w:val="00EE19AD"/>
    <w:rsid w:val="00EE1D68"/>
    <w:rsid w:val="00EE48A1"/>
    <w:rsid w:val="00EE5C61"/>
    <w:rsid w:val="00EF135A"/>
    <w:rsid w:val="00EF43C1"/>
    <w:rsid w:val="00EF4ACF"/>
    <w:rsid w:val="00F0208D"/>
    <w:rsid w:val="00F02CD4"/>
    <w:rsid w:val="00F046EA"/>
    <w:rsid w:val="00F06913"/>
    <w:rsid w:val="00F11BCF"/>
    <w:rsid w:val="00F140FA"/>
    <w:rsid w:val="00F170BA"/>
    <w:rsid w:val="00F3170C"/>
    <w:rsid w:val="00F33746"/>
    <w:rsid w:val="00F408CA"/>
    <w:rsid w:val="00F46795"/>
    <w:rsid w:val="00F475D7"/>
    <w:rsid w:val="00F57A17"/>
    <w:rsid w:val="00F6183F"/>
    <w:rsid w:val="00F65F26"/>
    <w:rsid w:val="00F77286"/>
    <w:rsid w:val="00F834E6"/>
    <w:rsid w:val="00F8481C"/>
    <w:rsid w:val="00F9160F"/>
    <w:rsid w:val="00F9295C"/>
    <w:rsid w:val="00F9431D"/>
    <w:rsid w:val="00F94351"/>
    <w:rsid w:val="00F94C4B"/>
    <w:rsid w:val="00FA0202"/>
    <w:rsid w:val="00FA0324"/>
    <w:rsid w:val="00FB1207"/>
    <w:rsid w:val="00FB4EE5"/>
    <w:rsid w:val="00FB67F3"/>
    <w:rsid w:val="00FC047C"/>
    <w:rsid w:val="00FC5336"/>
    <w:rsid w:val="00FC6852"/>
    <w:rsid w:val="00FD0F37"/>
    <w:rsid w:val="00FD13D1"/>
    <w:rsid w:val="00FD4A0A"/>
    <w:rsid w:val="00FD73C2"/>
    <w:rsid w:val="00FE0C35"/>
    <w:rsid w:val="00FE444D"/>
    <w:rsid w:val="00FE578C"/>
    <w:rsid w:val="00FF044E"/>
    <w:rsid w:val="00FF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7E659"/>
  <w15:chartTrackingRefBased/>
  <w15:docId w15:val="{FB8C0CA8-5606-401A-BF55-EAA23572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C391C"/>
    <w:rPr>
      <w:sz w:val="24"/>
      <w:szCs w:val="24"/>
      <w:lang w:val="cs-CZ" w:eastAsia="cs-CZ"/>
    </w:rPr>
  </w:style>
  <w:style w:type="paragraph" w:styleId="Nadpis1">
    <w:name w:val="heading 1"/>
    <w:basedOn w:val="Normln"/>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customStyle="1" w:styleId="Zvraznn">
    <w:name w:val="Zvýraznění"/>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A04080"/>
    <w:pPr>
      <w:tabs>
        <w:tab w:val="center" w:pos="4536"/>
        <w:tab w:val="right" w:pos="9072"/>
      </w:tabs>
    </w:pPr>
    <w:rPr>
      <w:lang w:val="x-none" w:eastAsia="x-none"/>
    </w:rPr>
  </w:style>
  <w:style w:type="character" w:styleId="slostrnky">
    <w:name w:val="page number"/>
    <w:basedOn w:val="Standardnpsmoodstavce"/>
    <w:rsid w:val="00A04080"/>
  </w:style>
  <w:style w:type="paragraph" w:styleId="Zhlav">
    <w:name w:val="header"/>
    <w:basedOn w:val="Normln"/>
    <w:link w:val="ZhlavChar"/>
    <w:rsid w:val="004274F1"/>
    <w:pPr>
      <w:tabs>
        <w:tab w:val="center" w:pos="4536"/>
        <w:tab w:val="right" w:pos="9072"/>
      </w:tabs>
    </w:pPr>
    <w:rPr>
      <w:lang w:val="x-none" w:eastAsia="x-none"/>
    </w:rPr>
  </w:style>
  <w:style w:type="character" w:customStyle="1" w:styleId="ZhlavChar">
    <w:name w:val="Záhlaví Char"/>
    <w:link w:val="Zhlav"/>
    <w:rsid w:val="004274F1"/>
    <w:rPr>
      <w:sz w:val="24"/>
      <w:szCs w:val="24"/>
    </w:rPr>
  </w:style>
  <w:style w:type="character" w:customStyle="1" w:styleId="ZpatChar">
    <w:name w:val="Zápatí Char"/>
    <w:link w:val="Zpat"/>
    <w:uiPriority w:val="99"/>
    <w:rsid w:val="004274F1"/>
    <w:rPr>
      <w:sz w:val="24"/>
      <w:szCs w:val="24"/>
    </w:rPr>
  </w:style>
  <w:style w:type="character" w:styleId="Odkaznakoment">
    <w:name w:val="annotation reference"/>
    <w:rsid w:val="00922C01"/>
    <w:rPr>
      <w:sz w:val="16"/>
      <w:szCs w:val="16"/>
    </w:rPr>
  </w:style>
  <w:style w:type="paragraph" w:styleId="Textkomente">
    <w:name w:val="annotation text"/>
    <w:basedOn w:val="Normln"/>
    <w:link w:val="TextkomenteChar"/>
    <w:rsid w:val="00922C01"/>
    <w:rPr>
      <w:sz w:val="20"/>
      <w:szCs w:val="20"/>
    </w:rPr>
  </w:style>
  <w:style w:type="character" w:customStyle="1" w:styleId="TextkomenteChar">
    <w:name w:val="Text komentáře Char"/>
    <w:basedOn w:val="Standardnpsmoodstavce"/>
    <w:link w:val="Textkomente"/>
    <w:rsid w:val="00922C01"/>
  </w:style>
  <w:style w:type="paragraph" w:styleId="Pedmtkomente">
    <w:name w:val="annotation subject"/>
    <w:basedOn w:val="Textkomente"/>
    <w:next w:val="Textkomente"/>
    <w:link w:val="PedmtkomenteChar"/>
    <w:rsid w:val="00922C01"/>
    <w:rPr>
      <w:b/>
      <w:bCs/>
      <w:lang w:val="x-none" w:eastAsia="x-none"/>
    </w:rPr>
  </w:style>
  <w:style w:type="character" w:customStyle="1" w:styleId="PedmtkomenteChar">
    <w:name w:val="Předmět komentáře Char"/>
    <w:link w:val="Pedmtkomente"/>
    <w:rsid w:val="00922C01"/>
    <w:rPr>
      <w:b/>
      <w:bCs/>
    </w:rPr>
  </w:style>
  <w:style w:type="paragraph" w:customStyle="1" w:styleId="Default">
    <w:name w:val="Default"/>
    <w:rsid w:val="00F834E6"/>
    <w:pPr>
      <w:autoSpaceDE w:val="0"/>
      <w:autoSpaceDN w:val="0"/>
      <w:adjustRightInd w:val="0"/>
    </w:pPr>
    <w:rPr>
      <w:rFonts w:ascii="Arial" w:hAnsi="Arial" w:cs="Arial"/>
      <w:color w:val="000000"/>
      <w:sz w:val="24"/>
      <w:szCs w:val="24"/>
      <w:lang w:val="cs-CZ" w:eastAsia="cs-CZ"/>
    </w:rPr>
  </w:style>
  <w:style w:type="paragraph" w:styleId="Revize">
    <w:name w:val="Revision"/>
    <w:hidden/>
    <w:uiPriority w:val="99"/>
    <w:semiHidden/>
    <w:rsid w:val="00A85F05"/>
    <w:rPr>
      <w:sz w:val="24"/>
      <w:szCs w:val="24"/>
      <w:lang w:val="cs-CZ" w:eastAsia="cs-CZ"/>
    </w:rPr>
  </w:style>
  <w:style w:type="character" w:styleId="Nevyeenzmnka">
    <w:name w:val="Unresolved Mention"/>
    <w:uiPriority w:val="99"/>
    <w:semiHidden/>
    <w:unhideWhenUsed/>
    <w:rsid w:val="002D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69083">
      <w:bodyDiv w:val="1"/>
      <w:marLeft w:val="0"/>
      <w:marRight w:val="0"/>
      <w:marTop w:val="0"/>
      <w:marBottom w:val="0"/>
      <w:divBdr>
        <w:top w:val="none" w:sz="0" w:space="0" w:color="auto"/>
        <w:left w:val="none" w:sz="0" w:space="0" w:color="auto"/>
        <w:bottom w:val="none" w:sz="0" w:space="0" w:color="auto"/>
        <w:right w:val="none" w:sz="0" w:space="0" w:color="auto"/>
      </w:divBdr>
    </w:div>
    <w:div w:id="688877149">
      <w:bodyDiv w:val="1"/>
      <w:marLeft w:val="0"/>
      <w:marRight w:val="0"/>
      <w:marTop w:val="0"/>
      <w:marBottom w:val="0"/>
      <w:divBdr>
        <w:top w:val="none" w:sz="0" w:space="0" w:color="auto"/>
        <w:left w:val="none" w:sz="0" w:space="0" w:color="auto"/>
        <w:bottom w:val="none" w:sz="0" w:space="0" w:color="auto"/>
        <w:right w:val="none" w:sz="0" w:space="0" w:color="auto"/>
      </w:divBdr>
    </w:div>
    <w:div w:id="1146703655">
      <w:bodyDiv w:val="1"/>
      <w:marLeft w:val="0"/>
      <w:marRight w:val="0"/>
      <w:marTop w:val="0"/>
      <w:marBottom w:val="0"/>
      <w:divBdr>
        <w:top w:val="none" w:sz="0" w:space="0" w:color="auto"/>
        <w:left w:val="none" w:sz="0" w:space="0" w:color="auto"/>
        <w:bottom w:val="none" w:sz="0" w:space="0" w:color="auto"/>
        <w:right w:val="none" w:sz="0" w:space="0" w:color="auto"/>
      </w:divBdr>
    </w:div>
    <w:div w:id="1238783080">
      <w:bodyDiv w:val="1"/>
      <w:marLeft w:val="0"/>
      <w:marRight w:val="0"/>
      <w:marTop w:val="0"/>
      <w:marBottom w:val="0"/>
      <w:divBdr>
        <w:top w:val="none" w:sz="0" w:space="0" w:color="auto"/>
        <w:left w:val="none" w:sz="0" w:space="0" w:color="auto"/>
        <w:bottom w:val="none" w:sz="0" w:space="0" w:color="auto"/>
        <w:right w:val="none" w:sz="0" w:space="0" w:color="auto"/>
      </w:divBdr>
    </w:div>
    <w:div w:id="1922443345">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ek@irsm.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van.prachar@ipconsul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1960-1F5E-45CE-AC91-4A2C902B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4245</Words>
  <Characters>25469</Characters>
  <Application>Microsoft Office Word</Application>
  <DocSecurity>4</DocSecurity>
  <Lines>212</Lines>
  <Paragraphs>59</Paragraphs>
  <ScaleCrop>false</ScaleCrop>
  <HeadingPairs>
    <vt:vector size="2" baseType="variant">
      <vt:variant>
        <vt:lpstr>Název</vt:lpstr>
      </vt:variant>
      <vt:variant>
        <vt:i4>1</vt:i4>
      </vt:variant>
    </vt:vector>
  </HeadingPairs>
  <TitlesOfParts>
    <vt:vector size="1" baseType="lpstr">
      <vt:lpstr>SMLOUVA O PARTNERSTVÍ A VZÁJEMNÉ SPOLUPRÁCI A VYUŽITÍ VÝSLEDKŮ VÝZKUMU A VÝVOJE</vt:lpstr>
    </vt:vector>
  </TitlesOfParts>
  <Company>VSCHT</Company>
  <LinksUpToDate>false</LinksUpToDate>
  <CharactersWithSpaces>29655</CharactersWithSpaces>
  <SharedDoc>false</SharedDoc>
  <HLinks>
    <vt:vector size="12" baseType="variant">
      <vt:variant>
        <vt:i4>2097247</vt:i4>
      </vt:variant>
      <vt:variant>
        <vt:i4>3</vt:i4>
      </vt:variant>
      <vt:variant>
        <vt:i4>0</vt:i4>
      </vt:variant>
      <vt:variant>
        <vt:i4>5</vt:i4>
      </vt:variant>
      <vt:variant>
        <vt:lpwstr>mailto:ivan.prachar@ipconsult.cz</vt:lpwstr>
      </vt:variant>
      <vt:variant>
        <vt:lpwstr/>
      </vt:variant>
      <vt:variant>
        <vt:i4>589922</vt:i4>
      </vt:variant>
      <vt:variant>
        <vt:i4>0</vt:i4>
      </vt:variant>
      <vt:variant>
        <vt:i4>0</vt:i4>
      </vt:variant>
      <vt:variant>
        <vt:i4>5</vt:i4>
      </vt:variant>
      <vt:variant>
        <vt:lpwstr>mailto:malek@irsm.cas.cz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PARTNERSTVÍ A VZÁJEMNÉ SPOLUPRÁCI A VYUŽITÍ VÝSLEDKŮ VÝZKUMU A VÝVOJE</dc:title>
  <dc:subject/>
  <dc:creator>marcof</dc:creator>
  <cp:keywords/>
  <cp:lastModifiedBy>Žaneta Hessová</cp:lastModifiedBy>
  <cp:revision>2</cp:revision>
  <cp:lastPrinted>2021-03-09T08:35:00Z</cp:lastPrinted>
  <dcterms:created xsi:type="dcterms:W3CDTF">2021-03-10T06:48:00Z</dcterms:created>
  <dcterms:modified xsi:type="dcterms:W3CDTF">2021-03-10T06:48:00Z</dcterms:modified>
</cp:coreProperties>
</file>