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4AF07FC6"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8135A0">
        <w:rPr>
          <w:rFonts w:eastAsia="HG Mincho Light J" w:cs="Arial"/>
          <w:b/>
          <w:caps/>
          <w:position w:val="6"/>
          <w:lang w:eastAsia="zh-TW"/>
        </w:rPr>
        <w:t>519</w:t>
      </w:r>
    </w:p>
    <w:p w14:paraId="0FF44748" w14:textId="55BF0AC1" w:rsidR="00D65DC3" w:rsidRPr="007B6AF8" w:rsidRDefault="008220C9"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gramStart"/>
      <w:r w:rsidRPr="007B6AF8">
        <w:rPr>
          <w:b w:val="0"/>
          <w:sz w:val="20"/>
          <w:szCs w:val="20"/>
          <w:lang w:val="cs-CZ"/>
        </w:rPr>
        <w:t>č.j.</w:t>
      </w:r>
      <w:proofErr w:type="gramEnd"/>
      <w:r w:rsidRPr="007B6AF8">
        <w:rPr>
          <w:b w:val="0"/>
          <w:sz w:val="20"/>
          <w:szCs w:val="20"/>
          <w:lang w:val="cs-CZ"/>
        </w:rPr>
        <w:t xml:space="preserve">:NPU-430/16302/2021; </w:t>
      </w:r>
      <w:proofErr w:type="spellStart"/>
      <w:r w:rsidRPr="007B6AF8">
        <w:rPr>
          <w:b w:val="0"/>
          <w:sz w:val="20"/>
          <w:szCs w:val="20"/>
          <w:lang w:val="cs-CZ"/>
        </w:rPr>
        <w:t>č.sml</w:t>
      </w:r>
      <w:proofErr w:type="spellEnd"/>
      <w:r w:rsidRPr="007B6AF8">
        <w:rPr>
          <w:b w:val="0"/>
          <w:sz w:val="20"/>
          <w:szCs w:val="20"/>
          <w:lang w:val="cs-CZ"/>
        </w:rPr>
        <w:t>. 3006H1210001</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2117283F"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7B6AF8">
        <w:rPr>
          <w:b/>
          <w:sz w:val="22"/>
          <w:szCs w:val="22"/>
          <w:lang w:val="cs-CZ"/>
        </w:rPr>
        <w:t>XXXXXXXXXXXXXXXX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5D69ED2E" w:rsidR="000960B4" w:rsidRPr="00643CFC" w:rsidRDefault="004A7DFC" w:rsidP="004A7DFC">
      <w:pPr>
        <w:rPr>
          <w:rFonts w:cs="Arial"/>
          <w:b/>
          <w:sz w:val="22"/>
          <w:szCs w:val="22"/>
        </w:rPr>
      </w:pPr>
      <w:r w:rsidRPr="00643CFC">
        <w:rPr>
          <w:rFonts w:cs="Arial"/>
          <w:b/>
          <w:sz w:val="22"/>
          <w:szCs w:val="22"/>
        </w:rPr>
        <w:t xml:space="preserve">kontaktní e-mailová adresa: </w:t>
      </w:r>
      <w:r w:rsidR="007B6AF8">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14A3B471"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SMLPO-2019-991-0004</w:t>
      </w:r>
      <w:r w:rsidR="008135A0">
        <w:rPr>
          <w:sz w:val="22"/>
          <w:szCs w:val="22"/>
          <w:lang w:val="cs-CZ"/>
        </w:rPr>
        <w:t>30</w:t>
      </w:r>
      <w:r w:rsidRPr="00F528F1">
        <w:rPr>
          <w:sz w:val="22"/>
          <w:szCs w:val="22"/>
        </w:rPr>
        <w:t xml:space="preserve"> ze dne </w:t>
      </w:r>
      <w:r w:rsidR="008135A0">
        <w:rPr>
          <w:sz w:val="22"/>
          <w:szCs w:val="22"/>
          <w:lang w:val="cs-CZ"/>
        </w:rPr>
        <w:t>9</w:t>
      </w:r>
      <w:r w:rsidR="00231C30">
        <w:rPr>
          <w:sz w:val="22"/>
          <w:szCs w:val="22"/>
          <w:lang w:val="cs-CZ"/>
        </w:rPr>
        <w:t>.</w:t>
      </w:r>
      <w:r w:rsidR="00C05B03">
        <w:rPr>
          <w:sz w:val="22"/>
          <w:szCs w:val="22"/>
          <w:lang w:val="cs-CZ"/>
        </w:rPr>
        <w:t>7</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424FDC22"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8135A0">
        <w:rPr>
          <w:b/>
          <w:bCs/>
          <w:sz w:val="24"/>
          <w:szCs w:val="24"/>
          <w:lang w:val="cs-CZ"/>
        </w:rPr>
        <w:t>Z Kratochvíle</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467872B4"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8135A0">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2F41E1A0"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8135A0">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354331D1"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5F466F">
        <w:rPr>
          <w:sz w:val="22"/>
          <w:szCs w:val="22"/>
          <w:lang w:val="cs-CZ"/>
        </w:rPr>
        <w:t>XXXXXXXX</w:t>
      </w:r>
      <w:r w:rsidR="00231C30">
        <w:rPr>
          <w:sz w:val="22"/>
          <w:szCs w:val="22"/>
          <w:lang w:val="cs-CZ"/>
        </w:rPr>
        <w:t xml:space="preserve">, </w:t>
      </w:r>
      <w:r w:rsidR="005F466F">
        <w:rPr>
          <w:sz w:val="22"/>
          <w:szCs w:val="22"/>
          <w:lang w:val="cs-CZ"/>
        </w:rPr>
        <w:t>XXXXXXXX</w:t>
      </w:r>
    </w:p>
    <w:p w14:paraId="02F10AE9" w14:textId="44342869"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5F466F">
        <w:rPr>
          <w:sz w:val="22"/>
          <w:szCs w:val="22"/>
          <w:lang w:val="cs-CZ"/>
        </w:rPr>
        <w:t>XXXXXXXX</w:t>
      </w:r>
      <w:r w:rsidR="005F466F">
        <w:rPr>
          <w:sz w:val="22"/>
          <w:szCs w:val="22"/>
          <w:lang w:val="cs-CZ"/>
        </w:rPr>
        <w:t>X</w:t>
      </w:r>
      <w:r w:rsidR="00231C30">
        <w:rPr>
          <w:sz w:val="22"/>
          <w:szCs w:val="22"/>
          <w:lang w:val="cs-CZ"/>
        </w:rPr>
        <w:t>,</w:t>
      </w:r>
    </w:p>
    <w:p w14:paraId="743C4E94" w14:textId="516CAA1F"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5F466F">
        <w:rPr>
          <w:sz w:val="22"/>
          <w:szCs w:val="22"/>
          <w:lang w:val="cs-CZ"/>
        </w:rPr>
        <w:t>XXXXXXXX</w:t>
      </w:r>
      <w:r w:rsidR="005F466F">
        <w:rPr>
          <w:sz w:val="22"/>
          <w:szCs w:val="22"/>
          <w:lang w:val="cs-CZ"/>
        </w:rPr>
        <w:t>XXXXXXX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7EBFB128"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5F466F">
        <w:rPr>
          <w:sz w:val="22"/>
          <w:szCs w:val="22"/>
          <w:lang w:val="cs-CZ"/>
        </w:rPr>
        <w:t>XXXXXXXX</w:t>
      </w:r>
      <w:r w:rsidR="00231C30">
        <w:rPr>
          <w:sz w:val="22"/>
          <w:szCs w:val="22"/>
          <w:lang w:val="cs-CZ"/>
        </w:rPr>
        <w:t xml:space="preserve">, </w:t>
      </w:r>
      <w:r w:rsidR="005F466F">
        <w:rPr>
          <w:sz w:val="22"/>
          <w:szCs w:val="22"/>
          <w:lang w:val="cs-CZ"/>
        </w:rPr>
        <w:t>XXXXXXXX</w:t>
      </w:r>
    </w:p>
    <w:p w14:paraId="7AFAA3A2" w14:textId="3EA43404"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5F466F">
        <w:rPr>
          <w:sz w:val="22"/>
          <w:szCs w:val="22"/>
          <w:lang w:val="cs-CZ"/>
        </w:rPr>
        <w:t>XXXXXXXX</w:t>
      </w:r>
      <w:r w:rsidR="005F466F">
        <w:rPr>
          <w:sz w:val="22"/>
          <w:szCs w:val="22"/>
          <w:lang w:val="cs-CZ"/>
        </w:rPr>
        <w:t>X</w:t>
      </w:r>
      <w:r w:rsidRPr="009012FB">
        <w:rPr>
          <w:sz w:val="22"/>
          <w:szCs w:val="22"/>
        </w:rPr>
        <w:t>,</w:t>
      </w:r>
    </w:p>
    <w:p w14:paraId="7C647BA7" w14:textId="7BBBC508"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5F466F">
        <w:rPr>
          <w:sz w:val="22"/>
          <w:szCs w:val="22"/>
          <w:lang w:val="cs-CZ"/>
        </w:rPr>
        <w:t>XXXXXXXX</w:t>
      </w:r>
      <w:r w:rsidR="005F466F">
        <w:rPr>
          <w:sz w:val="22"/>
          <w:szCs w:val="22"/>
          <w:lang w:val="cs-CZ"/>
        </w:rPr>
        <w:t>XXXXXXX</w:t>
      </w:r>
      <w:r>
        <w:rPr>
          <w:sz w:val="22"/>
          <w:szCs w:val="22"/>
          <w:lang w:val="cs-CZ"/>
        </w:rPr>
        <w:t>,</w:t>
      </w:r>
      <w:r>
        <w:rPr>
          <w:sz w:val="22"/>
          <w:szCs w:val="22"/>
        </w:rPr>
        <w:t xml:space="preserve"> </w:t>
      </w:r>
    </w:p>
    <w:p w14:paraId="35E8B4F9" w14:textId="0B08ED6D"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8135A0">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55E79BDA"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8135A0">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5380193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8135A0">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637C2739"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8135A0">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5507A448"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8135A0">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131218B"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8135A0">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0A3692A0"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8135A0">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2548E64F"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8135A0">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44DA86B1"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8135A0">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8135A0">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2F550A6C"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8135A0">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3AB3C349"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9A767D">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C6945F4"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8135A0">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634FF063"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8135A0">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5B0AEBC2" w14:textId="77777777" w:rsidR="009A767D" w:rsidRPr="001265C5" w:rsidRDefault="009A767D" w:rsidP="009A767D">
      <w:pPr>
        <w:pStyle w:val="Parnadpis"/>
        <w:numPr>
          <w:ilvl w:val="0"/>
          <w:numId w:val="18"/>
        </w:numPr>
        <w:ind w:left="567" w:hanging="567"/>
        <w:rPr>
          <w:sz w:val="24"/>
          <w:szCs w:val="24"/>
          <w:lang w:val="cs-CZ"/>
        </w:rPr>
      </w:pPr>
      <w:r w:rsidRPr="001265C5">
        <w:rPr>
          <w:sz w:val="24"/>
          <w:szCs w:val="24"/>
          <w:lang w:val="cs-CZ"/>
        </w:rPr>
        <w:t>Vyšší moc</w:t>
      </w:r>
    </w:p>
    <w:p w14:paraId="4D0362FE" w14:textId="77777777" w:rsidR="009A767D" w:rsidRPr="001063EC" w:rsidRDefault="009A767D" w:rsidP="009A767D">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15F98B3C" w14:textId="77777777" w:rsidR="009A767D" w:rsidRPr="001063EC" w:rsidRDefault="009A767D" w:rsidP="009A767D">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215F31EC" w14:textId="77777777" w:rsidR="009A767D" w:rsidRPr="001063EC" w:rsidRDefault="009A767D" w:rsidP="009A767D">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5C0AFC41" w14:textId="77777777" w:rsidR="009A767D" w:rsidRPr="001063EC" w:rsidRDefault="009A767D" w:rsidP="009A767D">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C7C3B6E" w14:textId="77777777" w:rsidR="009A767D" w:rsidRPr="00D36243" w:rsidRDefault="009A767D" w:rsidP="009A767D">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3500C16E" w14:textId="77777777" w:rsidR="009A767D" w:rsidRPr="00643CFC" w:rsidRDefault="009A767D" w:rsidP="009A767D">
      <w:pPr>
        <w:pStyle w:val="Parnadpis"/>
        <w:numPr>
          <w:ilvl w:val="0"/>
          <w:numId w:val="18"/>
        </w:numPr>
        <w:ind w:left="567" w:hanging="567"/>
        <w:rPr>
          <w:sz w:val="24"/>
          <w:szCs w:val="24"/>
        </w:rPr>
      </w:pPr>
      <w:r w:rsidRPr="00643CFC">
        <w:rPr>
          <w:sz w:val="24"/>
          <w:szCs w:val="24"/>
        </w:rPr>
        <w:t>Všeobecná ustanovení</w:t>
      </w:r>
    </w:p>
    <w:p w14:paraId="790963F6" w14:textId="77777777" w:rsidR="009A767D" w:rsidRPr="00643CFC" w:rsidRDefault="009A767D" w:rsidP="009A767D">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784CCDBF" w14:textId="77777777" w:rsidR="009A767D" w:rsidRPr="00643CFC" w:rsidRDefault="009A767D" w:rsidP="009A767D">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357E227B" w14:textId="77777777" w:rsidR="009A767D" w:rsidRPr="00643CFC" w:rsidRDefault="009A767D" w:rsidP="009A767D">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42FD9988" w14:textId="77777777" w:rsidR="009A767D" w:rsidRDefault="009A767D" w:rsidP="009A767D">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15F7CFE0" w14:textId="77777777" w:rsidR="009A767D" w:rsidRPr="00643CFC" w:rsidRDefault="009A767D" w:rsidP="009A767D">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5EEE7334" w14:textId="77777777" w:rsidR="009A767D" w:rsidRPr="00BB51F8" w:rsidRDefault="009A767D" w:rsidP="009A767D">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7CC67FE2" w14:textId="77777777" w:rsidR="009A767D" w:rsidRPr="00643CFC" w:rsidRDefault="009A767D" w:rsidP="009A767D">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6624F3D1" w14:textId="77777777" w:rsidR="009A767D" w:rsidRPr="00643CFC" w:rsidRDefault="009A767D" w:rsidP="009A767D">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32AA765D" w14:textId="77777777" w:rsidR="009A767D" w:rsidRDefault="009A767D" w:rsidP="009A767D">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508B94AB" w:rsidR="009F4A10" w:rsidRPr="00643CFC" w:rsidRDefault="009A767D" w:rsidP="009A767D">
      <w:pPr>
        <w:pStyle w:val="Parodstavec"/>
        <w:numPr>
          <w:ilvl w:val="1"/>
          <w:numId w:val="18"/>
        </w:numPr>
        <w:ind w:left="567" w:hanging="567"/>
        <w:jc w:val="both"/>
        <w:rPr>
          <w:sz w:val="22"/>
          <w:szCs w:val="22"/>
        </w:rPr>
      </w:pPr>
      <w:r w:rsidRPr="00643CFC">
        <w:rPr>
          <w:sz w:val="22"/>
          <w:szCs w:val="22"/>
        </w:rPr>
        <w:t>Obě smluvní strany prohlašují, že se s obsahem této smlouvy řádně seznámily, že tato nebyla sjednána v tísni ani za jinak jednostranně nevýhodných podmínek, a potvrzují souhlas s obsahem této smlouvy svým podpisem.</w:t>
      </w:r>
      <w:r w:rsidR="009F4A10" w:rsidRPr="00643CFC">
        <w:rPr>
          <w:sz w:val="22"/>
          <w:szCs w:val="22"/>
        </w:rPr>
        <w:t xml:space="preserve">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1355223F" w:rsidR="00A003D2" w:rsidRPr="00590836" w:rsidRDefault="00590836" w:rsidP="00A003D2">
      <w:pPr>
        <w:pStyle w:val="Parodstavec"/>
        <w:numPr>
          <w:ilvl w:val="0"/>
          <w:numId w:val="0"/>
        </w:numPr>
        <w:ind w:left="567"/>
        <w:jc w:val="both"/>
        <w:rPr>
          <w:sz w:val="24"/>
          <w:szCs w:val="24"/>
          <w:lang w:val="cs-CZ"/>
        </w:rPr>
      </w:pPr>
      <w:r>
        <w:rPr>
          <w:sz w:val="24"/>
          <w:szCs w:val="24"/>
        </w:rPr>
        <w:t>V</w:t>
      </w:r>
      <w:r>
        <w:rPr>
          <w:sz w:val="24"/>
          <w:szCs w:val="24"/>
          <w:lang w:val="cs-CZ"/>
        </w:rPr>
        <w:t> Českých Budějovicích</w:t>
      </w:r>
      <w:r>
        <w:rPr>
          <w:sz w:val="24"/>
          <w:szCs w:val="24"/>
        </w:rPr>
        <w:t xml:space="preserve"> dne </w:t>
      </w:r>
      <w:r>
        <w:rPr>
          <w:sz w:val="24"/>
          <w:szCs w:val="24"/>
          <w:lang w:val="cs-CZ"/>
        </w:rPr>
        <w:t>3. 3. 2021</w:t>
      </w:r>
      <w:r w:rsidR="00A003D2">
        <w:rPr>
          <w:sz w:val="24"/>
          <w:szCs w:val="24"/>
        </w:rPr>
        <w:tab/>
      </w:r>
      <w:r>
        <w:rPr>
          <w:sz w:val="24"/>
          <w:szCs w:val="24"/>
        </w:rPr>
        <w:t>V </w:t>
      </w:r>
      <w:r>
        <w:rPr>
          <w:sz w:val="24"/>
          <w:szCs w:val="24"/>
          <w:lang w:val="cs-CZ"/>
        </w:rPr>
        <w:t xml:space="preserve">Plzni </w:t>
      </w:r>
      <w:r>
        <w:rPr>
          <w:sz w:val="24"/>
          <w:szCs w:val="24"/>
        </w:rPr>
        <w:t>dn</w:t>
      </w:r>
      <w:r>
        <w:rPr>
          <w:sz w:val="24"/>
          <w:szCs w:val="24"/>
          <w:lang w:val="cs-CZ"/>
        </w:rPr>
        <w:t>e 9. 2. 2021</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590836">
      <w:pPr>
        <w:pStyle w:val="Parodstavec"/>
        <w:numPr>
          <w:ilvl w:val="0"/>
          <w:numId w:val="0"/>
        </w:numPr>
        <w:ind w:left="567" w:hanging="567"/>
        <w:jc w:val="both"/>
        <w:rPr>
          <w:sz w:val="24"/>
          <w:szCs w:val="24"/>
          <w:lang w:val="cs-CZ"/>
        </w:rPr>
        <w:sectPr w:rsidR="007B41F1" w:rsidSect="005F5D67">
          <w:footerReference w:type="default" r:id="rId9"/>
          <w:pgSz w:w="11906" w:h="16838"/>
          <w:pgMar w:top="1440" w:right="1274" w:bottom="1440" w:left="1418" w:header="708" w:footer="708" w:gutter="0"/>
          <w:cols w:space="708"/>
        </w:sectPr>
      </w:pPr>
      <w:bookmarkStart w:id="15" w:name="_GoBack"/>
      <w:bookmarkEnd w:id="15"/>
    </w:p>
    <w:p w14:paraId="1092E812" w14:textId="1DC5F81F" w:rsidR="00B35D20" w:rsidRPr="00B35D20" w:rsidRDefault="00B35D20" w:rsidP="00590836">
      <w:pPr>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09F80" w14:textId="77777777" w:rsidR="006C0899" w:rsidRDefault="006C0899">
      <w:r>
        <w:separator/>
      </w:r>
    </w:p>
  </w:endnote>
  <w:endnote w:type="continuationSeparator" w:id="0">
    <w:p w14:paraId="416E9E40" w14:textId="77777777" w:rsidR="006C0899" w:rsidRDefault="006C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984FF" w14:textId="77777777" w:rsidR="006C0899" w:rsidRDefault="006C0899">
      <w:r>
        <w:separator/>
      </w:r>
    </w:p>
  </w:footnote>
  <w:footnote w:type="continuationSeparator" w:id="0">
    <w:p w14:paraId="0F3CCE33" w14:textId="77777777" w:rsidR="006C0899" w:rsidRDefault="006C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Pr="00590836" w:rsidRDefault="002914F3" w:rsidP="005908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6C6D"/>
    <w:rsid w:val="000F1110"/>
    <w:rsid w:val="00103C91"/>
    <w:rsid w:val="00105305"/>
    <w:rsid w:val="00107C3A"/>
    <w:rsid w:val="0011157F"/>
    <w:rsid w:val="0012165A"/>
    <w:rsid w:val="00122066"/>
    <w:rsid w:val="00147547"/>
    <w:rsid w:val="00150418"/>
    <w:rsid w:val="00173DAD"/>
    <w:rsid w:val="001747ED"/>
    <w:rsid w:val="001A59CF"/>
    <w:rsid w:val="001A5D6B"/>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53B17"/>
    <w:rsid w:val="0036505C"/>
    <w:rsid w:val="003652AD"/>
    <w:rsid w:val="00380F6C"/>
    <w:rsid w:val="003936DA"/>
    <w:rsid w:val="003A6D50"/>
    <w:rsid w:val="003B30CC"/>
    <w:rsid w:val="003B333A"/>
    <w:rsid w:val="003B5C68"/>
    <w:rsid w:val="003C4B7D"/>
    <w:rsid w:val="003C5D89"/>
    <w:rsid w:val="003D33AC"/>
    <w:rsid w:val="003E517F"/>
    <w:rsid w:val="003F2D0B"/>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C1798"/>
    <w:rsid w:val="004C46EC"/>
    <w:rsid w:val="004D60A3"/>
    <w:rsid w:val="004E0A26"/>
    <w:rsid w:val="004E4458"/>
    <w:rsid w:val="004F29D6"/>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90836"/>
    <w:rsid w:val="005A1E94"/>
    <w:rsid w:val="005A2782"/>
    <w:rsid w:val="005A393A"/>
    <w:rsid w:val="005B542B"/>
    <w:rsid w:val="005B7841"/>
    <w:rsid w:val="005C1601"/>
    <w:rsid w:val="005C3F1F"/>
    <w:rsid w:val="005C6AF9"/>
    <w:rsid w:val="005D3D10"/>
    <w:rsid w:val="005D5C9B"/>
    <w:rsid w:val="005E0EBA"/>
    <w:rsid w:val="005F0373"/>
    <w:rsid w:val="005F466F"/>
    <w:rsid w:val="005F5D67"/>
    <w:rsid w:val="0061194B"/>
    <w:rsid w:val="00611EA8"/>
    <w:rsid w:val="0061561D"/>
    <w:rsid w:val="006161BB"/>
    <w:rsid w:val="00624172"/>
    <w:rsid w:val="006267F2"/>
    <w:rsid w:val="00626F4C"/>
    <w:rsid w:val="00632665"/>
    <w:rsid w:val="00635619"/>
    <w:rsid w:val="00643CFC"/>
    <w:rsid w:val="00663B09"/>
    <w:rsid w:val="00683493"/>
    <w:rsid w:val="006C0899"/>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B6AF8"/>
    <w:rsid w:val="007E134A"/>
    <w:rsid w:val="007F34B4"/>
    <w:rsid w:val="007F3F38"/>
    <w:rsid w:val="007F74EB"/>
    <w:rsid w:val="00806043"/>
    <w:rsid w:val="008078A1"/>
    <w:rsid w:val="008135A0"/>
    <w:rsid w:val="008220C9"/>
    <w:rsid w:val="008333EF"/>
    <w:rsid w:val="008344AC"/>
    <w:rsid w:val="00836CBB"/>
    <w:rsid w:val="00837AE0"/>
    <w:rsid w:val="00842DBD"/>
    <w:rsid w:val="008501B7"/>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DBD"/>
    <w:rsid w:val="009233F0"/>
    <w:rsid w:val="00943920"/>
    <w:rsid w:val="0095719E"/>
    <w:rsid w:val="00961040"/>
    <w:rsid w:val="009641F6"/>
    <w:rsid w:val="00976C5C"/>
    <w:rsid w:val="009773F7"/>
    <w:rsid w:val="009776AF"/>
    <w:rsid w:val="00982FCE"/>
    <w:rsid w:val="00984032"/>
    <w:rsid w:val="00985F0E"/>
    <w:rsid w:val="009875D6"/>
    <w:rsid w:val="009A767D"/>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C481A"/>
    <w:rsid w:val="00EE3CD1"/>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2B58-3F74-4329-A36E-269EEA7F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3374</Words>
  <Characters>19912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23240</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6</cp:revision>
  <cp:lastPrinted>2020-11-09T12:52:00Z</cp:lastPrinted>
  <dcterms:created xsi:type="dcterms:W3CDTF">2021-03-09T14:21:00Z</dcterms:created>
  <dcterms:modified xsi:type="dcterms:W3CDTF">2021-03-09T14:28:00Z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